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70"/>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7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7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99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90"/>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90"/>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9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9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9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9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9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9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9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9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9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9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9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97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90"/>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9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9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9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9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9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9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9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9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9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9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90"/>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9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9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9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9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7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7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90"/>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90"/>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990"/>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990"/>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90"/>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90"/>
        <w:numPr>
          <w:ilvl w:val="0"/>
          <w:numId w:val="25"/>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90"/>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furnizare 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90"/>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90"/>
        <w:numPr>
          <w:ilvl w:val="0"/>
          <w:numId w:val="23"/>
        </w:numPr>
        <w:pBdr/>
        <w:tabs>
          <w:tab w:val="left" w:leader="none" w:pos="851"/>
          <w:tab w:val="left" w:leader="none" w:pos="993"/>
        </w:tabs>
        <w:spacing w:after="120"/>
        <w:ind/>
        <w:rPr>
          <w:lang w:val="ro-RO"/>
        </w:rPr>
      </w:pPr>
      <w:r>
        <w:rPr>
          <w:rFonts w:eastAsiaTheme="majorEastAsia"/>
          <w:b/>
          <w:i/>
          <w:iCs/>
        </w:rPr>
        <w:t xml:space="preserve">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6"/>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ind/>
        <w:jc w:val="right"/>
        <w:rPr>
          <w:rFonts w:ascii="Times New Roman" w:hAnsi="Times New Roman" w:eastAsia="Times New Roman" w:cs="Times New Roman"/>
          <w:sz w:val="24"/>
          <w:szCs w:val="24"/>
        </w:rPr>
      </w:pPr>
      <w:r/>
      <w:bookmarkStart w:id="0" w:name="_Hlk168649471"/>
      <w:r>
        <w:rPr>
          <w:rFonts w:ascii="Times New Roman" w:hAnsi="Times New Roman" w:eastAsia="Times New Roman" w:cs="Times New Roman"/>
          <w:b/>
          <w:bCs/>
          <w:color w:val="000000"/>
          <w:sz w:val="24"/>
          <w:szCs w:val="24"/>
        </w:rPr>
        <w:t xml:space="preserve">Anexa nr. 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la Documentația standard nr.</w:t>
      </w:r>
      <w:r>
        <w:rPr>
          <w:rFonts w:ascii="Times New Roman" w:hAnsi="Times New Roman" w:eastAsia="Times New Roman" w:cs="Times New Roman"/>
          <w:b/>
          <w:bCs/>
          <w:color w:val="000000"/>
          <w:sz w:val="24"/>
          <w:szCs w:val="24"/>
        </w:rPr>
        <w:t xml:space="preserve"> 115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 xml:space="preserve">din “</w:t>
      </w:r>
      <w:r>
        <w:rPr>
          <w:rFonts w:ascii="Times New Roman" w:hAnsi="Times New Roman" w:eastAsia="Times New Roman" w:cs="Times New Roman"/>
          <w:b/>
          <w:bCs/>
          <w:color w:val="000000"/>
          <w:sz w:val="24"/>
          <w:szCs w:val="24"/>
        </w:rPr>
        <w:t xml:space="preserve">15</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_</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09_ </w:t>
      </w:r>
      <w:r>
        <w:rPr>
          <w:rFonts w:ascii="Times New Roman" w:hAnsi="Times New Roman" w:eastAsia="Times New Roman" w:cs="Times New Roman"/>
          <w:b/>
          <w:bCs/>
          <w:color w:val="000000"/>
          <w:sz w:val="24"/>
          <w:szCs w:val="24"/>
        </w:rPr>
        <w:t xml:space="preserve">20</w:t>
      </w:r>
      <w:r>
        <w:rPr>
          <w:rFonts w:ascii="Times New Roman" w:hAnsi="Times New Roman" w:eastAsia="Times New Roman" w:cs="Times New Roman"/>
          <w:b/>
          <w:bCs/>
          <w:color w:val="000000"/>
          <w:sz w:val="24"/>
          <w:szCs w:val="24"/>
        </w:rPr>
        <w:t xml:space="preserve">21</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pBdr/>
        <w:spacing/>
        <w:ind/>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ANUNȚ DE PARTICIPARE </w:t>
      </w:r>
      <w:r>
        <w:rPr>
          <w:rStyle w:val="1071"/>
          <w:rFonts w:ascii="Times New Roman" w:hAnsi="Times New Roman" w:cs="Times New Roman"/>
          <w:b/>
          <w:bCs/>
          <w:color w:val="000000"/>
          <w:sz w:val="24"/>
          <w:szCs w:val="24"/>
        </w:rPr>
        <w:t xml:space="preserve">INCLUSIV PENTRU PROCEDURILE DE PRESELECȚIE/PROCEDURILE NEGOCIATE</w:t>
      </w:r>
      <w:r>
        <w:rPr>
          <w:rStyle w:val="1071"/>
          <w:rFonts w:ascii="Times New Roman" w:hAnsi="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spacing w:after="160"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privind achiziționarea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w:t>
      </w:r>
      <w:r>
        <w:rPr>
          <w:rFonts w:ascii="Times New Roman" w:hAnsi="Times New Roman" w:eastAsia="Times New Roman" w:cs="Times New Roman"/>
          <w:b/>
          <w:bCs/>
          <w:color w:val="000000"/>
          <w:sz w:val="24"/>
          <w:szCs w:val="24"/>
        </w:rPr>
        <w:t xml:space="preserve">roduse</w:t>
      </w:r>
      <w:r>
        <w:rPr>
          <w:rFonts w:ascii="Times New Roman" w:hAnsi="Times New Roman" w:eastAsia="Times New Roman" w:cs="Times New Roman"/>
          <w:b/>
          <w:bCs/>
          <w:color w:val="000000"/>
          <w:sz w:val="24"/>
          <w:szCs w:val="24"/>
        </w:rPr>
        <w:t xml:space="preserv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petroliere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pentru anul 202</w:t>
      </w:r>
      <w:r>
        <w:rPr>
          <w:rFonts w:ascii="Times New Roman" w:hAnsi="Times New Roman" w:eastAsia="Times New Roman" w:cs="Times New Roman"/>
          <w:b/>
          <w:bCs/>
          <w:color w:val="000000"/>
          <w:sz w:val="24"/>
          <w:szCs w:val="24"/>
          <w:lang w:val="ro-MO"/>
        </w:rPr>
        <w:t xml:space="preserve">6</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b/>
          <w:bCs/>
          <w:color w:val="000000"/>
          <w:sz w:val="24"/>
          <w:szCs w:val="24"/>
        </w:rPr>
        <w:t xml:space="preserve">prin procedura de achiziție</w:t>
      </w:r>
      <w:r>
        <w:rPr>
          <w:rFonts w:ascii="Times New Roman" w:hAnsi="Times New Roman" w:eastAsia="Times New Roman" w:cs="Times New Roman"/>
          <w:b/>
          <w:bCs/>
          <w:color w:val="000000"/>
          <w:sz w:val="24"/>
          <w:szCs w:val="24"/>
        </w:rPr>
        <w:t xml:space="preserve"> – </w:t>
      </w:r>
      <w:r>
        <w:rPr>
          <w:rFonts w:ascii="Times New Roman" w:hAnsi="Times New Roman" w:eastAsia="Times New Roman" w:cs="Times New Roman"/>
          <w:b/>
          <w:bCs/>
          <w:color w:val="000000"/>
          <w:sz w:val="24"/>
          <w:szCs w:val="24"/>
        </w:rPr>
        <w:t xml:space="preserve">Cererea Ofertelor de preț</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autorității contractante: </w:t>
      </w:r>
      <w:r>
        <w:rPr>
          <w:rFonts w:ascii="Times New Roman" w:hAnsi="Times New Roman" w:cs="Times New Roman"/>
          <w:b/>
          <w:sz w:val="24"/>
          <w:szCs w:val="24"/>
        </w:rPr>
        <w:t xml:space="preserve">Agenţia Teritorială de Asistenţă Socială Nord-Est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IDNO</w:t>
      </w:r>
      <w:r>
        <w:rPr>
          <w:rFonts w:ascii="Times New Roman" w:hAnsi="Times New Roman" w:eastAsia="Times New Roman" w:cs="Times New Roman"/>
          <w:b/>
          <w:bCs/>
          <w:color w:val="000000"/>
          <w:sz w:val="24"/>
          <w:szCs w:val="24"/>
        </w:rPr>
        <w:t xml:space="preserve"> -</w:t>
      </w:r>
      <w:r>
        <w:rPr>
          <w:rFonts w:ascii="Times New Roman" w:hAnsi="Times New Roman" w:cs="Times New Roman"/>
          <w:color w:val="000000"/>
          <w:sz w:val="24"/>
          <w:szCs w:val="24"/>
        </w:rPr>
        <w:t xml:space="preserve">1024601000046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mun. Soroca, str.</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Independenței, 73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Numărul de telefon/fax: </w:t>
      </w:r>
      <w:r>
        <w:rPr>
          <w:rFonts w:ascii="Times New Roman" w:hAnsi="Times New Roman" w:eastAsia="Times New Roman" w:cs="Times New Roman"/>
          <w:b/>
          <w:bCs/>
          <w:color w:val="000000"/>
          <w:sz w:val="24"/>
          <w:szCs w:val="24"/>
        </w:rPr>
        <w:t xml:space="preserve"> </w:t>
      </w:r>
      <w:r>
        <w:rPr>
          <w:rFonts w:ascii="Times New Roman" w:hAnsi="Times New Roman" w:cs="Times New Roman"/>
          <w:color w:val="000000"/>
          <w:sz w:val="24"/>
          <w:szCs w:val="24"/>
        </w:rPr>
        <w:t xml:space="preserve">060225252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de e-mail și pagina web oficială ale autorității contractante: </w:t>
      </w:r>
      <w:r>
        <w:rPr>
          <w:rFonts w:ascii="Times New Roman" w:hAnsi="Times New Roman" w:eastAsia="Times New Roman" w:cs="Times New Roman"/>
          <w:b/>
          <w:bCs/>
          <w:color w:val="000000"/>
          <w:sz w:val="24"/>
          <w:szCs w:val="24"/>
        </w:rPr>
        <w:t xml:space="preserve"> </w:t>
      </w:r>
      <w:hyperlink r:id="rId12" w:tooltip="mailto:atas.nord-est@social.gov.md" w:history="1">
        <w:r>
          <w:rPr>
            <w:rStyle w:val="1011"/>
            <w:rFonts w:ascii="Times New Roman" w:hAnsi="Times New Roman" w:cs="Times New Roman"/>
            <w:sz w:val="24"/>
            <w:szCs w:val="24"/>
          </w:rPr>
          <w:t xml:space="preserve">atas.nord-est@social.gov.md</w:t>
        </w:r>
      </w:hyperlink>
      <w:r>
        <w:rPr>
          <w:rStyle w:val="1011"/>
          <w:rFonts w:ascii="Times New Roman" w:hAnsi="Times New Roman" w:cs="Times New Roman"/>
          <w:sz w:val="24"/>
          <w:szCs w:val="24"/>
        </w:rPr>
        <w:t xml:space="preserve">,</w:t>
      </w:r>
      <w:r>
        <w:rPr>
          <w:rStyle w:val="1011"/>
          <w:rFonts w:ascii="Times New Roman" w:hAnsi="Times New Roman" w:cs="Times New Roman"/>
          <w:sz w:val="24"/>
          <w:szCs w:val="24"/>
        </w:rPr>
        <w:t xml:space="preserve"> clavdia.belous@atas.gov.md</w:t>
      </w:r>
      <w:r>
        <w:rPr>
          <w:rFonts w:ascii="Times New Roman" w:hAnsi="Times New Roman" w:cs="Times New Roman"/>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de e-mail sau pagina web oficială de la care se va putea obține accesul la documentația de atribuire: </w:t>
      </w:r>
      <w:r>
        <w:rPr>
          <w:rFonts w:ascii="Times New Roman" w:hAnsi="Times New Roman" w:eastAsia="Times New Roman" w:cs="Times New Roman"/>
          <w:b/>
          <w:bCs/>
          <w:i/>
          <w:iCs/>
          <w:color w:val="000000"/>
          <w:sz w:val="24"/>
          <w:szCs w:val="24"/>
        </w:rPr>
        <w:t xml:space="preserve">documentația de atribuire este anexată în cadrul procedurii în SIA RSAP</w:t>
      </w:r>
      <w:r>
        <w:rPr>
          <w:rFonts w:ascii="Times New Roman" w:hAnsi="Times New Roman" w:eastAsia="Times New Roman" w:cs="Times New Roman"/>
          <w:b/>
          <w:bCs/>
          <w:i/>
          <w:iCs/>
          <w:color w:val="000000"/>
          <w:sz w:val="24"/>
          <w:szCs w:val="24"/>
        </w:rPr>
        <w:t xml:space="preserve"> </w:t>
      </w:r>
      <w:hyperlink r:id="rId13" w:tooltip="mailto:atas.nord-est@social.gov.md" w:history="1">
        <w:r>
          <w:rPr>
            <w:rStyle w:val="1011"/>
            <w:rFonts w:ascii="Times New Roman" w:hAnsi="Times New Roman" w:cs="Times New Roman"/>
            <w:sz w:val="24"/>
            <w:szCs w:val="24"/>
          </w:rPr>
          <w:t xml:space="preserve">atas.nord-est@social.gov.md</w:t>
        </w:r>
      </w:hyperlink>
      <w:r>
        <w:rPr>
          <w:rStyle w:val="1011"/>
          <w:rFonts w:ascii="Times New Roman" w:hAnsi="Times New Roman" w:cs="Times New Roman"/>
          <w:sz w:val="24"/>
          <w:szCs w:val="24"/>
        </w:rPr>
        <w:t xml:space="preserve">, </w:t>
      </w:r>
      <w:r>
        <w:rPr>
          <w:rStyle w:val="1011"/>
          <w:rFonts w:ascii="Times New Roman" w:hAnsi="Times New Roman" w:cs="Times New Roman"/>
          <w:sz w:val="24"/>
          <w:szCs w:val="24"/>
        </w:rPr>
        <w:t xml:space="preserve">clavdia.belous@atas.gov.md</w:t>
      </w:r>
      <w:r>
        <w:rPr>
          <w:rFonts w:ascii="Times New Roman" w:hAnsi="Times New Roman" w:cs="Times New Roman"/>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0"/>
        </w:numPr>
        <w:pBdr/>
        <w:shd w:val="clear" w:color="auto" w:fill="ffffff"/>
        <w:tabs>
          <w:tab w:val="left" w:leader="none" w:pos="284"/>
          <w:tab w:val="left" w:leader="none" w:pos="9532"/>
        </w:tabs>
        <w:spacing w:before="120"/>
        <w:ind w:left="1364"/>
        <w:rPr>
          <w:rFonts w:ascii="Times New Roman" w:hAnsi="Times New Roman" w:cs="Times New Roman"/>
          <w:b/>
          <w:bCs/>
          <w:color w:val="000000"/>
          <w:sz w:val="24"/>
          <w:szCs w:val="24"/>
        </w:rPr>
      </w:pPr>
      <w:r>
        <w:rPr>
          <w:rFonts w:ascii="Times New Roman" w:hAnsi="Times New Roman" w:eastAsia="Times New Roman" w:cs="Times New Roman"/>
          <w:b/>
          <w:bCs/>
          <w:color w:val="000000"/>
          <w:sz w:val="24"/>
          <w:szCs w:val="24"/>
        </w:rPr>
        <w:t xml:space="preserve">Tipul autorității contractante și obiectul principal de activitate </w:t>
      </w:r>
      <w:r>
        <w:rPr>
          <w:rFonts w:ascii="Times New Roman" w:hAnsi="Times New Roman" w:eastAsia="Times New Roman" w:cs="Times New Roman"/>
          <w:b/>
          <w:bCs/>
          <w:color w:val="000000"/>
          <w:sz w:val="24"/>
          <w:szCs w:val="24"/>
        </w:rPr>
        <w:t xml:space="preserve">- </w:t>
      </w:r>
      <w:r>
        <w:rPr>
          <w:rFonts w:ascii="Times New Roman" w:hAnsi="Times New Roman" w:cs="Times New Roman"/>
          <w:b/>
          <w:sz w:val="24"/>
          <w:szCs w:val="24"/>
        </w:rPr>
        <w:t xml:space="preserve">Agenţia Teritorială de Asistenţă Socială Nord-Est</w:t>
      </w:r>
      <w:r>
        <w:rPr>
          <w:rFonts w:ascii="Times New Roman" w:hAnsi="Times New Roman" w:cs="Times New Roman"/>
          <w:b/>
          <w:sz w:val="24"/>
          <w:szCs w:val="24"/>
        </w:rPr>
        <w:t xml:space="preserve">, </w:t>
      </w:r>
      <w:r>
        <w:rPr>
          <w:rFonts w:ascii="Times New Roman" w:hAnsi="Times New Roman" w:cs="Times New Roman"/>
          <w:b/>
          <w:sz w:val="24"/>
          <w:szCs w:val="24"/>
        </w:rPr>
        <w:t xml:space="preserve">autoritate administrativă în subordinea Ministerului Muncii și Protecției Sociale, care aplică procedura de achizi</w:t>
      </w:r>
      <w:r>
        <w:rPr>
          <w:rFonts w:ascii="Times New Roman" w:hAnsi="Times New Roman" w:cs="Times New Roman"/>
          <w:b/>
          <w:sz w:val="24"/>
          <w:szCs w:val="24"/>
        </w:rPr>
        <w:t xml:space="preserve">ț</w:t>
      </w:r>
      <w:r>
        <w:rPr>
          <w:rFonts w:ascii="Times New Roman" w:hAnsi="Times New Roman" w:cs="Times New Roman"/>
          <w:b/>
          <w:sz w:val="24"/>
          <w:szCs w:val="24"/>
        </w:rPr>
        <w:t xml:space="preserve">ie  pentru</w:t>
      </w:r>
      <w:r>
        <w:rPr>
          <w:rFonts w:ascii="Times New Roman" w:hAnsi="Times New Roman" w:cs="Times New Roman"/>
          <w:b/>
          <w:sz w:val="24"/>
          <w:szCs w:val="24"/>
        </w:rPr>
        <w:t xml:space="preserve"> instituțiile bugetare din cadrul ATAS Nord-Est.</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numPr>
          <w:ilvl w:val="0"/>
          <w:numId w:val="90"/>
        </w:numPr>
        <w:pBdr/>
        <w:shd w:val="clear" w:color="auto" w:fill="ffffff"/>
        <w:tabs>
          <w:tab w:val="left" w:leader="none" w:pos="284"/>
          <w:tab w:val="left" w:leader="none" w:pos="426"/>
        </w:tabs>
        <w:spacing w:before="120"/>
        <w:ind w:left="1364"/>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Cumpărătorul invită operatorii economici interesați, care îi pot satisface necesitățile, să participe la procedura de achiziție privind livrarea/prestarea </w:t>
      </w:r>
      <w:r>
        <w:rPr>
          <w:rFonts w:ascii="Times New Roman" w:hAnsi="Times New Roman" w:eastAsia="Times New Roman" w:cs="Times New Roman"/>
          <w:b/>
          <w:bCs/>
          <w:color w:val="000000"/>
          <w:sz w:val="24"/>
          <w:szCs w:val="24"/>
        </w:rPr>
        <w:t xml:space="preserve"> produselor petroliere</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t xml:space="preserve">Lot nr. 1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Agenția Teritorială de Asistență Socială Nord-Est mun. Soroca</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jc w:val="center"/>
        <w:tblBorders/>
        <w:tblLayout w:type="fixed"/>
        <w:tblLook w:val="04A0" w:firstRow="1" w:lastRow="0" w:firstColumn="1" w:lastColumn="0" w:noHBand="0" w:noVBand="1"/>
      </w:tblPr>
      <w:tblGrid>
        <w:gridCol w:w="567"/>
        <w:gridCol w:w="1276"/>
        <w:gridCol w:w="2126"/>
        <w:gridCol w:w="846"/>
        <w:gridCol w:w="997"/>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84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99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1</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072"/>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84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99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2400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55000,00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rPr>
                <w:rFonts w:ascii="Times New Roman" w:hAnsi="Times New Roman" w:cs="Times New Roman"/>
                <w:bCs/>
                <w:color w:val="0d0d0d" w:themeColor="text1" w:themeTint="F2"/>
                <w:sz w:val="24"/>
                <w:szCs w:val="24"/>
                <w:highlight w:val="yellow"/>
                <w:shd w:val="clear" w:color="auto" w:fill="e8e8e8"/>
              </w:rPr>
            </w:pPr>
            <w:r>
              <w:rPr>
                <w:rFonts w:ascii="Times New Roman" w:hAnsi="Times New Roman" w:cs="Times New Roman"/>
                <w:bCs/>
                <w:color w:val="0d0d0d" w:themeColor="text1" w:themeTint="F2"/>
                <w:sz w:val="24"/>
                <w:szCs w:val="24"/>
                <w:highlight w:val="yellow"/>
                <w:shd w:val="clear" w:color="auto" w:fill="e8e8e8"/>
              </w:rPr>
            </w:r>
            <w:r>
              <w:rPr>
                <w:rFonts w:ascii="Times New Roman" w:hAnsi="Times New Roman" w:cs="Times New Roman"/>
                <w:bCs/>
                <w:color w:val="0d0d0d" w:themeColor="text1" w:themeTint="F2"/>
                <w:sz w:val="24"/>
                <w:szCs w:val="24"/>
                <w:highlight w:val="yellow"/>
                <w:shd w:val="clear" w:color="auto" w:fill="e8e8e8"/>
              </w:rPr>
            </w:r>
            <w:r>
              <w:rPr>
                <w:rFonts w:ascii="Times New Roman" w:hAnsi="Times New Roman" w:cs="Times New Roman"/>
                <w:bCs/>
                <w:color w:val="0d0d0d" w:themeColor="text1" w:themeTint="F2"/>
                <w:sz w:val="24"/>
                <w:szCs w:val="24"/>
                <w:highlight w:val="yellow"/>
                <w:shd w:val="clear" w:color="auto" w:fill="e8e8e8"/>
              </w:rPr>
            </w:r>
          </w:p>
        </w:tc>
        <w:tc>
          <w:tcPr>
            <w:gridSpan w:val="4"/>
            <w:shd w:val="clear" w:color="ffffff" w:fill="ffffff"/>
            <w:tcBorders>
              <w:top w:val="single" w:color="000000" w:themeColor="text1" w:sz="4" w:space="0"/>
              <w:left w:val="single" w:color="000000" w:sz="4" w:space="0"/>
              <w:bottom w:val="single" w:color="000000" w:themeColor="text1" w:sz="4" w:space="0"/>
              <w:right w:val="single" w:color="000000" w:themeColor="text1" w:sz="4" w:space="0"/>
            </w:tcBorders>
            <w:tcW w:w="6238" w:type="dxa"/>
            <w:vAlign w:val="center"/>
            <w:textDirection w:val="lrTb"/>
            <w:noWrap w:val="false"/>
          </w:tcPr>
          <w:p>
            <w:pPr>
              <w:widowControl w:val="false"/>
              <w:pBdr/>
              <w:spacing/>
              <w:ind/>
              <w:rPr>
                <w:rFonts w:ascii="Times New Roman" w:hAnsi="Times New Roman" w:cs="Times New Roman"/>
                <w:b/>
                <w:sz w:val="24"/>
                <w:szCs w:val="24"/>
                <w:highlight w:val="yellow"/>
              </w:rPr>
            </w:pPr>
            <w:r>
              <w:rPr>
                <w:rFonts w:ascii="Times New Roman" w:hAnsi="Times New Roman" w:cs="Times New Roman"/>
                <w:b/>
                <w:color w:val="0d0d0d" w:themeColor="text1" w:themeTint="F2"/>
                <w:sz w:val="24"/>
                <w:szCs w:val="24"/>
                <w:shd w:val="clear" w:color="auto" w:fill="e8e8e8"/>
              </w:rPr>
              <w:t xml:space="preserve">Total</w:t>
            </w:r>
            <w:r>
              <w:rPr>
                <w:rFonts w:ascii="Times New Roman" w:hAnsi="Times New Roman" w:cs="Times New Roman"/>
                <w:b/>
                <w:sz w:val="24"/>
                <w:szCs w:val="24"/>
                <w:highlight w:val="yellow"/>
              </w:rPr>
            </w:r>
            <w:r>
              <w:rPr>
                <w:rFonts w:ascii="Times New Roman" w:hAnsi="Times New Roman" w:cs="Times New Roman"/>
                <w:b/>
                <w:sz w:val="24"/>
                <w:szCs w:val="24"/>
                <w:highlight w:val="yellow"/>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color w:val="000000"/>
                <w:sz w:val="24"/>
                <w:szCs w:val="24"/>
              </w:rPr>
            </w:pPr>
            <w:r>
              <w:rPr>
                <w:rFonts w:ascii="Times New Roman" w:hAnsi="Times New Roman" w:cs="Times New Roman"/>
                <w:b/>
                <w:color w:val="000000"/>
                <w:sz w:val="24"/>
                <w:szCs w:val="24"/>
                <w:lang w:val="ro-MO"/>
              </w:rPr>
            </w:r>
            <w:r>
              <w:rPr>
                <w:rFonts w:ascii="Times New Roman" w:hAnsi="Times New Roman" w:cs="Times New Roman"/>
                <w:b/>
                <w:bCs/>
                <w:color w:val="000000"/>
                <w:sz w:val="24"/>
                <w:szCs w:val="24"/>
                <w:lang w:val="ro-MO"/>
              </w:rPr>
              <w:t xml:space="preserve">55000,00</w:t>
            </w:r>
            <w:r>
              <w:rPr>
                <w:rFonts w:ascii="Times New Roman" w:hAnsi="Times New Roman" w:cs="Times New Roman"/>
                <w:b/>
                <w:color w:val="000000"/>
                <w:sz w:val="24"/>
                <w:szCs w:val="24"/>
                <w:lang w:val="ro-MO"/>
              </w:rPr>
              <w:t xml:space="preserve"> </w:t>
            </w:r>
            <w:r>
              <w:rPr>
                <w:rFonts w:ascii="Times New Roman" w:hAnsi="Times New Roman" w:cs="Times New Roman"/>
                <w:b/>
                <w:color w:val="000000"/>
                <w:sz w:val="24"/>
                <w:szCs w:val="24"/>
              </w:rPr>
            </w:r>
            <w:r>
              <w:rPr>
                <w:rFonts w:ascii="Times New Roman" w:hAnsi="Times New Roman" w:cs="Times New Roman"/>
                <w:b/>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2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Soroca, mun. Soroca - </w:t>
      </w:r>
      <w:r>
        <w:rPr>
          <w:rFonts w:ascii="Times New Roman" w:hAnsi="Times New Roman" w:eastAsia="Times New Roman" w:cs="Times New Roman"/>
          <w:sz w:val="24"/>
          <w:szCs w:val="24"/>
          <w:lang w:eastAsia="ru-RU"/>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jc w:val="center"/>
        <w:tblBorders/>
        <w:tblLayout w:type="fixed"/>
        <w:tblLook w:val="04A0" w:firstRow="1" w:lastRow="0" w:firstColumn="1" w:lastColumn="0" w:noHBand="0" w:noVBand="1"/>
      </w:tblPr>
      <w:tblGrid>
        <w:gridCol w:w="567"/>
        <w:gridCol w:w="1276"/>
        <w:gridCol w:w="2126"/>
        <w:gridCol w:w="704"/>
        <w:gridCol w:w="1139"/>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2</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072"/>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1180</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22490,00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333333"/>
                <w:sz w:val="24"/>
                <w:szCs w:val="24"/>
                <w:shd w:val="clear" w:color="auto" w:fill="ffffff"/>
              </w:rPr>
            </w:pPr>
            <w:r>
              <w:rPr>
                <w:rFonts w:ascii="Times New Roman" w:hAnsi="Times New Roman" w:cs="Times New Roman"/>
                <w:bCs/>
                <w:color w:val="0d0d0d" w:themeColor="text1" w:themeTint="F2"/>
                <w:sz w:val="24"/>
                <w:szCs w:val="24"/>
                <w:shd w:val="clear" w:color="auto" w:fill="e8e8e8"/>
              </w:rPr>
              <w:t xml:space="preserve">09134200-9</w:t>
            </w:r>
            <w:r>
              <w:rPr>
                <w:rFonts w:ascii="Times New Roman" w:hAnsi="Times New Roman" w:cs="Times New Roman"/>
                <w:color w:val="333333"/>
                <w:sz w:val="24"/>
                <w:szCs w:val="24"/>
                <w:shd w:val="clear" w:color="auto" w:fill="ffffff"/>
              </w:rPr>
            </w:r>
            <w:r>
              <w:rPr>
                <w:rFonts w:ascii="Times New Roman" w:hAnsi="Times New Roman" w:cs="Times New Roman"/>
                <w:color w:val="333333"/>
                <w:sz w:val="24"/>
                <w:szCs w:val="24"/>
                <w:shd w:val="clear" w:color="auto" w:fill="ffffff"/>
              </w:rPr>
            </w:r>
          </w:p>
        </w:tc>
        <w:tc>
          <w:tcPr>
            <w:shd w:val="clear" w:color="ffffff" w:fill="ffffff"/>
            <w:tcBorders>
              <w:top w:val="single" w:color="000000" w:themeColor="text1" w:sz="4" w:space="0"/>
              <w:left w:val="single" w:color="000000" w:sz="4" w:space="0"/>
              <w:bottom w:val="single" w:color="000000" w:themeColor="text1"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sz w:val="24"/>
                <w:szCs w:val="24"/>
              </w:rPr>
              <w:t xml:space="preserve">Motorină EURO-5</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sz w:val="24"/>
                <w:szCs w:val="24"/>
                <w:lang w:eastAsia="ru-RU"/>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sz w:val="24"/>
                <w:szCs w:val="24"/>
                <w:lang w:eastAsia="ru-RU"/>
              </w:rPr>
              <w:t xml:space="preserve"> </w:t>
            </w:r>
            <w:r>
              <w:rPr>
                <w:rFonts w:ascii="Times New Roman" w:hAnsi="Times New Roman" w:cs="Times New Roman"/>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590+A1:2017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themeColor="text1" w:sz="4" w:space="0"/>
              <w:left w:val="single" w:color="000000" w:themeColor="text1" w:sz="4" w:space="0"/>
              <w:bottom w:val="single" w:color="000000" w:themeColor="text1"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48950,00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t xml:space="preserve">71440,00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3</w:t>
      </w: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Dondușeni, or. Dondușeni  -  </w:t>
      </w:r>
      <w:r>
        <w:rPr>
          <w:rFonts w:ascii="Times New Roman" w:hAnsi="Times New Roman" w:eastAsia="Times New Roman" w:cs="Times New Roman"/>
          <w:sz w:val="24"/>
          <w:szCs w:val="24"/>
          <w:lang w:eastAsia="ru-RU"/>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pPr>
        <w:widowControl w:val="false"/>
        <w:pBdr/>
        <w:tabs>
          <w:tab w:val="left" w:leader="none" w:pos="284"/>
          <w:tab w:val="right" w:leader="none" w:pos="426"/>
        </w:tabs>
        <w:spacing w:before="120"/>
        <w:ind/>
        <w:rPr>
          <w:rFonts w:ascii="Times New Roman" w:hAnsi="Times New Roman" w:cs="Times New Roman"/>
          <w:b/>
          <w:sz w:val="24"/>
          <w:szCs w:val="24"/>
          <w:u w:val="single"/>
          <w:lang w:eastAsia="ru-RU"/>
        </w:rPr>
      </w:pPr>
      <w:r>
        <w:rPr>
          <w:rFonts w:ascii="Times New Roman" w:hAnsi="Times New Roman" w:cs="Times New Roman"/>
          <w:b/>
          <w:sz w:val="24"/>
          <w:szCs w:val="24"/>
          <w:lang w:eastAsia="ru-RU"/>
        </w:rPr>
        <w:t xml:space="preserve">S</w:t>
      </w:r>
      <w:r>
        <w:rPr>
          <w:rFonts w:ascii="Times New Roman" w:hAnsi="Times New Roman" w:cs="Times New Roman"/>
          <w:b/>
          <w:bCs/>
          <w:color w:val="000000"/>
          <w:sz w:val="24"/>
          <w:szCs w:val="24"/>
        </w:rPr>
        <w:t xml:space="preserve">erviciul </w:t>
      </w:r>
      <w:r>
        <w:rPr>
          <w:rFonts w:ascii="Times New Roman" w:hAnsi="Times New Roman" w:cs="Times New Roman"/>
          <w:b/>
          <w:bCs/>
          <w:color w:val="000000"/>
          <w:sz w:val="24"/>
          <w:szCs w:val="24"/>
        </w:rPr>
        <w:t xml:space="preserve">de îngrigire </w:t>
      </w:r>
      <w:r>
        <w:rPr>
          <w:rFonts w:ascii="Times New Roman" w:hAnsi="Times New Roman" w:cs="Times New Roman"/>
          <w:b/>
          <w:bCs/>
          <w:color w:val="000000"/>
          <w:sz w:val="24"/>
          <w:szCs w:val="24"/>
        </w:rPr>
        <w:t xml:space="preserve">social </w:t>
      </w:r>
      <w:r>
        <w:rPr>
          <w:rFonts w:ascii="Times New Roman" w:hAnsi="Times New Roman" w:cs="Times New Roman"/>
          <w:b/>
          <w:bCs/>
          <w:color w:val="000000"/>
          <w:sz w:val="24"/>
          <w:szCs w:val="24"/>
        </w:rPr>
        <w:t xml:space="preserve"> la domiciliu</w:t>
      </w:r>
      <w:r>
        <w:rPr>
          <w:rFonts w:ascii="Times New Roman" w:hAnsi="Times New Roman" w:cs="Times New Roman"/>
          <w:b/>
          <w:bCs/>
          <w:color w:val="000000"/>
          <w:sz w:val="24"/>
          <w:szCs w:val="24"/>
        </w:rPr>
        <w:t xml:space="preserve"> din cadrul STAS-ului Dondușeni - </w:t>
      </w:r>
      <w:r>
        <w:rPr>
          <w:rFonts w:ascii="Times New Roman" w:hAnsi="Times New Roman" w:eastAsia="Times New Roman" w:cs="Times New Roman"/>
          <w:sz w:val="24"/>
          <w:szCs w:val="24"/>
          <w:lang w:eastAsia="ru-RU"/>
        </w:rPr>
        <w:t xml:space="preserve">IBAN: </w:t>
      </w:r>
      <w:r>
        <w:rPr>
          <w:rFonts w:ascii="Times New Roman" w:hAnsi="Times New Roman" w:cs="Times New Roman"/>
          <w:color w:val="000000"/>
          <w:sz w:val="24"/>
          <w:szCs w:val="24"/>
        </w:rPr>
        <w:t xml:space="preserve">MD86TRPBAJ331110C16708AC</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tblInd w:w="-5" w:type="dxa"/>
        <w:tblBorders/>
        <w:tblLayout w:type="fixed"/>
        <w:tblLook w:val="04A0" w:firstRow="1" w:lastRow="0" w:firstColumn="1" w:lastColumn="0" w:noHBand="0" w:noVBand="1"/>
      </w:tblPr>
      <w:tblGrid>
        <w:gridCol w:w="567"/>
        <w:gridCol w:w="1276"/>
        <w:gridCol w:w="2126"/>
        <w:gridCol w:w="704"/>
        <w:gridCol w:w="1139"/>
        <w:gridCol w:w="2269"/>
        <w:gridCol w:w="1407"/>
      </w:tblGrid>
      <w:tr>
        <w:trP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072"/>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3210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73720,00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r>
            <w:r>
              <w:rPr>
                <w:rFonts w:ascii="Times New Roman" w:hAnsi="Times New Roman" w:cs="Times New Roman"/>
                <w:b/>
                <w:bCs/>
                <w:color w:val="000000"/>
                <w:sz w:val="24"/>
                <w:szCs w:val="24"/>
                <w:lang w:val="ro-MO"/>
              </w:rPr>
              <w:t xml:space="preserve">73720,00</w:t>
            </w:r>
            <w:r>
              <w:rPr>
                <w:rFonts w:ascii="Times New Roman" w:hAnsi="Times New Roman" w:cs="Times New Roman"/>
                <w:b/>
                <w:bCs/>
                <w:color w:val="000000"/>
                <w:sz w:val="24"/>
                <w:szCs w:val="24"/>
                <w:lang w:val="ro-MO"/>
              </w:rPr>
              <w:t xml:space="preserve">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bCs/>
          <w:sz w:val="24"/>
          <w:szCs w:val="24"/>
          <w:u w:val="single"/>
          <w:lang w:eastAsia="ru-RU"/>
        </w:rPr>
      </w:pPr>
      <w:r>
        <w:rPr>
          <w:rFonts w:ascii="Times New Roman" w:hAnsi="Times New Roman" w:cs="Times New Roman"/>
          <w:b/>
          <w:bCs/>
          <w:sz w:val="24"/>
          <w:szCs w:val="24"/>
          <w:u w:val="single"/>
          <w:lang w:eastAsia="ru-RU"/>
        </w:rPr>
        <w:t xml:space="preserve">Lot nr. 4 </w:t>
      </w:r>
      <w:r>
        <w:rPr>
          <w:rFonts w:ascii="Times New Roman" w:hAnsi="Times New Roman" w:cs="Times New Roman"/>
          <w:b/>
          <w:bCs/>
          <w:sz w:val="24"/>
          <w:szCs w:val="24"/>
          <w:u w:val="single"/>
          <w:lang w:eastAsia="ru-RU"/>
        </w:rPr>
      </w:r>
      <w:r>
        <w:rPr>
          <w:rFonts w:ascii="Times New Roman" w:hAnsi="Times New Roman" w:cs="Times New Roman"/>
          <w:b/>
          <w:bCs/>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lang w:eastAsia="ru-RU"/>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Drochia, or. Drochia </w:t>
      </w: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t xml:space="preserve"> </w:t>
      </w:r>
      <w:r>
        <w:rPr>
          <w:rFonts w:ascii="Times New Roman" w:hAnsi="Times New Roman" w:eastAsia="Times New Roman" w:cs="Times New Roman"/>
          <w:sz w:val="24"/>
          <w:szCs w:val="24"/>
          <w:lang w:eastAsia="ru-RU"/>
        </w:rPr>
        <w:t xml:space="preserve"> </w:t>
      </w:r>
      <w:r>
        <w:rPr>
          <w:rFonts w:ascii="Times New Roman" w:hAnsi="Times New Roman" w:cs="Times New Roman"/>
          <w:b/>
          <w:sz w:val="24"/>
          <w:szCs w:val="24"/>
          <w:lang w:eastAsia="ru-RU"/>
        </w:rPr>
      </w:r>
      <w:r>
        <w:rPr>
          <w:rFonts w:ascii="Times New Roman" w:hAnsi="Times New Roman" w:cs="Times New Roman"/>
          <w:b/>
          <w:sz w:val="24"/>
          <w:szCs w:val="24"/>
          <w:lang w:eastAsia="ru-RU"/>
        </w:rPr>
      </w:r>
    </w:p>
    <w:tbl>
      <w:tblPr>
        <w:tblW w:w="9488" w:type="dxa"/>
        <w:jc w:val="center"/>
        <w:tblBorders/>
        <w:tblLayout w:type="fixed"/>
        <w:tblLook w:val="04A0" w:firstRow="1" w:lastRow="0" w:firstColumn="1" w:lastColumn="0" w:noHBand="0" w:noVBand="1"/>
      </w:tblPr>
      <w:tblGrid>
        <w:gridCol w:w="567"/>
        <w:gridCol w:w="1413"/>
        <w:gridCol w:w="1989"/>
        <w:gridCol w:w="704"/>
        <w:gridCol w:w="1139"/>
        <w:gridCol w:w="2269"/>
        <w:gridCol w:w="1407"/>
      </w:tblGrid>
      <w:tr>
        <w:trPr>
          <w:jc w:val="cente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98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themeColor="text1"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Style w:val="1072"/>
                <w:rFonts w:ascii="Times New Roman" w:hAnsi="Times New Roman" w:cs="Times New Roman"/>
                <w:bCs/>
                <w:color w:val="333333"/>
                <w:sz w:val="24"/>
                <w:szCs w:val="24"/>
                <w:shd w:val="clear" w:color="auto" w:fill="ffffff"/>
              </w:rPr>
              <w:t xml:space="preserve">09132000-3</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989"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sz w:val="24"/>
                <w:szCs w:val="24"/>
              </w:rPr>
              <w:t xml:space="preserve">Benzină Ai-95</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704"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litru</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139" w:type="dxa"/>
            <w:vAlign w:val="center"/>
            <w:textDirection w:val="lrTb"/>
            <w:noWrap w:val="false"/>
          </w:tcPr>
          <w:p>
            <w:pPr>
              <w:widowControl w:val="false"/>
              <w:pBdr/>
              <w:spacing/>
              <w:ind/>
              <w:jc w:val="center"/>
              <w:rPr>
                <w:rFonts w:ascii="Times New Roman" w:hAnsi="Times New Roman" w:cs="Times New Roman"/>
                <w:b/>
                <w:bCs/>
                <w:color w:val="ff0000"/>
                <w:sz w:val="24"/>
                <w:szCs w:val="24"/>
                <w:lang w:eastAsia="ru-RU"/>
              </w:rPr>
            </w:pPr>
            <w:r>
              <w:rPr>
                <w:rFonts w:ascii="Times New Roman" w:hAnsi="Times New Roman" w:cs="Times New Roman"/>
                <w:b/>
                <w:bCs/>
                <w:sz w:val="24"/>
                <w:szCs w:val="24"/>
                <w:lang w:val="ro-MO"/>
              </w:rPr>
              <w:t xml:space="preserve">1165 </w:t>
            </w:r>
            <w:r>
              <w:rPr>
                <w:rFonts w:ascii="Times New Roman" w:hAnsi="Times New Roman" w:cs="Times New Roman"/>
                <w:b/>
                <w:bCs/>
                <w:color w:val="ff0000"/>
                <w:sz w:val="24"/>
                <w:szCs w:val="24"/>
                <w:lang w:eastAsia="ru-RU"/>
              </w:rPr>
            </w:r>
            <w:r>
              <w:rPr>
                <w:rFonts w:ascii="Times New Roman" w:hAnsi="Times New Roman" w:cs="Times New Roman"/>
                <w:b/>
                <w:bCs/>
                <w:color w:val="ff0000"/>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rPr>
              <w:t xml:space="preserve">SM EN 228+A1:2017</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38520,00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jc w:val="cente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gridSpan w:val="5"/>
            <w:shd w:val="clear" w:color="ffffff" w:fill="ffffff" w:themeFill="background1"/>
            <w:tcBorders>
              <w:top w:val="single" w:color="000000" w:sz="4" w:space="0"/>
              <w:left w:val="single" w:color="000000" w:sz="4" w:space="0"/>
              <w:bottom w:val="single" w:color="000000" w:sz="4" w:space="0"/>
              <w:right w:val="single" w:color="000000" w:themeColor="text1"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themeColor="text1"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b/>
                <w:bCs/>
                <w:color w:val="000000"/>
                <w:sz w:val="24"/>
                <w:szCs w:val="24"/>
                <w:lang w:val="ro-MO"/>
              </w:rPr>
              <w:t xml:space="preserve">38520,00</w:t>
            </w:r>
            <w:r>
              <w:rPr>
                <w:rFonts w:ascii="Times New Roman" w:hAnsi="Times New Roman" w:cs="Times New Roman"/>
                <w:b/>
                <w:bCs/>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sz w:val="24"/>
          <w:szCs w:val="24"/>
          <w:u w:val="single"/>
          <w:lang w:eastAsia="ru-RU"/>
        </w:rPr>
        <w:t xml:space="preserve">Lot nr. 5</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p>
      <w:pPr>
        <w:widowControl w:val="false"/>
        <w:pBdr/>
        <w:tabs>
          <w:tab w:val="left" w:leader="none" w:pos="284"/>
          <w:tab w:val="right" w:leader="none" w:pos="426"/>
        </w:tabs>
        <w:spacing w:before="120"/>
        <w:ind w:hanging="360" w:left="360"/>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S</w:t>
      </w:r>
      <w:r>
        <w:rPr>
          <w:rFonts w:ascii="Times New Roman" w:hAnsi="Times New Roman" w:cs="Times New Roman"/>
          <w:b/>
          <w:bCs/>
          <w:color w:val="000000"/>
          <w:sz w:val="24"/>
          <w:szCs w:val="24"/>
        </w:rPr>
        <w:t xml:space="preserve">tructura Teritorială de Asistență Socială</w:t>
      </w:r>
      <w:r>
        <w:rPr>
          <w:rFonts w:ascii="Times New Roman" w:hAnsi="Times New Roman" w:cs="Times New Roman"/>
          <w:b/>
          <w:bCs/>
          <w:color w:val="000000"/>
          <w:sz w:val="24"/>
          <w:szCs w:val="24"/>
        </w:rPr>
        <w:t xml:space="preserve"> Florești, or. Florești -  </w:t>
      </w:r>
      <w:r>
        <w:rPr>
          <w:rFonts w:ascii="Times New Roman" w:hAnsi="Times New Roman" w:eastAsia="Times New Roman" w:cs="Times New Roman"/>
          <w:sz w:val="24"/>
          <w:szCs w:val="24"/>
          <w:lang w:eastAsia="ru-RU"/>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bCs/>
          <w:color w:val="000000"/>
          <w:sz w:val="24"/>
          <w:szCs w:val="24"/>
        </w:rPr>
      </w:pPr>
      <w:r/>
      <w:bookmarkStart w:id="1" w:name="_Hlk173831913"/>
      <w:r>
        <w:rPr>
          <w:rFonts w:ascii="Times New Roman" w:hAnsi="Times New Roman" w:cs="Times New Roman"/>
          <w:b/>
          <w:bCs/>
          <w:color w:val="000000"/>
          <w:sz w:val="24"/>
          <w:szCs w:val="24"/>
        </w:rPr>
        <w:t xml:space="preserve">Azilul pentru persoane în etate </w:t>
      </w:r>
      <w:r>
        <w:rPr>
          <w:rFonts w:ascii="Times New Roman" w:hAnsi="Times New Roman" w:cs="Times New Roman"/>
          <w:b/>
          <w:bCs/>
          <w:color w:val="000000"/>
          <w:sz w:val="24"/>
          <w:szCs w:val="24"/>
        </w:rPr>
        <w:t xml:space="preserve">s. Căprești </w:t>
      </w:r>
      <w:r>
        <w:rPr>
          <w:rFonts w:ascii="Times New Roman" w:hAnsi="Times New Roman" w:cs="Times New Roman"/>
          <w:b/>
          <w:bCs/>
          <w:color w:val="000000"/>
          <w:sz w:val="24"/>
          <w:szCs w:val="24"/>
        </w:rPr>
        <w:t xml:space="preserve">din cadrul STAS Florești </w:t>
      </w:r>
      <w:bookmarkEnd w:id="1"/>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widowControl w:val="false"/>
        <w:pBdr/>
        <w:tabs>
          <w:tab w:val="left" w:leader="none" w:pos="284"/>
          <w:tab w:val="right" w:leader="none" w:pos="426"/>
        </w:tabs>
        <w:spacing w:before="120"/>
        <w:ind w:hanging="360" w:left="360"/>
        <w:rPr>
          <w:rFonts w:ascii="Times New Roman" w:hAnsi="Times New Roman" w:cs="Times New Roman"/>
          <w:b/>
          <w:sz w:val="24"/>
          <w:szCs w:val="24"/>
          <w:u w:val="single"/>
          <w:lang w:eastAsia="ru-RU"/>
        </w:rPr>
      </w:pPr>
      <w:r>
        <w:rPr>
          <w:rFonts w:ascii="Times New Roman" w:hAnsi="Times New Roman" w:cs="Times New Roman"/>
          <w:b/>
          <w:bCs/>
          <w:color w:val="000000"/>
          <w:sz w:val="24"/>
          <w:szCs w:val="24"/>
        </w:rPr>
        <w:t xml:space="preserve"> </w:t>
      </w:r>
      <w:r>
        <w:rPr>
          <w:rFonts w:ascii="Times New Roman" w:hAnsi="Times New Roman" w:cs="Times New Roman"/>
          <w:b/>
          <w:sz w:val="24"/>
          <w:szCs w:val="24"/>
          <w:u w:val="single"/>
          <w:lang w:eastAsia="ru-RU"/>
        </w:rPr>
      </w:r>
      <w:r>
        <w:rPr>
          <w:rFonts w:ascii="Times New Roman" w:hAnsi="Times New Roman" w:cs="Times New Roman"/>
          <w:b/>
          <w:sz w:val="24"/>
          <w:szCs w:val="24"/>
          <w:u w:val="single"/>
          <w:lang w:eastAsia="ru-RU"/>
        </w:rPr>
      </w:r>
    </w:p>
    <w:tbl>
      <w:tblPr>
        <w:tblW w:w="9488" w:type="dxa"/>
        <w:tblInd w:w="-5" w:type="dxa"/>
        <w:tblBorders/>
        <w:tblLayout w:type="fixed"/>
        <w:tblLook w:val="04A0" w:firstRow="1" w:lastRow="0" w:firstColumn="1" w:lastColumn="0" w:noHBand="0" w:noVBand="1"/>
      </w:tblPr>
      <w:tblGrid>
        <w:gridCol w:w="567"/>
        <w:gridCol w:w="1276"/>
        <w:gridCol w:w="2126"/>
        <w:gridCol w:w="704"/>
        <w:gridCol w:w="1139"/>
        <w:gridCol w:w="2269"/>
        <w:gridCol w:w="1407"/>
      </w:tblGrid>
      <w:tr>
        <w:trPr>
          <w:trHeight w:val="567"/>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Nr. Lot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Cod CPV</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Denumirea bunurilor solicitate</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U.m.</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Cant.</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Specificarea tehnică deplină solicitată, Standarde de referință</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Valoarea estimată, fără TVA</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p>
            <w:pPr>
              <w:widowControl w:val="false"/>
              <w:pBdr/>
              <w:spacing/>
              <w:ind/>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lei</w:t>
            </w:r>
            <w:r>
              <w:rPr>
                <w:rFonts w:ascii="Times New Roman" w:hAnsi="Times New Roman" w:eastAsia="Times New Roman" w:cs="Times New Roman"/>
                <w:b/>
                <w:sz w:val="24"/>
                <w:szCs w:val="24"/>
                <w:lang w:eastAsia="ru-RU"/>
              </w:rPr>
            </w:r>
            <w:r>
              <w:rPr>
                <w:rFonts w:ascii="Times New Roman" w:hAnsi="Times New Roman" w:eastAsia="Times New Roman" w:cs="Times New Roman"/>
                <w:b/>
                <w:sz w:val="24"/>
                <w:szCs w:val="24"/>
                <w:lang w:eastAsia="ru-RU"/>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333333"/>
                <w:sz w:val="24"/>
                <w:szCs w:val="24"/>
                <w:shd w:val="clear" w:color="auto" w:fill="ffffff"/>
              </w:rPr>
              <w:t xml:space="preserve"> </w:t>
            </w:r>
            <w:r>
              <w:rPr>
                <w:rStyle w:val="1072"/>
                <w:rFonts w:ascii="Times New Roman" w:hAnsi="Times New Roman" w:cs="Times New Roman"/>
                <w:bCs/>
                <w:color w:val="333333"/>
                <w:sz w:val="24"/>
                <w:szCs w:val="24"/>
                <w:shd w:val="clear" w:color="auto" w:fill="ffffff"/>
              </w:rPr>
              <w:t xml:space="preserve">09132000-3</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rPr>
                <w:rFonts w:ascii="Times New Roman" w:hAnsi="Times New Roman" w:cs="Times New Roman"/>
                <w:color w:val="000000"/>
                <w:sz w:val="24"/>
                <w:szCs w:val="24"/>
              </w:rPr>
            </w:pPr>
            <w:r>
              <w:rPr>
                <w:rFonts w:ascii="Times New Roman" w:hAnsi="Times New Roman" w:cs="Times New Roman"/>
                <w:sz w:val="24"/>
                <w:szCs w:val="24"/>
              </w:rPr>
              <w:t xml:space="preserve">Benzină Ai-95</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litru</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2180 </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228+A1:2017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26190,00 </w:t>
            </w:r>
            <w:r>
              <w:rPr>
                <w:rFonts w:ascii="Times New Roman" w:hAnsi="Times New Roman" w:cs="Times New Roman"/>
                <w:color w:val="000000"/>
                <w:sz w:val="24"/>
                <w:szCs w:val="24"/>
                <w:lang w:val="ro-MO"/>
              </w:rPr>
              <w:t xml:space="preserve">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val="false"/>
              <w:pBdr/>
              <w:spacing/>
              <w:ind/>
              <w:jc w:val="center"/>
              <w:rPr>
                <w:rFonts w:ascii="Times New Roman" w:hAnsi="Times New Roman" w:eastAsia="Times New Roman" w:cs="Times New Roman"/>
                <w:color w:val="0d0d0d" w:themeColor="text1" w:themeTint="F2"/>
                <w:sz w:val="24"/>
                <w:szCs w:val="24"/>
                <w:lang w:eastAsia="ru-RU"/>
              </w:rPr>
            </w:pPr>
            <w:r>
              <w:rPr>
                <w:rFonts w:ascii="Times New Roman" w:hAnsi="Times New Roman" w:cs="Times New Roman"/>
                <w:bCs/>
                <w:color w:val="0d0d0d" w:themeColor="text1" w:themeTint="F2"/>
                <w:sz w:val="24"/>
                <w:szCs w:val="24"/>
                <w:shd w:val="clear" w:color="auto" w:fill="e8e8e8"/>
              </w:rPr>
              <w:t xml:space="preserve">09134200-9</w:t>
            </w:r>
            <w:r>
              <w:rPr>
                <w:rFonts w:ascii="Times New Roman" w:hAnsi="Times New Roman" w:eastAsia="Times New Roman" w:cs="Times New Roman"/>
                <w:color w:val="0d0d0d" w:themeColor="text1" w:themeTint="F2"/>
                <w:sz w:val="24"/>
                <w:szCs w:val="24"/>
                <w:lang w:eastAsia="ru-RU"/>
              </w:rPr>
            </w:r>
            <w:r>
              <w:rPr>
                <w:rFonts w:ascii="Times New Roman" w:hAnsi="Times New Roman" w:eastAsia="Times New Roman" w:cs="Times New Roman"/>
                <w:color w:val="0d0d0d" w:themeColor="text1" w:themeTint="F2"/>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widowControl w:val="false"/>
              <w:pBdr/>
              <w:spacing/>
              <w:ind/>
              <w:rPr>
                <w:rFonts w:ascii="Times New Roman" w:hAnsi="Times New Roman" w:cs="Times New Roman"/>
                <w:sz w:val="24"/>
                <w:szCs w:val="24"/>
                <w:lang w:eastAsia="ru-RU"/>
              </w:rPr>
            </w:pPr>
            <w:r>
              <w:rPr>
                <w:rFonts w:ascii="Times New Roman" w:hAnsi="Times New Roman" w:cs="Times New Roman"/>
                <w:sz w:val="24"/>
                <w:szCs w:val="24"/>
              </w:rPr>
              <w:t xml:space="preserve">Motorină EURO-5</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litru</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val="ro-MO"/>
              </w:rPr>
              <w:t xml:space="preserve">1660 </w:t>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widowControl w:val="false"/>
              <w:pBdr/>
              <w:spacing/>
              <w:ind/>
              <w:jc w:val="center"/>
              <w:rPr>
                <w:rFonts w:ascii="Times New Roman" w:hAnsi="Times New Roman" w:cs="Times New Roman"/>
                <w:sz w:val="24"/>
                <w:szCs w:val="24"/>
              </w:rPr>
            </w:pPr>
            <w:r>
              <w:rPr>
                <w:rFonts w:ascii="Times New Roman" w:hAnsi="Times New Roman" w:cs="Times New Roman"/>
                <w:sz w:val="24"/>
                <w:szCs w:val="24"/>
              </w:rPr>
              <w:t xml:space="preserve">SM EN 590+A1:2017</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color w:val="000000"/>
                <w:sz w:val="24"/>
                <w:szCs w:val="24"/>
              </w:rPr>
            </w:pPr>
            <w:r>
              <w:rPr>
                <w:rFonts w:ascii="Times New Roman" w:hAnsi="Times New Roman" w:cs="Times New Roman"/>
                <w:color w:val="000000"/>
                <w:sz w:val="24"/>
                <w:szCs w:val="24"/>
                <w:lang w:val="ro-MO"/>
              </w:rPr>
              <w:t xml:space="preserve">40630,00 </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rHeight w:val="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false"/>
              <w:pBdr/>
              <w:spacing/>
              <w:ind/>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rPr>
                <w:rFonts w:ascii="Times New Roman" w:hAnsi="Times New Roman" w:cs="Times New Roman"/>
                <w:sz w:val="24"/>
                <w:szCs w:val="24"/>
                <w:lang w:eastAsia="ru-RU"/>
              </w:rPr>
            </w:r>
          </w:p>
        </w:tc>
        <w:tc>
          <w:tcPr>
            <w:gridSpan w:val="5"/>
            <w:shd w:val="clear" w:color="ffffff" w:fill="ffffff" w:themeFill="background1"/>
            <w:tcBorders>
              <w:top w:val="single" w:color="000000" w:sz="4" w:space="0"/>
              <w:left w:val="single" w:color="000000" w:sz="4" w:space="0"/>
              <w:bottom w:val="single" w:color="000000" w:sz="4" w:space="0"/>
              <w:right w:val="single" w:color="000000" w:sz="4" w:space="0"/>
            </w:tcBorders>
            <w:tcW w:w="7514" w:type="dxa"/>
            <w:vAlign w:val="center"/>
            <w:textDirection w:val="lrTb"/>
            <w:noWrap w:val="false"/>
          </w:tcPr>
          <w:p>
            <w:pPr>
              <w:widowControl w:val="false"/>
              <w:pBdr/>
              <w:spacing/>
              <w:ind/>
              <w:rPr>
                <w:rFonts w:ascii="Times New Roman" w:hAnsi="Times New Roman" w:cs="Times New Roman"/>
                <w:b/>
                <w:bCs/>
                <w:sz w:val="24"/>
                <w:szCs w:val="24"/>
              </w:rPr>
            </w:pPr>
            <w:r>
              <w:rPr>
                <w:rFonts w:ascii="Times New Roman" w:hAnsi="Times New Roman" w:cs="Times New Roman"/>
                <w:b/>
                <w:bCs/>
                <w:sz w:val="24"/>
                <w:szCs w:val="24"/>
              </w:rPr>
              <w:t xml:space="preserve">Total </w:t>
            </w:r>
            <w:r>
              <w:rPr>
                <w:rFonts w:ascii="Times New Roman" w:hAnsi="Times New Roman" w:cs="Times New Roman"/>
                <w:b/>
                <w:bCs/>
                <w:sz w:val="24"/>
                <w:szCs w:val="24"/>
              </w:rPr>
            </w:r>
            <w:r>
              <w:rPr>
                <w:rFonts w:ascii="Times New Roman" w:hAnsi="Times New Roman" w:cs="Times New Roman"/>
                <w:b/>
                <w:bCs/>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widowControl w:val="false"/>
              <w:pBdr/>
              <w:spacing/>
              <w:ind/>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lang w:val="ro-MO"/>
              </w:rPr>
              <w:t xml:space="preserve">66820,00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pStyle w:val="1070"/>
        <w:pBdr/>
        <w:spacing/>
        <w:ind/>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70"/>
        <w:pBdr/>
        <w:spacing/>
        <w:ind/>
        <w:rPr>
          <w:rFonts w:ascii="Times New Roman" w:hAnsi="Times New Roman" w:cs="Times New Roman"/>
          <w:b/>
          <w:bCs/>
          <w:sz w:val="24"/>
          <w:szCs w:val="24"/>
        </w:rPr>
      </w:pPr>
      <w:r>
        <w:rPr>
          <w:rFonts w:ascii="Times New Roman" w:hAnsi="Times New Roman" w:cs="Times New Roman"/>
          <w:b/>
          <w:bCs/>
          <w:sz w:val="24"/>
          <w:szCs w:val="24"/>
        </w:rPr>
        <w:t xml:space="preserve">Suma totală estimativă </w:t>
      </w:r>
      <w:r>
        <w:rPr>
          <w:rFonts w:ascii="Times New Roman" w:hAnsi="Times New Roman" w:cs="Times New Roman"/>
          <w:b/>
          <w:bCs/>
          <w:sz w:val="24"/>
          <w:szCs w:val="24"/>
        </w:rPr>
        <w:t xml:space="preserve">a procedurii inițiate constituie – </w:t>
      </w:r>
      <w:r>
        <w:rPr>
          <w:rFonts w:ascii="Times New Roman" w:hAnsi="Times New Roman" w:cs="Times New Roman"/>
          <w:b/>
          <w:bCs/>
          <w:sz w:val="24"/>
          <w:szCs w:val="24"/>
          <w:lang w:val="ro-MO"/>
        </w:rPr>
        <w:t xml:space="preserve"> 305500,00</w:t>
      </w:r>
      <w:r>
        <w:rPr>
          <w:rFonts w:ascii="Times New Roman" w:hAnsi="Times New Roman" w:cs="Times New Roman"/>
          <w:b/>
          <w:bCs/>
          <w:sz w:val="24"/>
          <w:szCs w:val="24"/>
        </w:rPr>
      </w:r>
      <w:r>
        <w:rPr>
          <w:rFonts w:ascii="Times New Roman" w:hAnsi="Times New Roman" w:cs="Times New Roman"/>
          <w:b/>
          <w:bCs/>
          <w:sz w:val="24"/>
          <w:szCs w:val="24"/>
        </w:rPr>
      </w:r>
    </w:p>
    <w:p>
      <w:pPr>
        <w:numPr>
          <w:ilvl w:val="0"/>
          <w:numId w:val="91"/>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procedurilor de preselecție se indică numărul minim al candidaţilor, dacă este cazul, numărul maxim al acestora</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Nu </w:t>
      </w:r>
      <w:r>
        <w:rPr>
          <w:rFonts w:ascii="Times New Roman" w:hAnsi="Times New Roman" w:eastAsia="Times New Roman" w:cs="Times New Roman"/>
          <w:b/>
          <w:bCs/>
          <w:color w:val="000000"/>
          <w:sz w:val="24"/>
          <w:szCs w:val="24"/>
        </w:rPr>
        <w:t xml:space="preserve">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2"/>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în care contractul este împărțit pe loturi un operator economic poate depune oferta (se va selecta)</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90"/>
        <w:numPr>
          <w:ilvl w:val="0"/>
          <w:numId w:val="121"/>
        </w:numPr>
        <w:pBdr/>
        <w:shd w:val="clear" w:color="auto" w:fill="ffffff"/>
        <w:tabs>
          <w:tab w:val="left" w:leader="none" w:pos="426"/>
        </w:tabs>
        <w:spacing w:after="160"/>
        <w:ind/>
        <w:rPr>
          <w:b/>
          <w:bCs/>
        </w:rPr>
      </w:pPr>
      <w:r>
        <w:rPr>
          <w:b/>
          <w:bCs/>
          <w:color w:val="000000"/>
        </w:rPr>
        <w:t xml:space="preserve">Pentru un singur lot;</w:t>
      </w:r>
      <w:r>
        <w:rPr>
          <w:b/>
          <w:bCs/>
        </w:rPr>
      </w:r>
      <w:r>
        <w:rPr>
          <w:b/>
          <w:bCs/>
        </w:rPr>
      </w:r>
    </w:p>
    <w:p>
      <w:pPr>
        <w:pStyle w:val="990"/>
        <w:numPr>
          <w:ilvl w:val="0"/>
          <w:numId w:val="121"/>
        </w:numPr>
        <w:pBdr/>
        <w:shd w:val="clear" w:color="auto" w:fill="ffffff"/>
        <w:tabs>
          <w:tab w:val="left" w:leader="none" w:pos="426"/>
        </w:tabs>
        <w:spacing w:after="160"/>
        <w:ind/>
        <w:rPr>
          <w:b/>
          <w:bCs/>
        </w:rPr>
      </w:pPr>
      <w:r>
        <w:rPr>
          <w:b/>
          <w:bCs/>
          <w:color w:val="000000"/>
        </w:rPr>
        <w:t xml:space="preserve">Pentru mai multe loturi;</w:t>
      </w:r>
      <w:r>
        <w:rPr>
          <w:b/>
          <w:bCs/>
        </w:rPr>
      </w:r>
      <w:r>
        <w:rPr>
          <w:b/>
          <w:bCs/>
        </w:rPr>
      </w:r>
    </w:p>
    <w:p>
      <w:pPr>
        <w:pStyle w:val="990"/>
        <w:numPr>
          <w:ilvl w:val="0"/>
          <w:numId w:val="121"/>
        </w:numPr>
        <w:pBdr/>
        <w:shd w:val="clear" w:color="auto" w:fill="ffffff"/>
        <w:tabs>
          <w:tab w:val="left" w:leader="none" w:pos="426"/>
        </w:tabs>
        <w:spacing w:after="160"/>
        <w:ind/>
        <w:rPr>
          <w:b/>
          <w:bCs/>
        </w:rPr>
      </w:pPr>
      <w:r>
        <w:rPr>
          <w:b/>
          <w:bCs/>
          <w:color w:val="000000"/>
        </w:rPr>
        <w:t xml:space="preserve">Pentru toate loturile;</w:t>
      </w:r>
      <w:r>
        <w:rPr>
          <w:b/>
          <w:bCs/>
        </w:rPr>
      </w:r>
      <w:r>
        <w:rPr>
          <w:b/>
          <w:bCs/>
        </w:rPr>
      </w:r>
    </w:p>
    <w:p>
      <w:pPr>
        <w:numPr>
          <w:ilvl w:val="0"/>
          <w:numId w:val="121"/>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Alte limitări privind numărul de loturi care pot fi atribuite aceluiași ofertant – Pentru fiecare poziție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3"/>
        </w:numPr>
        <w:pBdr/>
        <w:shd w:val="clear" w:color="auto" w:fill="ffffff"/>
        <w:tabs>
          <w:tab w:val="left" w:leader="none" w:pos="426"/>
        </w:tabs>
        <w:spacing w:after="16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Alte limitări privind numărul de loturi care pot fi atribuite aceluiași ofertant</w:t>
      </w:r>
      <w:r>
        <w:rPr>
          <w:rFonts w:ascii="Times New Roman" w:hAnsi="Times New Roman" w:eastAsia="Times New Roman" w:cs="Times New Roman"/>
          <w:color w:val="000000"/>
          <w:sz w:val="24"/>
          <w:szCs w:val="24"/>
        </w:rPr>
        <w:t xml:space="preserve"> – Pentru fiecare poziție</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4"/>
        </w:numPr>
        <w:pBdr/>
        <w:shd w:val="clear" w:color="auto" w:fill="ffffff"/>
        <w:tabs>
          <w:tab w:val="left" w:leader="none" w:pos="426"/>
        </w:tabs>
        <w:spacing w:after="16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Admiterea sau interzicerea ofertelor alternative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 se admite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5"/>
        </w:numPr>
        <w:pBdr/>
        <w:shd w:val="clear" w:color="auto" w:fill="ffffff"/>
        <w:tabs>
          <w:tab w:val="left" w:leader="none" w:pos="284"/>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Termenii și condițiile de livrare/prestare solicitați: </w:t>
      </w:r>
      <w:r>
        <w:rPr>
          <w:rFonts w:ascii="Times New Roman" w:hAnsi="Times New Roman" w:eastAsia="Times New Roman" w:cs="Times New Roman"/>
          <w:color w:val="000000"/>
          <w:sz w:val="24"/>
          <w:szCs w:val="24"/>
        </w:rPr>
        <w:t xml:space="preserve">zilnic la stațiile peco preferențial la locul dislocării beneficiarilor (mun Soroca, or.Drochia, or. Dondușeni și or, Florești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6"/>
        </w:numPr>
        <w:pBdr/>
        <w:shd w:val="clear" w:color="auto" w:fill="ffffff"/>
        <w:tabs>
          <w:tab w:val="left" w:leader="none" w:pos="284"/>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Termenul de valabilitate a contractului</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31 </w:t>
      </w:r>
      <w:r>
        <w:rPr>
          <w:rFonts w:ascii="Times New Roman" w:hAnsi="Times New Roman" w:eastAsia="Times New Roman" w:cs="Times New Roman"/>
          <w:b/>
          <w:bCs/>
          <w:color w:val="000000"/>
          <w:sz w:val="24"/>
          <w:szCs w:val="24"/>
        </w:rPr>
        <w:t xml:space="preserve">decembrie</w:t>
      </w:r>
      <w:r>
        <w:rPr>
          <w:rFonts w:ascii="Times New Roman" w:hAnsi="Times New Roman" w:eastAsia="Times New Roman" w:cs="Times New Roman"/>
          <w:b/>
          <w:bCs/>
          <w:color w:val="000000"/>
          <w:sz w:val="24"/>
          <w:szCs w:val="24"/>
        </w:rPr>
        <w:t xml:space="preserve"> 202</w:t>
      </w:r>
      <w:r>
        <w:rPr>
          <w:rFonts w:ascii="Times New Roman" w:hAnsi="Times New Roman" w:eastAsia="Times New Roman" w:cs="Times New Roman"/>
          <w:sz w:val="24"/>
          <w:szCs w:val="24"/>
          <w:lang w:val="ro-MO"/>
        </w:rPr>
        <w:t xml:space="preserve">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7"/>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Contract de achiziție rezervat atelierelor protejate sau că acesta poate fi executat numai în cadrul unor programe de angajare protejată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w:t>
      </w:r>
      <w:r>
        <w:rPr>
          <w:rFonts w:ascii="Times New Roman" w:hAnsi="Times New Roman" w:eastAsia="Times New Roman" w:cs="Times New Roman"/>
          <w:b/>
          <w:bCs/>
          <w:color w:val="000000"/>
          <w:sz w:val="24"/>
          <w:szCs w:val="24"/>
        </w:rPr>
        <w:t xml:space="preserve"> se aplic</w:t>
      </w:r>
      <w:r>
        <w:rPr>
          <w:rFonts w:ascii="Times New Roman" w:hAnsi="Times New Roman" w:eastAsia="Times New Roman" w:cs="Times New Roman"/>
          <w:b/>
          <w:bCs/>
          <w:color w:val="000000"/>
          <w:sz w:val="24"/>
          <w:szCs w:val="24"/>
        </w:rPr>
        <w:t xml:space="preserve">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8"/>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 xml:space="preserve">Prestarea serviciului este rezervată unei anumite profesii în temeiul unor legi sau al unor acte administrative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99"/>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Scurta descrie</w:t>
      </w:r>
      <w:r>
        <w:rPr>
          <w:rFonts w:ascii="Times New Roman" w:hAnsi="Times New Roman" w:eastAsia="Times New Roman" w:cs="Times New Roman"/>
          <w:color w:val="000000"/>
          <w:sz w:val="24"/>
          <w:szCs w:val="24"/>
        </w:rPr>
        <w:t xml:space="preserve">re a criteriilor privind eligibilitatea operatorilor economici care pot determina eliminarea acestora și a criteriilor de selecție/de preselecție; nivelul minim (nivelurile minime) al (ale) cerințelor eventual impuse; se menționează informațiile solicitate</w:t>
      </w:r>
      <w:r>
        <w:rPr>
          <w:rFonts w:ascii="Times New Roman" w:hAnsi="Times New Roman" w:eastAsia="Times New Roman" w:cs="Times New Roman"/>
          <w:b/>
          <w:bCs/>
          <w:color w:val="000000"/>
          <w:sz w:val="24"/>
          <w:szCs w:val="24"/>
        </w:rPr>
        <w:t xml:space="preserve"> (DUAE, documentație):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1069"/>
        <w:tblW w:w="0" w:type="auto"/>
        <w:jc w:val="center"/>
        <w:tblBorders/>
        <w:tblLook w:val="04A0" w:firstRow="1" w:lastRow="0" w:firstColumn="1" w:lastColumn="0" w:noHBand="0" w:noVBand="1"/>
      </w:tblPr>
      <w:tblGrid>
        <w:gridCol w:w="576"/>
        <w:gridCol w:w="2963"/>
        <w:gridCol w:w="4333"/>
        <w:gridCol w:w="1750"/>
      </w:tblGrid>
      <w:tr>
        <w:trPr>
          <w:jc w:val="center"/>
          <w:trHeight w:val="418"/>
        </w:trPr>
        <w:tc>
          <w:tcPr>
            <w:shd w:val="clear" w:color="ffffff" w:fill="d9d9d9"/>
            <w:tcBorders/>
            <w:tcW w:w="576" w:type="dxa"/>
            <w:vAlign w:val="center"/>
            <w:textDirection w:val="lrTb"/>
            <w:noWrap w:val="false"/>
          </w:tcPr>
          <w:p>
            <w:pPr>
              <w:widowControl w:val="false"/>
              <w:pBdr/>
              <w:tabs>
                <w:tab w:val="left" w:leader="none" w:pos="612"/>
              </w:tabs>
              <w:spacing/>
              <w:ind/>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Nr. d/o</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2963"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Descrierea criteriului/cerinței</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4333"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Mod de demonstrare a îndeplinirii criteriului/cerinței:</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c>
          <w:tcPr>
            <w:shd w:val="clear" w:color="ffffff" w:fill="d9d9d9"/>
            <w:tcBorders/>
            <w:tcW w:w="1750"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b/>
                <w:iCs/>
                <w:sz w:val="24"/>
                <w:szCs w:val="24"/>
                <w:lang w:eastAsia="ru-RU"/>
              </w:rPr>
            </w:pPr>
            <w:r>
              <w:rPr>
                <w:rFonts w:ascii="Times New Roman" w:hAnsi="Times New Roman" w:eastAsia="Times New Roman" w:cs="Times New Roman"/>
                <w:b/>
                <w:iCs/>
                <w:sz w:val="24"/>
                <w:szCs w:val="24"/>
                <w:lang w:eastAsia="ru-RU"/>
              </w:rPr>
              <w:t xml:space="preserve">Nivelul minim/</w:t>
            </w:r>
            <w:r>
              <w:rPr>
                <w:rFonts w:ascii="Times New Roman" w:hAnsi="Times New Roman" w:eastAsia="Times New Roman" w:cs="Times New Roman"/>
                <w:b/>
                <w:iCs/>
                <w:sz w:val="24"/>
                <w:szCs w:val="24"/>
                <w:lang w:eastAsia="ru-RU"/>
              </w:rPr>
              <w:br/>
              <w:t xml:space="preserve">Obligativitatea</w:t>
            </w:r>
            <w:r>
              <w:rPr>
                <w:rFonts w:ascii="Times New Roman" w:hAnsi="Times New Roman" w:eastAsia="Times New Roman" w:cs="Times New Roman"/>
                <w:b/>
                <w:iCs/>
                <w:sz w:val="24"/>
                <w:szCs w:val="24"/>
                <w:lang w:eastAsia="ru-RU"/>
              </w:rPr>
            </w:r>
            <w:r>
              <w:rPr>
                <w:rFonts w:ascii="Times New Roman" w:hAnsi="Times New Roman" w:eastAsia="Times New Roman" w:cs="Times New Roman"/>
                <w:b/>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1</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612"/>
              </w:tabs>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DUAE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Conform modelului aprobat prin Ordinul MF 72/2020 – semnat electronic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shd w:val="clear" w:color="ffffff" w:fill="ffffff"/>
            <w:tcBorders/>
            <w:tcW w:w="1750" w:type="dxa"/>
            <w:vAlign w:val="center"/>
            <w:textDirection w:val="lrTb"/>
            <w:noWrap w:val="false"/>
          </w:tcPr>
          <w:p>
            <w:pPr>
              <w:widowControl w:val="false"/>
              <w:pBdr/>
              <w:tabs>
                <w:tab w:val="left" w:leader="none" w:pos="612"/>
              </w:tabs>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2</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Propunerea tehnică</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nr.22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3</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sz w:val="24"/>
                <w:szCs w:val="24"/>
              </w:rPr>
            </w:pPr>
            <w:r>
              <w:rPr>
                <w:rFonts w:ascii="Times New Roman" w:hAnsi="Times New Roman" w:eastAsia="PMingLiU" w:cs="Times New Roman"/>
                <w:bCs/>
                <w:sz w:val="24"/>
                <w:szCs w:val="24"/>
              </w:rPr>
              <w:t xml:space="preserve">Propunerea financiară</w:t>
            </w:r>
            <w:r>
              <w:rPr>
                <w:rFonts w:ascii="Times New Roman" w:hAnsi="Times New Roman" w:eastAsia="PMingLiU" w:cs="Times New Roman"/>
                <w:sz w:val="24"/>
                <w:szCs w:val="24"/>
              </w:rPr>
            </w:r>
            <w:r>
              <w:rPr>
                <w:rFonts w:ascii="Times New Roman" w:hAnsi="Times New Roman" w:eastAsia="PMingLiU" w:cs="Times New Roman"/>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nr.23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4</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Cerere de participare</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nr.7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val="en-US" w:eastAsia="ru-RU"/>
              </w:rPr>
            </w:pPr>
            <w:r>
              <w:rPr>
                <w:rFonts w:ascii="Times New Roman" w:hAnsi="Times New Roman" w:eastAsia="Times New Roman" w:cs="Times New Roman"/>
                <w:iCs/>
                <w:sz w:val="24"/>
                <w:szCs w:val="24"/>
                <w:lang w:val="en-US" w:eastAsia="ru-RU"/>
              </w:rPr>
              <w:t xml:space="preserve">5</w:t>
            </w:r>
            <w:r>
              <w:rPr>
                <w:rFonts w:ascii="Times New Roman" w:hAnsi="Times New Roman" w:eastAsia="Times New Roman" w:cs="Times New Roman"/>
                <w:iCs/>
                <w:sz w:val="24"/>
                <w:szCs w:val="24"/>
                <w:lang w:val="en-US" w:eastAsia="ru-RU"/>
              </w:rPr>
            </w:r>
            <w:r>
              <w:rPr>
                <w:rFonts w:ascii="Times New Roman" w:hAnsi="Times New Roman" w:eastAsia="Times New Roman" w:cs="Times New Roman"/>
                <w:iCs/>
                <w:sz w:val="24"/>
                <w:szCs w:val="24"/>
                <w:lang w:val="en-US"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Declarație privind valabilitatea ofertei</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nr.8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val="en-US" w:eastAsia="ru-RU"/>
              </w:rPr>
            </w:pPr>
            <w:r>
              <w:rPr>
                <w:rFonts w:ascii="Times New Roman" w:hAnsi="Times New Roman" w:eastAsia="Times New Roman" w:cs="Times New Roman"/>
                <w:iCs/>
                <w:sz w:val="24"/>
                <w:szCs w:val="24"/>
                <w:lang w:val="en-US" w:eastAsia="ru-RU"/>
              </w:rPr>
              <w:t xml:space="preserve">6</w:t>
            </w:r>
            <w:r>
              <w:rPr>
                <w:rFonts w:ascii="Times New Roman" w:hAnsi="Times New Roman" w:eastAsia="Times New Roman" w:cs="Times New Roman"/>
                <w:iCs/>
                <w:sz w:val="24"/>
                <w:szCs w:val="24"/>
                <w:lang w:val="en-US" w:eastAsia="ru-RU"/>
              </w:rPr>
            </w:r>
            <w:r>
              <w:rPr>
                <w:rFonts w:ascii="Times New Roman" w:hAnsi="Times New Roman" w:eastAsia="Times New Roman" w:cs="Times New Roman"/>
                <w:iCs/>
                <w:sz w:val="24"/>
                <w:szCs w:val="24"/>
                <w:lang w:val="en-US" w:eastAsia="ru-RU"/>
              </w:rPr>
            </w:r>
          </w:p>
        </w:tc>
        <w:tc>
          <w:tcPr>
            <w:shd w:val="clear" w:color="ffffff" w:fill="ffffff"/>
            <w:tcBorders/>
            <w:tcW w:w="2963" w:type="dxa"/>
            <w:vAlign w:val="center"/>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Declarație privind confirmarea identității beneficiarilor efectivi</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4333" w:type="dxa"/>
            <w:vAlign w:val="center"/>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Times New Roman" w:cs="Times New Roman"/>
                <w:sz w:val="24"/>
                <w:szCs w:val="24"/>
              </w:rPr>
              <w:t xml:space="preserve">Conform modelului aprobat prin Ordinul MF 145/2020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7</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spacing/>
              <w:ind/>
              <w:rPr>
                <w:rFonts w:ascii="Times New Roman" w:hAnsi="Times New Roman" w:cs="Times New Roman"/>
                <w:sz w:val="24"/>
                <w:szCs w:val="24"/>
              </w:rPr>
            </w:pPr>
            <w:r>
              <w:rPr>
                <w:rStyle w:val="1073"/>
                <w:rFonts w:eastAsia="SimSun"/>
                <w:sz w:val="24"/>
                <w:szCs w:val="24"/>
              </w:rPr>
              <w:t xml:space="preserve">Dovada înregistrării persoanei juridice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iCs/>
                <w:sz w:val="24"/>
                <w:szCs w:val="24"/>
              </w:rPr>
              <w:t xml:space="preserve">Extras din Registrul de Stat al persoanelor juridice </w:t>
            </w:r>
            <w:r>
              <w:rPr>
                <w:rFonts w:ascii="Times New Roman" w:hAnsi="Times New Roman" w:eastAsia="Times New Roman" w:cs="Times New Roman"/>
                <w:sz w:val="24"/>
                <w:szCs w:val="24"/>
              </w:rPr>
              <w:t xml:space="preserve"> – semnat electronic</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8</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sz w:val="24"/>
                <w:szCs w:val="24"/>
              </w:rPr>
              <w:t xml:space="preserve">Îndeplinirea obligaţiilor de plată a impozitelor, taxelor şi contribuţiilor de asigurări sociale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eastAsia="PMingLiU" w:cs="Times New Roman"/>
                <w:iCs/>
                <w:sz w:val="24"/>
                <w:szCs w:val="24"/>
              </w:rPr>
              <w:t xml:space="preserve">Certificat de efectuare sistematică a plăţii impozitelor, contribuţiilor eliberat de Inspectoratul Fiscal </w:t>
            </w:r>
            <w:r>
              <w:rPr>
                <w:rFonts w:ascii="Times New Roman" w:hAnsi="Times New Roman" w:eastAsia="Times New Roman" w:cs="Times New Roman"/>
                <w:sz w:val="24"/>
                <w:szCs w:val="24"/>
              </w:rPr>
              <w:t xml:space="preserve"> – semnat electronic</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9</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cW w:w="2963" w:type="dxa"/>
            <w:vAlign w:val="center"/>
            <w:textDirection w:val="lrTb"/>
            <w:noWrap w:val="false"/>
          </w:tcPr>
          <w:p>
            <w:pPr>
              <w:pStyle w:val="991"/>
              <w:widowControl w:val="false"/>
              <w:pBdr/>
              <w:spacing/>
              <w:ind w:right="-57" w:left="18"/>
              <w:rPr>
                <w:rFonts w:ascii="Times New Roman" w:hAnsi="Times New Roman"/>
                <w:szCs w:val="24"/>
              </w:rPr>
            </w:pPr>
            <w:r>
              <w:rPr>
                <w:rFonts w:ascii="Times New Roman" w:hAnsi="Times New Roman"/>
                <w:szCs w:val="24"/>
              </w:rPr>
              <w:t xml:space="preserve">Licența de activitate (sau actul ce confirmă dreptul operatorului economic se presteze/livreze serviciile/bunurile solicitate)</w:t>
            </w:r>
            <w:r>
              <w:rPr>
                <w:rFonts w:ascii="Times New Roman" w:hAnsi="Times New Roman"/>
                <w:szCs w:val="24"/>
              </w:rPr>
            </w:r>
            <w:r>
              <w:rPr>
                <w:rFonts w:ascii="Times New Roman" w:hAnsi="Times New Roman"/>
                <w:szCs w:val="24"/>
              </w:rPr>
            </w:r>
          </w:p>
        </w:tc>
        <w:tc>
          <w:tcPr>
            <w:shd w:val="clear" w:color="ffffff" w:fill="ffffff"/>
            <w:tcBorders/>
            <w:tcW w:w="4333" w:type="dxa"/>
            <w:vAlign w:val="center"/>
            <w:textDirection w:val="lrTb"/>
            <w:noWrap w:val="false"/>
          </w:tcPr>
          <w:p>
            <w:pPr>
              <w:pStyle w:val="990"/>
              <w:widowControl w:val="false"/>
              <w:pBdr/>
              <w:spacing/>
              <w:ind w:left="0"/>
              <w:rPr>
                <w:rFonts w:eastAsia="SimSun"/>
              </w:rPr>
            </w:pPr>
            <w:r>
              <w:rPr>
                <w:color w:val="000000" w:themeColor="text1"/>
              </w:rPr>
              <w:t xml:space="preserve">Copie </w:t>
            </w:r>
            <w:r>
              <w:rPr>
                <w:iCs/>
                <w:color w:val="000000" w:themeColor="text1"/>
              </w:rPr>
              <w:t xml:space="preserve">confirmată prin aplicarea semnăturii </w:t>
            </w:r>
            <w:r>
              <w:t xml:space="preserve">electronice</w:t>
            </w:r>
            <w:r>
              <w:rPr>
                <w:rFonts w:eastAsia="SimSun"/>
              </w:rPr>
            </w:r>
            <w:r>
              <w:rPr>
                <w:rFonts w:eastAsia="SimSun"/>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cW w:w="576"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10</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op w:val="single" w:color="000000" w:sz="5" w:space="0"/>
              <w:left w:val="single" w:color="000000" w:sz="5" w:space="0"/>
              <w:bottom w:val="single" w:color="000000" w:sz="5" w:space="0"/>
              <w:right w:val="single" w:color="000000" w:sz="5" w:space="0"/>
            </w:tcBorders>
            <w:tcW w:w="2963" w:type="dxa"/>
            <w:vAlign w:val="center"/>
            <w:textDirection w:val="lrTb"/>
            <w:noWrap w:val="false"/>
          </w:tcPr>
          <w:p>
            <w:pPr>
              <w:widowControl w:val="false"/>
              <w:pBdr/>
              <w:tabs>
                <w:tab w:val="left" w:leader="none" w:pos="540"/>
              </w:tabs>
              <w:spacing/>
              <w:ind/>
              <w:rPr>
                <w:rFonts w:ascii="Times New Roman" w:hAnsi="Times New Roman" w:cs="Times New Roman"/>
                <w:bCs/>
                <w:sz w:val="24"/>
                <w:szCs w:val="24"/>
              </w:rPr>
            </w:pPr>
            <w:r>
              <w:rPr>
                <w:rFonts w:ascii="Times New Roman" w:hAnsi="Times New Roman" w:cs="Times New Roman"/>
                <w:bCs/>
                <w:sz w:val="24"/>
                <w:szCs w:val="24"/>
              </w:rPr>
              <w:t xml:space="preserve">Certificatul de conformitate </w:t>
            </w:r>
            <w:r>
              <w:rPr>
                <w:rFonts w:ascii="Times New Roman" w:hAnsi="Times New Roman" w:cs="Times New Roman"/>
                <w:sz w:val="24"/>
                <w:szCs w:val="24"/>
              </w:rPr>
              <w:t xml:space="preserve">(sau actul</w:t>
            </w:r>
            <w:r>
              <w:rPr>
                <w:rFonts w:ascii="Times New Roman" w:hAnsi="Times New Roman" w:cs="Times New Roman"/>
                <w:bCs/>
                <w:sz w:val="24"/>
                <w:szCs w:val="24"/>
              </w:rPr>
              <w:t xml:space="preserve"> ce confirmă calitatea bunurilor propuse la licitație)</w:t>
            </w:r>
            <w:r>
              <w:rPr>
                <w:rFonts w:ascii="Times New Roman" w:hAnsi="Times New Roman" w:cs="Times New Roman"/>
                <w:bCs/>
                <w:sz w:val="24"/>
                <w:szCs w:val="24"/>
              </w:rPr>
            </w:r>
            <w:r>
              <w:rPr>
                <w:rFonts w:ascii="Times New Roman" w:hAnsi="Times New Roman" w:cs="Times New Roman"/>
                <w:bCs/>
                <w:sz w:val="24"/>
                <w:szCs w:val="24"/>
              </w:rPr>
            </w:r>
          </w:p>
        </w:tc>
        <w:tc>
          <w:tcPr>
            <w:shd w:val="clear" w:color="ffffff" w:fill="ffffff"/>
            <w:tcBorders>
              <w:top w:val="single" w:color="000000" w:sz="5" w:space="0"/>
              <w:left w:val="single" w:color="000000" w:sz="5" w:space="0"/>
              <w:bottom w:val="single" w:color="000000" w:sz="5" w:space="0"/>
              <w:right w:val="single" w:color="000000" w:sz="5" w:space="0"/>
            </w:tcBorders>
            <w:tcW w:w="4333" w:type="dxa"/>
            <w:vAlign w:val="center"/>
            <w:textDirection w:val="lrTb"/>
            <w:noWrap w:val="false"/>
          </w:tcPr>
          <w:p>
            <w:pPr>
              <w:widowControl w:val="false"/>
              <w:pBdr/>
              <w:spacing/>
              <w:ind/>
              <w:rPr>
                <w:rFonts w:ascii="Times New Roman" w:hAnsi="Times New Roman" w:cs="Times New Roman"/>
                <w:sz w:val="24"/>
                <w:szCs w:val="24"/>
              </w:rPr>
            </w:pPr>
            <w:r>
              <w:rPr>
                <w:rFonts w:ascii="Times New Roman" w:hAnsi="Times New Roman" w:cs="Times New Roman"/>
                <w:color w:val="000000" w:themeColor="text1"/>
                <w:sz w:val="24"/>
                <w:szCs w:val="24"/>
              </w:rPr>
              <w:t xml:space="preserve">Copie </w:t>
            </w:r>
            <w:r>
              <w:rPr>
                <w:rFonts w:ascii="Times New Roman" w:hAnsi="Times New Roman" w:cs="Times New Roman"/>
                <w:iCs/>
                <w:color w:val="000000" w:themeColor="text1"/>
                <w:sz w:val="24"/>
                <w:szCs w:val="24"/>
              </w:rPr>
              <w:t xml:space="preserve">confirmată prin aplicarea semnăturii </w:t>
            </w:r>
            <w:r>
              <w:rPr>
                <w:rFonts w:ascii="Times New Roman" w:hAnsi="Times New Roman" w:eastAsia="Times New Roman" w:cs="Times New Roman"/>
                <w:sz w:val="24"/>
                <w:szCs w:val="24"/>
              </w:rPr>
              <w:t xml:space="preserve">electronice</w:t>
            </w:r>
            <w:r>
              <w:rPr>
                <w:rFonts w:ascii="Times New Roman" w:hAnsi="Times New Roman" w:cs="Times New Roman"/>
                <w:sz w:val="24"/>
                <w:szCs w:val="24"/>
              </w:rPr>
            </w:r>
            <w:r>
              <w:rPr>
                <w:rFonts w:ascii="Times New Roman" w:hAnsi="Times New Roman" w:cs="Times New Roman"/>
                <w:sz w:val="24"/>
                <w:szCs w:val="24"/>
              </w:rPr>
            </w:r>
          </w:p>
        </w:tc>
        <w:tc>
          <w:tcPr>
            <w:shd w:val="clear" w:color="ffffff" w:fill="ffffff"/>
            <w:tcBorders/>
            <w:tcW w:w="1750" w:type="dxa"/>
            <w:vAlign w:val="center"/>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jc w:val="center"/>
        </w:trPr>
        <w:tc>
          <w:tcPr>
            <w:shd w:val="clear" w:color="ffffff" w:fill="ffffff"/>
            <w:tcBorders>
              <w:top w:val="single" w:color="000000" w:sz="4" w:space="0"/>
              <w:left w:val="single" w:color="000000" w:sz="4" w:space="0"/>
              <w:bottom w:val="none" w:color="000000" w:sz="4" w:space="0"/>
              <w:right w:val="none" w:color="000000" w:sz="4" w:space="0"/>
            </w:tcBorders>
            <w:tcW w:w="576"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11</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shd w:val="clear" w:color="ffffff" w:fill="ffffff"/>
            <w:tcBorders>
              <w:top w:val="single" w:color="000000" w:sz="4" w:space="0"/>
              <w:left w:val="single" w:color="000000" w:sz="4" w:space="0"/>
              <w:bottom w:val="none" w:color="000000" w:sz="4" w:space="0"/>
              <w:right w:val="none" w:color="000000" w:sz="4" w:space="0"/>
            </w:tcBorders>
            <w:tcW w:w="2963" w:type="dxa"/>
            <w:vAlign w:val="center"/>
            <w:textDirection w:val="lrTb"/>
            <w:noWrap w:val="false"/>
          </w:tcPr>
          <w:p>
            <w:pPr>
              <w:widowControl w:val="false"/>
              <w:pBdr/>
              <w:tabs>
                <w:tab w:val="left" w:leader="none" w:pos="540"/>
              </w:tabs>
              <w:spacing/>
              <w:ind/>
              <w:rPr>
                <w:rFonts w:ascii="Times New Roman" w:hAnsi="Times New Roman" w:cs="Times New Roman"/>
                <w:bCs/>
                <w:sz w:val="24"/>
                <w:szCs w:val="24"/>
              </w:rPr>
            </w:pPr>
            <w:r>
              <w:rPr>
                <w:rFonts w:ascii="Times New Roman" w:hAnsi="Times New Roman" w:eastAsia="Times New Roman" w:cs="Times New Roman"/>
                <w:color w:val="000000"/>
                <w:sz w:val="24"/>
                <w:szCs w:val="24"/>
              </w:rPr>
              <w:t xml:space="preserve">Lista stațiilor PECO</w:t>
            </w:r>
            <w:r>
              <w:rPr>
                <w:rFonts w:ascii="Times New Roman" w:hAnsi="Times New Roman" w:cs="Times New Roman"/>
                <w:bCs/>
                <w:sz w:val="24"/>
                <w:szCs w:val="24"/>
              </w:rPr>
            </w:r>
            <w:r>
              <w:rPr>
                <w:rFonts w:ascii="Times New Roman" w:hAnsi="Times New Roman" w:cs="Times New Roman"/>
                <w:bCs/>
                <w:sz w:val="24"/>
                <w:szCs w:val="24"/>
              </w:rPr>
            </w:r>
          </w:p>
        </w:tc>
        <w:tc>
          <w:tcPr>
            <w:shd w:val="clear" w:color="ffffff" w:fill="ffffff"/>
            <w:tcBorders>
              <w:top w:val="single" w:color="000000" w:sz="4" w:space="0"/>
              <w:left w:val="single" w:color="000000" w:sz="4" w:space="0"/>
              <w:bottom w:val="none" w:color="000000" w:sz="4" w:space="0"/>
              <w:right w:val="none" w:color="000000" w:sz="4" w:space="0"/>
            </w:tcBorders>
            <w:tcW w:w="4333" w:type="dxa"/>
            <w:vAlign w:val="center"/>
            <w:textDirection w:val="lrTb"/>
            <w:noWrap w:val="false"/>
          </w:tcPr>
          <w:p>
            <w:pPr>
              <w:widowControl w:val="false"/>
              <w:pBdr/>
              <w:spacing/>
              <w:ind/>
              <w:rPr>
                <w:rFonts w:ascii="Times New Roman" w:hAnsi="Times New Roman" w:cs="Times New Roman"/>
                <w:color w:val="000000" w:themeColor="text1"/>
                <w:sz w:val="24"/>
                <w:szCs w:val="24"/>
              </w:rPr>
            </w:pPr>
            <w:r>
              <w:rPr>
                <w:rFonts w:ascii="Times New Roman" w:hAnsi="Times New Roman" w:eastAsia="Times New Roman" w:cs="Times New Roman"/>
                <w:color w:val="000000"/>
                <w:sz w:val="24"/>
                <w:szCs w:val="24"/>
              </w:rPr>
              <w:t xml:space="preserve">Ofertantul trebuie să posede o rețea de stații foarte dezvoltată, astfel, să aibă cel puțin 85% de acoperire în raioanele R. Moldova, original sau copie confirmată prin aplicarea semnăturii și ștampilei Participantului</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tc>
        <w:tc>
          <w:tcPr>
            <w:shd w:val="clear" w:color="ffffff" w:fill="ffffff"/>
            <w:tcBorders>
              <w:top w:val="single" w:color="000000" w:sz="4" w:space="0"/>
              <w:left w:val="single" w:color="000000" w:sz="4" w:space="0"/>
              <w:bottom w:val="none" w:color="000000" w:sz="4" w:space="0"/>
              <w:right w:val="single" w:color="000000" w:sz="4" w:space="0"/>
            </w:tcBorders>
            <w:tcW w:w="1750" w:type="dxa"/>
            <w:vAlign w:val="center"/>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bl>
    <w:p>
      <w:pPr>
        <w:numPr>
          <w:ilvl w:val="0"/>
          <w:numId w:val="100"/>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Garanția pentru ofertă,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_, cuantumul</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1"/>
        </w:numPr>
        <w:pBdr/>
        <w:spacing w:after="16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Garanția de bună execuție a contractului</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 cuantumul</w:t>
      </w:r>
      <w:r>
        <w:rPr>
          <w:rFonts w:ascii="Times New Roman" w:hAnsi="Times New Roman" w:eastAsia="Times New Roman" w:cs="Times New Roman"/>
          <w:b/>
          <w:bCs/>
          <w:color w:val="000000"/>
          <w:sz w:val="24"/>
          <w:szCs w:val="24"/>
        </w:rPr>
        <w:t xml:space="preserve"> -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2"/>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Motivul recurgerii la procedura accelerată (în cazul licitației deschise, restrânse și a procedurii negociate),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 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3"/>
        </w:numPr>
        <w:pBdr/>
        <w:shd w:val="clear" w:color="auto" w:fill="ffffff"/>
        <w:tabs>
          <w:tab w:val="left" w:leader="none" w:pos="426"/>
        </w:tabs>
        <w:spacing w:before="120"/>
        <w:ind w:hanging="360" w:left="720"/>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Tehnici și instrumente specifice de atribuire (dacă este cazul specificați dacă se va utiliza acordul-cadru, sistemul dinamic de achiziție sau licitația electronică)</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licitație electronica.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3"/>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Condiții speciale de care depinde îndeplinirea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indicați după caz</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4"/>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Ofertele se prezintă în valuta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lei </w:t>
      </w:r>
      <w:r>
        <w:rPr>
          <w:rFonts w:ascii="Times New Roman" w:hAnsi="Times New Roman" w:eastAsia="Times New Roman" w:cs="Times New Roman"/>
          <w:b/>
          <w:bCs/>
          <w:color w:val="000000"/>
          <w:sz w:val="24"/>
          <w:szCs w:val="24"/>
        </w:rPr>
        <w:t xml:space="preserve">MD</w:t>
      </w:r>
      <w:r>
        <w:rPr>
          <w:rFonts w:ascii="Times New Roman" w:hAnsi="Times New Roman" w:eastAsia="Times New Roman" w:cs="Times New Roman"/>
          <w:b/>
          <w:bCs/>
          <w:color w:val="000000"/>
          <w:sz w:val="24"/>
          <w:szCs w:val="24"/>
        </w:rPr>
        <w:t xml:space="preserve"> fără TVA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5"/>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Criteriul de evaluare aplicat pentru atribuirea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Cel mai mic preț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6"/>
        </w:numPr>
        <w:pBdr/>
        <w:tabs>
          <w:tab w:val="left" w:leader="none" w:pos="426"/>
        </w:tabs>
        <w:spacing w:before="120"/>
        <w:ind w:left="36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Factorii de evaluare a ofertei celei mai avantajoase din punct de vedere economic, precum și ponderile lor:</w:t>
      </w:r>
      <w:r>
        <w:rPr>
          <w:rFonts w:ascii="Times New Roman" w:hAnsi="Times New Roman" w:eastAsia="Times New Roman" w:cs="Times New Roman"/>
          <w:b/>
          <w:bCs/>
          <w:color w:val="000000"/>
          <w:sz w:val="24"/>
          <w:szCs w:val="24"/>
        </w:rPr>
        <w:t xml:space="preserve"> - nu se aplică</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6"/>
        <w:gridCol w:w="6746"/>
        <w:gridCol w:w="1722"/>
      </w:tblGrid>
      <w:tr>
        <w:trPr>
          <w:tblCellSpacing w:w="0" w:type="dxa"/>
        </w:trPr>
        <w:tc>
          <w:tcPr>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Nr. d/o</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6746"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factorului de evaluare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1722"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Ponderea%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Height w:val="307"/>
        </w:trPr>
        <w:tc>
          <w:tcPr>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6746"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1722" w:type="dxa"/>
            <w:vAlign w:val="center"/>
            <w:textDirection w:val="lrTb"/>
            <w:noWrap w:val="false"/>
          </w:tcPr>
          <w:p>
            <w:pPr>
              <w:pBdr/>
              <w:shd w:val="clear" w:color="auto" w:fill="ffffff"/>
              <w:tabs>
                <w:tab w:val="left" w:leader="none" w:pos="612"/>
              </w:tabs>
              <w:spacing w:after="120"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numPr>
          <w:ilvl w:val="0"/>
          <w:numId w:val="107"/>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Termenul limită de depunere/deschidere a ofertelor:</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90"/>
        <w:widowControl w:val="false"/>
        <w:numPr>
          <w:ilvl w:val="0"/>
          <w:numId w:val="0"/>
        </w:numPr>
        <w:pBdr/>
        <w:tabs>
          <w:tab w:val="left" w:leader="none" w:pos="822"/>
        </w:tabs>
        <w:spacing w:before="120"/>
        <w:ind w:left="360"/>
        <w:rPr>
          <w:lang w:val="ro-RO"/>
        </w:rPr>
      </w:pPr>
      <w:r>
        <w:rPr>
          <w:b/>
          <w:lang w:val="ro-RO"/>
        </w:rPr>
        <w:t xml:space="preserve">până la:  </w:t>
      </w:r>
      <w:r>
        <w:rPr>
          <w:b/>
          <w:i/>
          <w:spacing w:val="-1"/>
          <w:lang w:val="ro-RO"/>
        </w:rPr>
        <w:t xml:space="preserve">Conform</w:t>
      </w:r>
      <w:r>
        <w:rPr>
          <w:b/>
          <w:i/>
          <w:lang w:val="ro-RO"/>
        </w:rPr>
        <w:t xml:space="preserve">  </w:t>
      </w:r>
      <w:r>
        <w:rPr>
          <w:b/>
          <w:i/>
          <w:spacing w:val="-1"/>
          <w:lang w:val="ro-RO"/>
        </w:rPr>
        <w:t xml:space="preserve">informaţiei</w:t>
      </w:r>
      <w:r>
        <w:rPr>
          <w:b/>
          <w:i/>
          <w:lang w:val="ro-RO"/>
        </w:rPr>
        <w:t xml:space="preserve">  SIA</w:t>
      </w:r>
      <w:r>
        <w:rPr>
          <w:b/>
          <w:i/>
          <w:spacing w:val="58"/>
          <w:lang w:val="ro-RO"/>
        </w:rPr>
        <w:t xml:space="preserve"> </w:t>
      </w:r>
      <w:r>
        <w:rPr>
          <w:b/>
          <w:i/>
          <w:lang w:val="ro-RO"/>
        </w:rPr>
        <w:t xml:space="preserve">RSAP</w:t>
      </w:r>
      <w:r>
        <w:rPr>
          <w:lang w:val="ro-RO"/>
        </w:rPr>
      </w:r>
      <w:r>
        <w:rPr>
          <w:lang w:val="ro-RO"/>
        </w:rPr>
      </w:r>
    </w:p>
    <w:p>
      <w:pPr>
        <w:widowControl w:val="false"/>
        <w:pBdr/>
        <w:tabs>
          <w:tab w:val="left" w:leader="none" w:pos="822"/>
        </w:tabs>
        <w:spacing w:before="120"/>
        <w:ind/>
        <w:rPr>
          <w:rFonts w:ascii="Times New Roman" w:hAnsi="Times New Roman" w:cs="Times New Roman"/>
          <w:sz w:val="24"/>
          <w:szCs w:val="24"/>
          <w:lang w:val="ro-RO"/>
        </w:rPr>
      </w:pPr>
      <w:r>
        <w:rPr>
          <w:rFonts w:ascii="Times New Roman" w:hAnsi="Times New Roman" w:cs="Times New Roman"/>
          <w:b/>
          <w:spacing w:val="-1"/>
          <w:sz w:val="24"/>
          <w:szCs w:val="24"/>
          <w:lang w:val="ro-RO"/>
        </w:rPr>
        <w:t xml:space="preserve">       pe:</w:t>
      </w:r>
      <w:r>
        <w:rPr>
          <w:rFonts w:ascii="Times New Roman" w:hAnsi="Times New Roman" w:cs="Times New Roman"/>
          <w:b/>
          <w:spacing w:val="59"/>
          <w:sz w:val="24"/>
          <w:szCs w:val="24"/>
          <w:lang w:val="ro-RO"/>
        </w:rPr>
        <w:t xml:space="preserve"> </w:t>
      </w:r>
      <w:r>
        <w:rPr>
          <w:rFonts w:ascii="Times New Roman" w:hAnsi="Times New Roman" w:cs="Times New Roman"/>
          <w:b/>
          <w:i/>
          <w:sz w:val="24"/>
          <w:szCs w:val="24"/>
          <w:lang w:val="ro-RO"/>
        </w:rPr>
        <w:t xml:space="preserve">Conform</w:t>
      </w:r>
      <w:r>
        <w:rPr>
          <w:rFonts w:ascii="Times New Roman" w:hAnsi="Times New Roman" w:cs="Times New Roman"/>
          <w:b/>
          <w:i/>
          <w:spacing w:val="59"/>
          <w:sz w:val="24"/>
          <w:szCs w:val="24"/>
          <w:lang w:val="ro-RO"/>
        </w:rPr>
        <w:t xml:space="preserve"> </w:t>
      </w:r>
      <w:r>
        <w:rPr>
          <w:rFonts w:ascii="Times New Roman" w:hAnsi="Times New Roman" w:cs="Times New Roman"/>
          <w:b/>
          <w:i/>
          <w:spacing w:val="-1"/>
          <w:sz w:val="24"/>
          <w:szCs w:val="24"/>
          <w:lang w:val="ro-RO"/>
        </w:rPr>
        <w:t xml:space="preserve">informaţiei</w:t>
      </w:r>
      <w:r>
        <w:rPr>
          <w:rFonts w:ascii="Times New Roman" w:hAnsi="Times New Roman" w:cs="Times New Roman"/>
          <w:b/>
          <w:i/>
          <w:sz w:val="24"/>
          <w:szCs w:val="24"/>
          <w:lang w:val="ro-RO"/>
        </w:rPr>
        <w:t xml:space="preserve">  SIA  </w:t>
      </w:r>
      <w:r>
        <w:rPr>
          <w:rFonts w:ascii="Times New Roman" w:hAnsi="Times New Roman" w:cs="Times New Roman"/>
          <w:b/>
          <w:i/>
          <w:spacing w:val="-1"/>
          <w:sz w:val="24"/>
          <w:szCs w:val="24"/>
          <w:lang w:val="ro-RO"/>
        </w:rPr>
        <w:t xml:space="preserve">RSAP</w:t>
      </w:r>
      <w:r>
        <w:rPr>
          <w:rFonts w:ascii="Times New Roman" w:hAnsi="Times New Roman" w:cs="Times New Roman"/>
          <w:sz w:val="24"/>
          <w:szCs w:val="24"/>
          <w:lang w:val="ro-RO"/>
        </w:rPr>
      </w:r>
      <w:r>
        <w:rPr>
          <w:rFonts w:ascii="Times New Roman" w:hAnsi="Times New Roman" w:cs="Times New Roman"/>
          <w:sz w:val="24"/>
          <w:szCs w:val="24"/>
          <w:lang w:val="ro-RO"/>
        </w:rPr>
      </w:r>
    </w:p>
    <w:p>
      <w:pPr>
        <w:numPr>
          <w:ilvl w:val="0"/>
          <w:numId w:val="108"/>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Adresa la care trebuie transmise ofertele sau cererile de participare: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before="120"/>
        <w:ind w:left="450"/>
        <w:jc w:val="both"/>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Ofertele sau cererile de participare vor fi depuse electronic prin intermediul </w:t>
      </w:r>
      <w:bookmarkStart w:id="2" w:name="_Hlk168573332"/>
      <w:r>
        <w:rPr>
          <w:rFonts w:ascii="Times New Roman" w:hAnsi="Times New Roman" w:eastAsia="Times New Roman" w:cs="Times New Roman"/>
          <w:b/>
          <w:bCs/>
          <w:i/>
          <w:iCs/>
          <w:color w:val="000000"/>
          <w:sz w:val="24"/>
          <w:szCs w:val="24"/>
        </w:rPr>
        <w:t xml:space="preserve">SIA RSAP</w:t>
      </w:r>
      <w:bookmarkEnd w:id="2"/>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09"/>
        </w:numPr>
        <w:pBdr/>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Termenul de valabilitate a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3</w:t>
      </w:r>
      <w:r>
        <w:rPr>
          <w:rFonts w:ascii="Times New Roman" w:hAnsi="Times New Roman" w:eastAsia="Times New Roman" w:cs="Times New Roman"/>
          <w:b/>
          <w:bCs/>
          <w:color w:val="000000"/>
          <w:sz w:val="24"/>
          <w:szCs w:val="24"/>
        </w:rPr>
        <w:t xml:space="preserve">0 zile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0"/>
        </w:numPr>
        <w:pBdr/>
        <w:shd w:val="clear" w:color="auto" w:fill="ffffff"/>
        <w:tabs>
          <w:tab w:val="left" w:leader="none" w:pos="426"/>
        </w:tabs>
        <w:spacing w:after="160" w:before="120"/>
        <w:ind/>
        <w:rPr>
          <w:rFonts w:ascii="Times New Roman" w:hAnsi="Times New Roman" w:eastAsia="Times New Roman" w:cs="Times New Roman"/>
          <w:b/>
          <w:bCs/>
          <w:sz w:val="24"/>
          <w:szCs w:val="24"/>
        </w:rPr>
      </w:pPr>
      <w:r>
        <w:rPr>
          <w:rFonts w:ascii="Times New Roman" w:hAnsi="Times New Roman" w:eastAsia="Times New Roman" w:cs="Times New Roman"/>
          <w:color w:val="000000"/>
          <w:sz w:val="24"/>
          <w:szCs w:val="24"/>
        </w:rPr>
        <w:t xml:space="preserve">Locul deschiderii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i/>
          <w:iCs/>
          <w:color w:val="000000"/>
          <w:sz w:val="24"/>
          <w:szCs w:val="24"/>
        </w:rPr>
        <w:t xml:space="preserve">SIA RSAP</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Style w:val="990"/>
        <w:numPr>
          <w:ilvl w:val="0"/>
          <w:numId w:val="111"/>
        </w:numPr>
        <w:pBdr/>
        <w:shd w:val="clear" w:color="auto" w:fill="ffffff"/>
        <w:tabs>
          <w:tab w:val="left" w:leader="none" w:pos="360"/>
          <w:tab w:val="left" w:leader="none" w:pos="426"/>
          <w:tab w:val="left" w:leader="none" w:pos="1800"/>
          <w:tab w:val="left" w:leader="none" w:pos="3240"/>
        </w:tabs>
        <w:spacing w:after="120" w:before="120"/>
        <w:ind/>
        <w:rPr/>
      </w:pPr>
      <w:r>
        <w:rPr>
          <w:b/>
          <w:bCs/>
          <w:i/>
          <w:iCs/>
          <w:color w:val="000000"/>
        </w:rPr>
        <w:t xml:space="preserve">Ofertele întârziate vor fi respinse. </w:t>
      </w:r>
      <w:r/>
      <w:r/>
    </w:p>
    <w:p>
      <w:pPr>
        <w:numPr>
          <w:ilvl w:val="0"/>
          <w:numId w:val="111"/>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P</w:t>
      </w:r>
      <w:r>
        <w:rPr>
          <w:rFonts w:ascii="Times New Roman" w:hAnsi="Times New Roman" w:eastAsia="Times New Roman" w:cs="Times New Roman"/>
          <w:color w:val="000000"/>
          <w:sz w:val="24"/>
          <w:szCs w:val="24"/>
        </w:rPr>
        <w:t xml:space="preserve">ersoanele autorizate să asiste la deschiderea ofertelor: </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i/>
          <w:iCs/>
          <w:color w:val="000000"/>
          <w:sz w:val="24"/>
          <w:szCs w:val="24"/>
        </w:rPr>
        <w:t xml:space="preserve">Ofertanții sau reprezentanții acestora au dreptul să participe la deschiderea ofertelor, cu excepția cazului c</w:t>
      </w:r>
      <w:r>
        <w:rPr>
          <w:rFonts w:ascii="Times New Roman" w:hAnsi="Times New Roman" w:eastAsia="Times New Roman" w:cs="Times New Roman"/>
          <w:i/>
          <w:iCs/>
          <w:color w:val="000000"/>
          <w:sz w:val="24"/>
          <w:szCs w:val="24"/>
        </w:rPr>
        <w:t xml:space="preserve">â</w:t>
      </w:r>
      <w:r>
        <w:rPr>
          <w:rFonts w:ascii="Times New Roman" w:hAnsi="Times New Roman" w:eastAsia="Times New Roman" w:cs="Times New Roman"/>
          <w:i/>
          <w:iCs/>
          <w:color w:val="000000"/>
          <w:sz w:val="24"/>
          <w:szCs w:val="24"/>
        </w:rPr>
        <w:t xml:space="preserve">nd ofertele au fost depuse prin SIA RSAP</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2"/>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Limba sau limbile în care trebuie redactate ofertele sau cererile de participare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Română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3"/>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Respectivul contract se referă la un proiect și/sau program finanțat din fonduri ale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4"/>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și adresa organismului competent de soluționare a contestațiilor: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Agenția Națională pentru Soluționarea Contestațiilor</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Adresa: mun. Chișinău, bd. Ștefan cel Mare și Sfânt nr.124 (et.4), MD 2001;</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hd w:val="clear" w:color="auto" w:fill="ffffff"/>
        <w:tabs>
          <w:tab w:val="left" w:leader="none" w:pos="426"/>
        </w:tabs>
        <w:spacing w:after="160"/>
        <w:ind w:left="450"/>
        <w:rPr>
          <w:rFonts w:ascii="Times New Roman" w:hAnsi="Times New Roman" w:eastAsia="Times New Roman" w:cs="Times New Roman"/>
          <w:sz w:val="24"/>
          <w:szCs w:val="24"/>
        </w:rPr>
      </w:pPr>
      <w:r>
        <w:rPr>
          <w:rFonts w:ascii="Times New Roman" w:hAnsi="Times New Roman" w:eastAsia="Times New Roman" w:cs="Times New Roman"/>
          <w:b/>
          <w:bCs/>
          <w:i/>
          <w:iCs/>
          <w:color w:val="000000"/>
          <w:sz w:val="24"/>
          <w:szCs w:val="24"/>
        </w:rPr>
        <w:t xml:space="preserve">Tel/Fax/email:022-820 652, 022 820-651, contestatii@ansc.md</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5"/>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(datele) și referința (referințele) publicărilor anterioare în Jurnalul Oficial al Uniunii Europene privind contractul (contractele) la care se referă anunțul respectiv (dacă este cazul):</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nu este cazul</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6"/>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cazul achizițiilor periodice, calendarul estimat pentru publicarea anunțurilor viitoare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Nu se aplică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7"/>
        </w:numPr>
        <w:pBdr/>
        <w:shd w:val="clear" w:color="auto" w:fill="ffffff"/>
        <w:tabs>
          <w:tab w:val="left" w:leader="none" w:pos="426"/>
        </w:tabs>
        <w:spacing w:before="120"/>
        <w:ind/>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publicării anunțului de intenție sau, după caz, precizarea că nu a fost publicat un astfel de </w:t>
      </w:r>
      <w:r>
        <w:rPr>
          <w:rFonts w:ascii="Times New Roman" w:hAnsi="Times New Roman" w:eastAsia="Times New Roman" w:cs="Times New Roman"/>
          <w:color w:val="000000"/>
          <w:sz w:val="24"/>
          <w:szCs w:val="24"/>
          <w:shd w:val="clear" w:color="auto" w:fill="ffffff"/>
        </w:rPr>
        <w:t xml:space="preserve">anunţ:</w:t>
      </w:r>
      <w:r>
        <w:rPr>
          <w:rFonts w:ascii="Times New Roman" w:hAnsi="Times New Roman" w:eastAsia="Times New Roman" w:cs="Times New Roman"/>
          <w:b/>
          <w:bCs/>
          <w:color w:val="000000"/>
          <w:sz w:val="24"/>
          <w:szCs w:val="24"/>
          <w:shd w:val="clear" w:color="auto" w:fill="ffffff"/>
        </w:rPr>
        <w:t xml:space="preserve"> Nu </w:t>
      </w:r>
      <w:r>
        <w:rPr>
          <w:rFonts w:ascii="Times New Roman" w:hAnsi="Times New Roman" w:eastAsia="Times New Roman" w:cs="Times New Roman"/>
          <w:b/>
          <w:bCs/>
          <w:color w:val="000000"/>
          <w:sz w:val="24"/>
          <w:szCs w:val="24"/>
          <w:shd w:val="clear" w:color="auto" w:fill="ffffff"/>
        </w:rPr>
        <w:t xml:space="preserve">este cazul</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8"/>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Data transmiterii spre publicare a anunțului de participar</w:t>
      </w:r>
      <w:r>
        <w:rPr>
          <w:rFonts w:ascii="Times New Roman" w:hAnsi="Times New Roman" w:eastAsia="Times New Roman" w:cs="Times New Roman"/>
          <w:color w:val="000000"/>
          <w:sz w:val="24"/>
          <w:szCs w:val="24"/>
          <w:shd w:val="clear" w:color="auto" w:fill="ffffff"/>
        </w:rPr>
        <w:t xml:space="preserve">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2</w:t>
      </w:r>
      <w:r>
        <w:rPr>
          <w:rFonts w:ascii="Times New Roman" w:hAnsi="Times New Roman" w:eastAsia="Times New Roman" w:cs="Times New Roman"/>
          <w:b/>
          <w:bCs/>
          <w:color w:val="000000"/>
          <w:sz w:val="24"/>
          <w:szCs w:val="24"/>
          <w:shd w:val="clear" w:color="auto" w:fill="ffffff"/>
          <w:lang w:val="ro-MO"/>
        </w:rPr>
        <w:t xml:space="preserve">7</w:t>
      </w:r>
      <w:r>
        <w:rPr>
          <w:rFonts w:ascii="Times New Roman" w:hAnsi="Times New Roman" w:eastAsia="Times New Roman" w:cs="Times New Roman"/>
          <w:b/>
          <w:bCs/>
          <w:color w:val="000000"/>
          <w:sz w:val="24"/>
          <w:szCs w:val="24"/>
          <w:shd w:val="clear" w:color="auto" w:fill="ffffff"/>
        </w:rPr>
        <w:t xml:space="preserve">.0</w:t>
      </w:r>
      <w:r>
        <w:rPr>
          <w:rFonts w:ascii="Times New Roman" w:hAnsi="Times New Roman" w:eastAsia="Times New Roman" w:cs="Times New Roman"/>
          <w:b/>
          <w:bCs/>
          <w:color w:val="000000"/>
          <w:sz w:val="24"/>
          <w:szCs w:val="24"/>
          <w:shd w:val="clear" w:color="auto" w:fill="ffffff"/>
        </w:rPr>
        <w:t xml:space="preserve">1</w:t>
      </w:r>
      <w:r>
        <w:rPr>
          <w:rFonts w:ascii="Times New Roman" w:hAnsi="Times New Roman" w:eastAsia="Times New Roman" w:cs="Times New Roman"/>
          <w:b/>
          <w:bCs/>
          <w:color w:val="000000"/>
          <w:sz w:val="24"/>
          <w:szCs w:val="24"/>
          <w:shd w:val="clear" w:color="auto" w:fill="ffffff"/>
        </w:rPr>
        <w:t xml:space="preserve">.202</w:t>
      </w:r>
      <w:r>
        <w:rPr>
          <w:rFonts w:ascii="Times New Roman" w:hAnsi="Times New Roman" w:eastAsia="Times New Roman" w:cs="Times New Roman"/>
          <w:b/>
          <w:bCs/>
          <w:color w:val="000000"/>
          <w:sz w:val="24"/>
          <w:szCs w:val="24"/>
          <w:shd w:val="clear" w:color="auto" w:fill="ffffff"/>
          <w:lang w:val="ro-MO"/>
        </w:rPr>
        <w:t xml:space="preserve">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numPr>
          <w:ilvl w:val="0"/>
          <w:numId w:val="119"/>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În cadrul procedurii de achiziție publică se va utiliza/accepta: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W w:w="0" w:type="auto"/>
        <w:tblCellSpacing w:w="0" w:type="dxa"/>
        <w:tblBorders/>
        <w:tblLook w:val="04A0" w:firstRow="1" w:lastRow="0" w:firstColumn="1" w:lastColumn="0" w:noHBand="0" w:noVBand="1"/>
      </w:tblPr>
      <w:tblGrid>
        <w:gridCol w:w="5265"/>
        <w:gridCol w:w="3761"/>
      </w:tblGrid>
      <w:tr>
        <w:trPr>
          <w:tblCellSpacing w:w="0" w:type="dxa"/>
        </w:trPr>
        <w:tc>
          <w:tcPr>
            <w:tcBorders>
              <w:top w:val="single" w:color="000000" w:sz="8"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Denumirea instrumentului electronic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single" w:color="000000" w:sz="8"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Se va utiliza/accepta sau 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Depunerea electronică a ofertelor sau a cererilor de participare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Sistemul de comenzi electronice</w:t>
            </w:r>
            <w:r>
              <w:rPr>
                <w:rFonts w:ascii="Times New Roman" w:hAnsi="Times New Roman" w:eastAsia="Times New Roman" w:cs="Times New Roman"/>
                <w:color w:val="000000"/>
                <w:sz w:val="24"/>
                <w:szCs w:val="24"/>
              </w:rPr>
              <w:t xml:space="preserve"> sau telefon</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Facturarea electronică</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r>
        <w:trPr>
          <w:tblCellSpacing w:w="0" w:type="dxa"/>
          <w:trHeight w:val="77"/>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Plățile electronice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numPr>
          <w:ilvl w:val="0"/>
          <w:numId w:val="120"/>
        </w:num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NU</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031"/>
        <w:pBdr/>
        <w:spacing/>
        <w:ind/>
        <w:rPr/>
      </w:pPr>
      <w:r>
        <w:rPr>
          <w:b/>
          <w:bCs/>
        </w:rPr>
        <w:t xml:space="preserve"> </w:t>
      </w:r>
      <w:r>
        <w:t xml:space="preserve">Alte informații relevante: </w:t>
      </w:r>
      <w:r/>
      <w:r/>
    </w:p>
    <w:p>
      <w:pPr>
        <w:pStyle w:val="1031"/>
        <w:pBdr/>
        <w:spacing w:after="38"/>
        <w:ind/>
        <w:rPr/>
      </w:pPr>
      <w:r>
        <w:t xml:space="preserve">-</w:t>
      </w:r>
      <w:r>
        <w:t xml:space="preserve">Termenul pentru transmiterea documentelor și clarificărilor către autoritatea contractantă</w:t>
      </w:r>
      <w:r/>
      <w:r/>
    </w:p>
    <w:p>
      <w:pPr>
        <w:pStyle w:val="1031"/>
        <w:pBdr/>
        <w:spacing w:after="38"/>
        <w:ind/>
        <w:rPr/>
      </w:pPr>
      <w:r>
        <w:t xml:space="preserve">-</w:t>
      </w:r>
      <w:r>
        <w:rPr>
          <w:b/>
          <w:bCs/>
        </w:rPr>
        <w:t xml:space="preserve"> </w:t>
      </w:r>
      <w:r>
        <w:rPr>
          <w:b/>
          <w:bCs/>
        </w:rPr>
        <w:t xml:space="preserve">până la 3 zile</w:t>
      </w:r>
      <w:r>
        <w:rPr>
          <w:b/>
          <w:bCs/>
        </w:rPr>
        <w:t xml:space="preserve">. </w:t>
      </w:r>
      <w:r/>
      <w:r/>
    </w:p>
    <w:p>
      <w:pPr>
        <w:pStyle w:val="1031"/>
        <w:pBdr/>
        <w:spacing w:after="38"/>
        <w:ind/>
        <w:rPr>
          <w:b/>
          <w:bCs/>
        </w:rPr>
      </w:pPr>
      <w:r>
        <w:t xml:space="preserve">-</w:t>
      </w:r>
      <w:r>
        <w:t xml:space="preserve">În </w:t>
      </w:r>
      <w:r>
        <w:rPr>
          <w:b/>
          <w:bCs/>
        </w:rPr>
        <w:t xml:space="preserve">termen de 5 zile de la data comunicării rezultatelor </w:t>
      </w:r>
      <w:r>
        <w:t xml:space="preserve">procedurii de achiziție publică, ofertantul/ofertantul asociat desemnat câștigător va prezenta autorității contractante și Agenției Achiziții Publice </w:t>
      </w:r>
      <w:r>
        <w:rPr>
          <w:b/>
          <w:bCs/>
        </w:rPr>
        <w:t xml:space="preserve">(</w:t>
      </w:r>
      <w:r>
        <w:rPr>
          <w:b/>
          <w:bCs/>
          <w:color w:val="0462c1"/>
        </w:rPr>
        <w:t xml:space="preserve">bap@tender.gov.md</w:t>
      </w:r>
      <w:r>
        <w:rPr>
          <w:b/>
          <w:bCs/>
        </w:rPr>
        <w:t xml:space="preserve">) D</w:t>
      </w:r>
      <w:r>
        <w:rPr>
          <w:b/>
          <w:bCs/>
        </w:rPr>
        <w:t xml:space="preserve">eclarația</w:t>
      </w:r>
      <w:r>
        <w:rPr>
          <w:b/>
          <w:bCs/>
        </w:rPr>
        <w:t xml:space="preserve"> privind confirmarea identității beneficiarilor efectivi și ne</w:t>
      </w:r>
      <w:r>
        <w:rPr>
          <w:b/>
          <w:bCs/>
        </w:rPr>
        <w:t xml:space="preserve">â</w:t>
      </w:r>
      <w:r>
        <w:rPr>
          <w:b/>
          <w:bCs/>
        </w:rPr>
        <w:t xml:space="preserve">ncadrarea acestora în situația condamnării pentru participarea la activităţi ale unei organizaţii sau grupări criminale, pentru corupţie, fraudă şi/sau spălare de bani. </w:t>
      </w:r>
      <w:r>
        <w:rPr>
          <w:b/>
          <w:bCs/>
        </w:rPr>
      </w:r>
      <w:r>
        <w:rPr>
          <w:b/>
          <w:bCs/>
        </w:rPr>
      </w:r>
    </w:p>
    <w:p>
      <w:pPr>
        <w:pStyle w:val="1031"/>
        <w:pBdr/>
        <w:spacing w:after="38"/>
        <w:ind/>
        <w:rPr>
          <w:b/>
          <w:bCs/>
        </w:rPr>
      </w:pPr>
      <w:r>
        <w:rPr>
          <w:b/>
          <w:bCs/>
        </w:rPr>
      </w:r>
      <w:r>
        <w:rPr>
          <w:b/>
          <w:bCs/>
        </w:rPr>
      </w:r>
      <w:r>
        <w:rPr>
          <w:b/>
          <w:bCs/>
        </w:rPr>
      </w:r>
    </w:p>
    <w:p>
      <w:pPr>
        <w:pStyle w:val="1031"/>
        <w:pBdr/>
        <w:spacing w:after="38"/>
        <w:ind/>
        <w:rPr>
          <w:b/>
          <w:bCs/>
        </w:rPr>
      </w:pPr>
      <w:r>
        <w:rPr>
          <w:b/>
          <w:bCs/>
        </w:rPr>
      </w:r>
      <w:r>
        <w:rPr>
          <w:b/>
          <w:bCs/>
        </w:rPr>
      </w:r>
      <w:r>
        <w:rPr>
          <w:b/>
          <w:bCs/>
        </w:rPr>
      </w:r>
    </w:p>
    <w:p>
      <w:pPr>
        <w:pBdr/>
        <w:shd w:val="clear" w:color="auto" w:fill="ffffff"/>
        <w:tabs>
          <w:tab w:val="left" w:leader="none" w:pos="426"/>
        </w:tabs>
        <w:spacing w:before="120"/>
        <w:ind/>
        <w:rPr>
          <w:rFonts w:ascii="Times New Roman" w:hAnsi="Times New Roman" w:eastAsia="Times New Roman" w:cs="Times New Roman"/>
          <w:sz w:val="24"/>
          <w:szCs w:val="24"/>
        </w:rPr>
      </w:pPr>
      <w:r>
        <w:rPr>
          <w:rFonts w:ascii="Times New Roman" w:hAnsi="Times New Roman" w:cs="Times New Roman"/>
          <w:b/>
          <w:bCs/>
          <w:sz w:val="24"/>
          <w:szCs w:val="24"/>
        </w:rPr>
        <w:t xml:space="preserve">Președintele </w:t>
      </w:r>
      <w:r>
        <w:rPr>
          <w:rFonts w:ascii="Times New Roman" w:hAnsi="Times New Roman" w:cs="Times New Roman"/>
          <w:b/>
          <w:bCs/>
          <w:sz w:val="24"/>
          <w:szCs w:val="24"/>
        </w:rPr>
        <w:t xml:space="preserve">grupului</w:t>
      </w:r>
      <w:r>
        <w:rPr>
          <w:rFonts w:ascii="Times New Roman" w:hAnsi="Times New Roman" w:cs="Times New Roman"/>
          <w:b/>
          <w:bCs/>
          <w:sz w:val="24"/>
          <w:szCs w:val="24"/>
        </w:rPr>
        <w:t xml:space="preserve"> de lucru </w:t>
      </w:r>
      <w:r>
        <w:rPr>
          <w:rFonts w:ascii="Times New Roman" w:hAnsi="Times New Roman" w:eastAsia="Times New Roman" w:cs="Times New Roman"/>
          <w:b/>
          <w:bCs/>
          <w:color w:val="000000"/>
          <w:sz w:val="24"/>
          <w:szCs w:val="24"/>
          <w:shd w:val="clear" w:color="auto" w:fill="ffffff"/>
        </w:rPr>
        <w:t xml:space="preserve">________________________________</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shd w:val="clear" w:color="auto" w:fill="ffffff"/>
        </w:rPr>
        <w:t xml:space="preserve">Aliona Perech</w:t>
      </w:r>
      <w:r>
        <w:rPr>
          <w:rFonts w:ascii="Times New Roman" w:hAnsi="Times New Roman" w:eastAsia="Times New Roman" w:cs="Times New Roman"/>
          <w:b/>
          <w:bCs/>
          <w:color w:val="000000"/>
          <w:sz w:val="24"/>
          <w:szCs w:val="24"/>
          <w:shd w:val="clear" w:color="auto" w:fill="ffffff"/>
        </w:rPr>
        <w:t xml:space="preserve">i</w:t>
      </w:r>
      <w:r>
        <w:rPr>
          <w:rFonts w:ascii="Times New Roman" w:hAnsi="Times New Roman" w:eastAsia="Times New Roman" w:cs="Times New Roman"/>
          <w:b/>
          <w:bCs/>
          <w:color w:val="000000"/>
          <w:sz w:val="24"/>
          <w:szCs w:val="24"/>
          <w:shd w:val="clear" w:color="auto" w:fill="ffffff"/>
        </w:rPr>
        <w:t xml:space="preserve">atco</w:t>
      </w:r>
      <w:bookmarkEnd w:id="0"/>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right"/>
        <w:rPr>
          <w:highlight w:val="yellow"/>
        </w:rPr>
      </w:pPr>
      <w:r>
        <w:rPr>
          <w:highlight w:val="yellow"/>
        </w:rPr>
      </w:r>
      <w:r>
        <w:rPr>
          <w:highlight w:val="yellow"/>
        </w:rPr>
      </w:r>
    </w:p>
    <w:p>
      <w:pPr>
        <w:pBdr/>
        <w:spacing/>
        <w:ind/>
        <w:jc w:val="right"/>
        <w:rPr/>
      </w:pPr>
      <w:r>
        <w:rPr>
          <w:b/>
          <w:bCs/>
          <w:color w:val="000000"/>
        </w:rPr>
      </w: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2"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2"/>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90"/>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3"/>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4"/>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4" w:name="_Hlk77770975"/>
      <w:r>
        <w:rPr>
          <w:rFonts w:eastAsia="Calibri"/>
          <w:b/>
          <w:sz w:val="28"/>
          <w:szCs w:val="28"/>
        </w:rPr>
        <w:t xml:space="preserve">ANUNȚ DE ATRIBUIRE</w:t>
      </w:r>
      <w:bookmarkEnd w:id="74"/>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5"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5"/>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05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91"/>
        <w:pBdr/>
        <w:tabs>
          <w:tab w:val="left" w:leader="none" w:pos="567"/>
        </w:tabs>
        <w:spacing/>
        <w:ind/>
        <w:rPr>
          <w:rFonts w:asciiTheme="majorHAnsi" w:hAnsiTheme="majorHAnsi" w:cstheme="majorHAnsi"/>
          <w:b/>
          <w:szCs w:val="24"/>
        </w:rPr>
      </w:pPr>
      <w:r/>
      <w:bookmarkStart w:id="77" w:name="_Toc449692096"/>
      <w:r/>
      <w:bookmarkEnd w:id="76"/>
      <w:r>
        <w:rPr>
          <w:rFonts w:asciiTheme="majorHAnsi" w:hAnsiTheme="majorHAnsi" w:cstheme="majorHAnsi"/>
          <w:b/>
          <w:szCs w:val="24"/>
        </w:rPr>
      </w:r>
      <w:r>
        <w:rPr>
          <w:rFonts w:asciiTheme="majorHAnsi" w:hAnsiTheme="majorHAnsi" w:cstheme="majorHAnsi"/>
          <w:b/>
          <w:szCs w:val="24"/>
        </w:rPr>
      </w:r>
    </w:p>
    <w:p>
      <w:pPr>
        <w:pStyle w:val="991"/>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r>
        <w:rPr>
          <w:rFonts w:ascii="Times New Roman" w:hAnsi="Times New Roman"/>
          <w:sz w:val="28"/>
          <w:szCs w:val="28"/>
        </w:rPr>
      </w:r>
    </w:p>
    <w:p>
      <w:pPr>
        <w:pStyle w:val="99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9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71"/>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9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r>
        <w:rPr>
          <w:rFonts w:ascii="Times New Roman" w:hAnsi="Times New Roman"/>
          <w:b/>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1"/>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9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9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9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9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9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91"/>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9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91"/>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9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9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91"/>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2"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91"/>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r>
        <w:rPr>
          <w:rFonts w:ascii="Times New Roman" w:hAnsi="Times New Roman"/>
          <w:b/>
          <w:szCs w:val="24"/>
        </w:rPr>
      </w:r>
    </w:p>
    <w:p>
      <w:pPr>
        <w:pStyle w:val="99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9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9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70"/>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70"/>
        <w:numPr>
          <w:ilvl w:val="0"/>
          <w:numId w:val="0"/>
        </w:numPr>
        <w:pBdr/>
        <w:spacing/>
        <w:ind w:left="720"/>
        <w:rPr/>
      </w:pPr>
      <w:r/>
      <w:bookmarkStart w:id="99" w:name="_Hlk77771256"/>
      <w:r>
        <w:t xml:space="preserve">ANGAJAMENT TERŢ SUSŢINĂTOR FINANCIAR</w:t>
      </w:r>
      <w:bookmarkEnd w:id="99"/>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70"/>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70"/>
        <w:numPr>
          <w:ilvl w:val="0"/>
          <w:numId w:val="0"/>
        </w:numPr>
        <w:pBdr/>
        <w:spacing/>
        <w:ind w:left="720"/>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Pr>
          <w:lang w:val="it-IT"/>
        </w:rPr>
      </w:r>
      <w:r>
        <w:rPr>
          <w:lang w:val="it-IT"/>
        </w:rPr>
      </w:r>
    </w:p>
    <w:p>
      <w:pPr>
        <w:pBdr/>
        <w:spacing/>
        <w:ind w:firstLine="720" w:left="5040"/>
        <w:jc w:val="both"/>
        <w:rPr>
          <w:rStyle w:val="1066"/>
          <w:rFonts w:eastAsiaTheme="majorEastAsia"/>
          <w:sz w:val="24"/>
          <w:szCs w:val="24"/>
          <w:lang w:val="it-IT"/>
        </w:rPr>
      </w:pPr>
      <w:r>
        <w:rPr>
          <w:rFonts w:eastAsiaTheme="majorEastAsia"/>
          <w:sz w:val="24"/>
          <w:szCs w:val="24"/>
          <w:lang w:val="it-IT"/>
        </w:rPr>
      </w:r>
      <w:r>
        <w:rPr>
          <w:rStyle w:val="1066"/>
          <w:rFonts w:eastAsiaTheme="majorEastAsia"/>
          <w:sz w:val="24"/>
          <w:szCs w:val="24"/>
          <w:lang w:val="it-IT"/>
        </w:rPr>
      </w:r>
      <w:r>
        <w:rPr>
          <w:rStyle w:val="106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2" w:name="_Hlk77771312"/>
      <w:r>
        <w:rPr>
          <w:b/>
          <w:bCs/>
        </w:rPr>
        <w:t xml:space="preserve">DECLARAŢIE TERŢ SUSŢINĂTOR TEHNIC </w:t>
      </w:r>
      <w:bookmarkEnd w:id="102"/>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4" w:name="_Hlk77771330"/>
      <w:r>
        <w:rPr>
          <w:b/>
          <w:bCs/>
        </w:rPr>
        <w:t xml:space="preserve">DECLARAŢIE TERŢ SUSŢINĂTOR PROFESIONAL</w:t>
      </w:r>
      <w:bookmarkEnd w:id="104"/>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5"/>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Pr>
          <w:bCs/>
        </w:rPr>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90"/>
        <w:numPr>
          <w:ilvl w:val="0"/>
          <w:numId w:val="52"/>
        </w:numPr>
        <w:pBdr/>
        <w:spacing/>
        <w:ind/>
        <w:rPr>
          <w:b/>
        </w:rPr>
      </w:pPr>
      <w:r>
        <w:rPr>
          <w:b/>
        </w:rPr>
        <w:t xml:space="preserve">Materiale, compatibilităţi, reglementări tehnice şi standarde 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90"/>
        <w:numPr>
          <w:ilvl w:val="0"/>
          <w:numId w:val="52"/>
        </w:numPr>
        <w:pBdr/>
        <w:spacing/>
        <w:ind/>
        <w:rPr>
          <w:b/>
        </w:rPr>
      </w:pPr>
      <w:r>
        <w:rPr>
          <w:b/>
        </w:rPr>
        <w:t xml:space="preserve">Cerinţe privind calculul costului</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90"/>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90"/>
        <w:numPr>
          <w:ilvl w:val="0"/>
          <w:numId w:val="52"/>
        </w:numPr>
        <w:pBdr/>
        <w:tabs>
          <w:tab w:val="left" w:leader="none" w:pos="993"/>
          <w:tab w:val="clear" w:leader="none" w:pos="1134"/>
        </w:tabs>
        <w:spacing/>
        <w:ind/>
        <w:rPr>
          <w:b/>
        </w:rPr>
      </w:pPr>
      <w:r>
        <w:rPr>
          <w:b/>
        </w:rPr>
        <w:t xml:space="preserve">Echipamentele, instalaţiile, utilajele, sculele, instrumentele, dispozitivele şi alte obiecte necesare pentru </w:t>
      </w:r>
      <w:r>
        <w:rPr>
          <w:b/>
        </w:rPr>
        <w:t xml:space="preserve">prestarea 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r/>
      <w:bookmarkEnd w:id="111"/>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963"/>
        <w:gridCol w:w="158"/>
        <w:gridCol w:w="272"/>
        <w:gridCol w:w="1411"/>
        <w:gridCol w:w="982"/>
        <w:gridCol w:w="846"/>
        <w:gridCol w:w="3607"/>
        <w:gridCol w:w="1158"/>
        <w:gridCol w:w="4178"/>
        <w:gridCol w:w="1331"/>
        <w:gridCol w:w="78"/>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2" w:name="_Toc356920194"/>
            <w:r/>
            <w:bookmarkStart w:id="113" w:name="_Toc392180206"/>
            <w:r/>
            <w:bookmarkStart w:id="114"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71"/>
              <w:pBdr/>
              <w:spacing/>
              <w:ind/>
              <w:rPr>
                <w:sz w:val="24"/>
                <w:lang w:val="en-US"/>
              </w:rPr>
            </w:pPr>
            <w:r/>
            <w:bookmarkStart w:id="115" w:name="_Hlk77771394"/>
            <w:r>
              <w:t xml:space="preserve">Specificaţii tehnice </w:t>
            </w:r>
            <w:bookmarkEnd w:id="112"/>
            <w:r/>
            <w:bookmarkEnd w:id="113"/>
            <w:r/>
            <w:bookmarkEnd w:id="114"/>
            <w:r/>
            <w:bookmarkEnd w:id="115"/>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Numărul </w:t>
            </w:r>
            <w:r>
              <w:t xml:space="preserve">procedurii de achiziție</w:t>
            </w:r>
            <w:r>
              <w:t xml:space="preserve">:  </w:t>
            </w:r>
            <w:r>
              <w:t xml:space="preserve"> </w:t>
            </w:r>
            <w:r>
              <w:t xml:space="preserve"> </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Obiectul</w:t>
            </w:r>
            <w:r>
              <w:t xml:space="preserve"> achiziție</w:t>
            </w:r>
            <w:r>
              <w:t xml:space="preserve">i</w:t>
            </w:r>
            <w:r>
              <w:t xml:space="preserve">:</w:t>
            </w:r>
            <w:r>
              <w:t xml:space="preserve"> </w:t>
            </w:r>
            <w:r>
              <w:t xml:space="preserve"> </w:t>
            </w:r>
            <w:r>
              <w:rPr>
                <w:i/>
              </w:rPr>
              <w:t xml:space="preserve">Produse petroliere</w:t>
            </w:r>
            <w:r/>
          </w:p>
        </w:tc>
      </w:tr>
      <w:tr>
        <w:trPr>
          <w:trHeight w:val="567"/>
        </w:trPr>
        <w:tc>
          <w:tcPr>
            <w:gridSpan w:val="7"/>
            <w:shd w:val="clear" w:color="auto" w:fill="auto"/>
            <w:tcBorders/>
            <w:tcW w:w="2920" w:type="pct"/>
            <w:textDirection w:val="lrTb"/>
            <w:noWrap w:val="false"/>
          </w:tcPr>
          <w:p>
            <w:pPr>
              <w:pBdr/>
              <w:spacing/>
              <w:ind/>
              <w:rPr/>
            </w:pPr>
            <w:r/>
            <w:r/>
          </w:p>
        </w:tc>
        <w:tc>
          <w:tcPr>
            <w:gridSpan w:val="4"/>
            <w:shd w:val="clear" w:color="auto" w:fill="auto"/>
            <w:tcBorders/>
            <w:tcW w:w="2080" w:type="pct"/>
            <w:textDirection w:val="lrTb"/>
            <w:noWrap w:val="false"/>
          </w:tcPr>
          <w:p>
            <w:pPr>
              <w:pBdr/>
              <w:spacing/>
              <w:ind/>
              <w:rPr/>
            </w:pPr>
            <w:r/>
            <w:r/>
          </w:p>
        </w:tc>
      </w:tr>
      <w:tr>
        <w:trPr>
          <w:gridAfter w:val="1"/>
          <w:trHeight w:val="1043"/>
        </w:trPr>
        <w:tc>
          <w:tcPr>
            <w:shd w:val="clear" w:color="auto" w:fill="auto"/>
            <w:tcBorders>
              <w:top w:val="single" w:color="auto" w:sz="4" w:space="0"/>
              <w:left w:val="single" w:color="auto" w:sz="4" w:space="0"/>
              <w:bottom w:val="single" w:color="auto" w:sz="4" w:space="0"/>
              <w:right w:val="single" w:color="auto" w:sz="4" w:space="0"/>
            </w:tcBorders>
            <w:tcW w:w="615"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sz w:val="20"/>
                <w:szCs w:val="20"/>
              </w:rPr>
            </w:pPr>
            <w:r>
              <w:rPr>
                <w:sz w:val="20"/>
                <w:szCs w:val="20"/>
              </w:rPr>
              <w:t xml:space="preserve">Lotul 1</w:t>
            </w:r>
            <w:r>
              <w:rPr>
                <w:sz w:val="20"/>
                <w:szCs w:val="20"/>
              </w:rPr>
              <w:t xml:space="preserve"> - Lotul 5</w:t>
            </w:r>
            <w:r>
              <w:rPr>
                <w:sz w:val="20"/>
                <w:szCs w:val="20"/>
              </w:rPr>
            </w:r>
            <w:r>
              <w:rPr>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45"/>
        </w:trPr>
        <w:tc>
          <w:tcPr>
            <w:shd w:val="clear" w:color="auto" w:fill="auto"/>
            <w:tcBorders>
              <w:top w:val="single" w:color="auto" w:sz="4" w:space="0"/>
              <w:left w:val="single" w:color="auto" w:sz="4" w:space="0"/>
              <w:right w:val="single" w:color="auto" w:sz="4" w:space="0"/>
            </w:tcBorders>
            <w:tcW w:w="615" w:type="pct"/>
            <w:vAlign w:val="center"/>
            <w:vMerge w:val="restart"/>
            <w:textDirection w:val="lrTb"/>
            <w:noWrap w:val="false"/>
          </w:tcPr>
          <w:p>
            <w:pPr>
              <w:pBdr/>
              <w:spacing/>
              <w:ind/>
              <w:rPr>
                <w:b/>
                <w:sz w:val="20"/>
                <w:szCs w:val="20"/>
              </w:rPr>
            </w:pPr>
            <w:r>
              <w:rPr>
                <w:i/>
                <w:iCs/>
                <w:sz w:val="20"/>
                <w:szCs w:val="20"/>
              </w:rPr>
              <w:t xml:space="preserve">Produse petroliere</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before="120"/>
              <w:ind/>
              <w:jc w:val="center"/>
              <w:rPr>
                <w:i/>
                <w:sz w:val="20"/>
                <w:szCs w:val="20"/>
              </w:rPr>
            </w:pPr>
            <w:r>
              <w:rPr>
                <w:i/>
                <w:sz w:val="20"/>
                <w:szCs w:val="20"/>
              </w:rPr>
              <w:t xml:space="preserve">Benzină Premium – 95;</w:t>
            </w:r>
            <w:r>
              <w:rPr>
                <w:i/>
                <w:sz w:val="20"/>
                <w:szCs w:val="20"/>
              </w:rPr>
            </w:r>
            <w:r>
              <w:rPr>
                <w:i/>
                <w:sz w:val="20"/>
                <w:szCs w:val="20"/>
              </w:rPr>
            </w:r>
          </w:p>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i/>
                <w:lang w:val="en-US"/>
              </w:rPr>
              <w:t xml:space="preserve">Carburant de tip benzină auto cu cifra octanică minim 95; Carburantul îndeplineste toate cerintele  standartului  SM EN 228+A1:2017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t xml:space="preserve">SM EN 228+A1:2017</w:t>
            </w:r>
            <w:r>
              <w:rPr>
                <w:sz w:val="20"/>
                <w:szCs w:val="20"/>
              </w:rPr>
            </w:r>
            <w:r>
              <w:rPr>
                <w:sz w:val="20"/>
                <w:szCs w:val="20"/>
              </w:rPr>
            </w:r>
          </w:p>
        </w:tc>
      </w:tr>
      <w:tr>
        <w:trPr>
          <w:gridAfter w:val="1"/>
          <w:trHeight w:val="330"/>
        </w:trPr>
        <w:tc>
          <w:tcPr>
            <w:shd w:val="clear" w:color="auto" w:fill="auto"/>
            <w:tcBorders>
              <w:left w:val="single" w:color="auto" w:sz="4" w:space="0"/>
              <w:bottom w:val="single" w:color="auto" w:sz="4" w:space="0"/>
              <w:right w:val="single" w:color="auto" w:sz="4" w:space="0"/>
            </w:tcBorders>
            <w:tcW w:w="615" w:type="pct"/>
            <w:vAlign w:val="center"/>
            <w:vMerge w:val="continue"/>
            <w:textDirection w:val="lrTb"/>
            <w:noWrap w:val="false"/>
          </w:tcPr>
          <w:p>
            <w:pPr>
              <w:pBdr/>
              <w:spacing/>
              <w:ind/>
              <w:rPr>
                <w:i/>
                <w:iCs/>
                <w:sz w:val="20"/>
                <w:szCs w:val="20"/>
              </w:rPr>
            </w:pPr>
            <w:r>
              <w:rPr>
                <w:i/>
                <w:iCs/>
                <w:sz w:val="20"/>
                <w:szCs w:val="20"/>
              </w:rPr>
            </w:r>
            <w:r>
              <w:rPr>
                <w:i/>
                <w:iCs/>
                <w:sz w:val="20"/>
                <w:szCs w:val="20"/>
              </w:rPr>
            </w:r>
            <w:r>
              <w:rPr>
                <w:i/>
                <w:iCs/>
                <w:sz w:val="20"/>
                <w:szCs w:val="20"/>
              </w:rPr>
            </w:r>
          </w:p>
        </w:tc>
        <w:tc>
          <w:tcPr>
            <w:gridSpan w:val="3"/>
            <w:shd w:val="clear" w:color="auto" w:fill="auto"/>
            <w:tcBorders>
              <w:top w:val="single" w:color="auto" w:sz="4" w:space="0"/>
              <w:left w:val="single" w:color="auto" w:sz="4" w:space="0"/>
              <w:right w:val="single" w:color="auto" w:sz="4" w:space="0"/>
            </w:tcBorders>
            <w:tcW w:w="583" w:type="pct"/>
            <w:vAlign w:val="center"/>
            <w:textDirection w:val="lrTb"/>
            <w:noWrap w:val="false"/>
          </w:tcPr>
          <w:p>
            <w:pPr>
              <w:pBdr/>
              <w:spacing/>
              <w:ind/>
              <w:rPr>
                <w:sz w:val="20"/>
                <w:szCs w:val="20"/>
              </w:rPr>
            </w:pPr>
            <w:r>
              <w:rPr>
                <w:i/>
                <w:sz w:val="20"/>
                <w:szCs w:val="20"/>
              </w:rPr>
              <w:t xml:space="preserve">Motorina EURO 5</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right w:val="single" w:color="auto" w:sz="4" w:space="0"/>
            </w:tcBorders>
            <w:tcW w:w="1510" w:type="pct"/>
            <w:vAlign w:val="center"/>
            <w:textDirection w:val="lrTb"/>
            <w:noWrap w:val="false"/>
          </w:tcPr>
          <w:p>
            <w:pPr>
              <w:pBdr/>
              <w:spacing/>
              <w:ind/>
              <w:rPr>
                <w:sz w:val="20"/>
                <w:szCs w:val="20"/>
              </w:rPr>
            </w:pPr>
            <w:r>
              <w:rPr>
                <w:i/>
                <w:lang w:val="en-US"/>
              </w:rPr>
              <w:t xml:space="preserve">Carburantul de calitate  pentru masini cu  orice  tip de motor cu aprindere  prin compresie(diesel); Carburantul  îndeplineste toate cerintele standartului SM EN 590+A1:2017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t xml:space="preserve">SM EN 590+A1:2017</w:t>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1083"/>
              <w:gridCol w:w="298"/>
              <w:gridCol w:w="2035"/>
              <w:gridCol w:w="950"/>
              <w:gridCol w:w="833"/>
              <w:gridCol w:w="1029"/>
              <w:gridCol w:w="931"/>
              <w:gridCol w:w="1037"/>
              <w:gridCol w:w="903"/>
              <w:gridCol w:w="54"/>
              <w:gridCol w:w="1344"/>
              <w:gridCol w:w="220"/>
              <w:gridCol w:w="151"/>
              <w:gridCol w:w="2791"/>
              <w:gridCol w:w="492"/>
              <w:gridCol w:w="103"/>
              <w:gridCol w:w="36"/>
              <w:gridCol w:w="1031"/>
              <w:gridCol w:w="24"/>
              <w:gridCol w:w="17"/>
              <w:gridCol w:w="197"/>
            </w:tblGrid>
            <w:tr>
              <w:trPr>
                <w:gridAfter w:val="3"/>
                <w:trHeight w:val="697"/>
              </w:trPr>
              <w:tc>
                <w:tcPr>
                  <w:gridSpan w:val="15"/>
                  <w:shd w:val="clear" w:color="auto" w:fill="auto"/>
                  <w:tcBorders/>
                  <w:tcW w:w="14151"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71"/>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170" w:type="dxa"/>
                  <w:textDirection w:val="lrTb"/>
                  <w:noWrap w:val="false"/>
                </w:tcPr>
                <w:p>
                  <w:pPr>
                    <w:pStyle w:val="971"/>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151"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170"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Numărul </w:t>
                  </w:r>
                  <w:r>
                    <w:t xml:space="preserve"> procedurii de achiziție</w:t>
                  </w:r>
                  <w:r>
                    <w:t xml:space="preserve">:  </w:t>
                  </w:r>
                  <w:r>
                    <w:t xml:space="preserve"> </w:t>
                  </w:r>
                  <w:r>
                    <w:t xml:space="preserve"> </w:t>
                  </w: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 </w:t>
                  </w:r>
                  <w:r>
                    <w:t xml:space="preserve"> </w:t>
                  </w:r>
                  <w:r>
                    <w:rPr>
                      <w:i/>
                    </w:rPr>
                    <w:t xml:space="preserve">Produse petroliere</w:t>
                  </w:r>
                  <w:r/>
                </w:p>
              </w:tc>
            </w:tr>
            <w:tr>
              <w:trPr>
                <w:trHeight w:val="567"/>
              </w:trPr>
              <w:tc>
                <w:tcPr>
                  <w:gridSpan w:val="11"/>
                  <w:shd w:val="clear" w:color="auto" w:fill="auto"/>
                  <w:tcBorders/>
                  <w:tcW w:w="10497" w:type="dxa"/>
                  <w:textDirection w:val="lrTb"/>
                  <w:noWrap w:val="false"/>
                </w:tcPr>
                <w:p>
                  <w:pPr>
                    <w:framePr w:hAnchor="margin" w:hSpace="180" w:vAnchor="page" w:wrap="around" w:y="347"/>
                    <w:pBdr/>
                    <w:spacing/>
                    <w:ind/>
                    <w:rPr/>
                  </w:pPr>
                  <w:r/>
                  <w:r/>
                </w:p>
              </w:tc>
              <w:tc>
                <w:tcPr>
                  <w:gridSpan w:val="3"/>
                  <w:tcBorders/>
                  <w:tcW w:w="3162" w:type="dxa"/>
                  <w:textDirection w:val="lrTb"/>
                  <w:noWrap w:val="false"/>
                </w:tcPr>
                <w:p>
                  <w:pPr>
                    <w:framePr w:hAnchor="margin" w:hSpace="180" w:vAnchor="page" w:wrap="around" w:y="347"/>
                    <w:pBdr/>
                    <w:spacing/>
                    <w:ind/>
                    <w:rPr/>
                  </w:pPr>
                  <w:r/>
                  <w:r/>
                </w:p>
              </w:tc>
              <w:tc>
                <w:tcPr>
                  <w:gridSpan w:val="7"/>
                  <w:tcBorders/>
                  <w:tcW w:w="1900"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33"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t xml:space="preserve">09100000-0</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45"/>
              </w:trPr>
              <w:tc>
                <w:tcPr>
                  <w:shd w:val="clear" w:color="auto" w:fill="auto"/>
                  <w:tcBorders>
                    <w:top w:val="single" w:color="auto" w:sz="4" w:space="0"/>
                    <w:left w:val="single" w:color="auto" w:sz="4" w:space="0"/>
                    <w:right w:val="single" w:color="auto"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right w:val="single" w:color="auto" w:sz="4" w:space="0"/>
                  </w:tcBorders>
                  <w:tcW w:w="1618" w:type="dxa"/>
                  <w:vMerge w:val="restart"/>
                  <w:textDirection w:val="lrTb"/>
                  <w:noWrap w:val="false"/>
                </w:tcPr>
                <w:p>
                  <w:pPr>
                    <w:pBdr/>
                    <w:spacing/>
                    <w:ind/>
                    <w:rPr/>
                  </w:pPr>
                  <w:r/>
                  <w:r/>
                </w:p>
              </w:tc>
              <w:tc>
                <w:tcPr>
                  <w:gridSpan w:val="4"/>
                  <w:tcBorders>
                    <w:top w:val="single" w:color="auto" w:sz="4" w:space="0"/>
                    <w:left w:val="single" w:color="auto" w:sz="4" w:space="0"/>
                    <w:right w:val="single" w:color="auto" w:sz="4" w:space="0"/>
                  </w:tcBorders>
                  <w:tcW w:w="3537" w:type="dxa"/>
                  <w:vMerge w:val="restart"/>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37"/>
              </w:trPr>
              <w:tc>
                <w:tcPr>
                  <w:shd w:val="clear" w:color="auto" w:fill="auto"/>
                  <w:tcBorders>
                    <w:left w:val="single" w:color="auto" w:sz="4" w:space="0"/>
                    <w:bottom w:val="single" w:color="auto" w:sz="4" w:space="0"/>
                    <w:right w:val="single" w:color="auto" w:sz="4" w:space="0"/>
                  </w:tcBorders>
                  <w:tcW w:w="1083"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left w:val="single" w:color="auto" w:sz="4" w:space="0"/>
                    <w:bottom w:val="single" w:color="auto" w:sz="4" w:space="0"/>
                    <w:right w:val="single" w:color="auto" w:sz="4" w:space="0"/>
                  </w:tcBorders>
                  <w:tcW w:w="1618"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4"/>
                  <w:tcBorders>
                    <w:left w:val="single" w:color="auto" w:sz="4" w:space="0"/>
                    <w:bottom w:val="single" w:color="auto" w:sz="4" w:space="0"/>
                    <w:right w:val="single" w:color="auto" w:sz="4" w:space="0"/>
                  </w:tcBorders>
                  <w:tcW w:w="3537"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000000" w:themeColor="text1"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915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715"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342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07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gridSpan w:val="2"/>
            <w:tcBorders>
              <w:top w:val="single" w:color="auto" w:sz="4" w:space="0"/>
            </w:tcBorders>
            <w:tcW w:w="665" w:type="pct"/>
            <w:textDirection w:val="lrTb"/>
            <w:noWrap w:val="false"/>
          </w:tcPr>
          <w:p>
            <w:pPr>
              <w:pBdr/>
              <w:tabs>
                <w:tab w:val="left" w:leader="none" w:pos="6120"/>
              </w:tabs>
              <w:spacing/>
              <w:ind/>
              <w:rPr/>
            </w:pPr>
            <w:r/>
            <w:r/>
          </w:p>
        </w:tc>
        <w:tc>
          <w:tcPr>
            <w:tcBorders>
              <w:top w:val="single" w:color="auto" w:sz="4" w:space="0"/>
            </w:tcBorders>
            <w:tcW w:w="86" w:type="pct"/>
            <w:textDirection w:val="lrTb"/>
            <w:noWrap w:val="false"/>
          </w:tcPr>
          <w:p>
            <w:pPr>
              <w:pBdr/>
              <w:tabs>
                <w:tab w:val="left" w:leader="none" w:pos="6120"/>
              </w:tabs>
              <w:spacing/>
              <w:ind/>
              <w:rPr/>
            </w:pPr>
            <w:r/>
            <w:r/>
          </w:p>
        </w:tc>
        <w:tc>
          <w:tcPr>
            <w:gridSpan w:val="7"/>
            <w:shd w:val="clear" w:color="auto" w:fill="auto"/>
            <w:tcBorders>
              <w:top w:val="single" w:color="auto" w:sz="4" w:space="0"/>
            </w:tcBorders>
            <w:tcW w:w="4224"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6" w:name="_Hlk77771427"/>
      <w:r>
        <w:rPr>
          <w:b/>
        </w:rPr>
        <w:t xml:space="preserve">CONTRACT </w:t>
      </w:r>
      <w:r>
        <w:rPr>
          <w:b/>
        </w:rPr>
        <w:t xml:space="preserve">–</w:t>
      </w:r>
      <w:r>
        <w:rPr>
          <w:b/>
        </w:rPr>
        <w:t xml:space="preserve"> MODEL</w:t>
      </w:r>
      <w:bookmarkEnd w:id="116"/>
      <w:r>
        <w:rPr>
          <w:b/>
        </w:rPr>
        <w:t xml:space="preserve"> </w:t>
      </w:r>
      <w:r>
        <w:rPr>
          <w:b/>
        </w:rPr>
      </w:r>
      <w:r>
        <w:rPr>
          <w:b/>
        </w:rPr>
      </w:r>
    </w:p>
    <w:p>
      <w:pPr>
        <w:pStyle w:val="990"/>
        <w:numPr>
          <w:ilvl w:val="0"/>
          <w:numId w:val="0"/>
        </w:numPr>
        <w:pBdr/>
        <w:spacing/>
        <w:ind w:right="-1"/>
        <w:rPr>
          <w:lang w:val="ro-RO"/>
        </w:rPr>
      </w:pPr>
      <w:r>
        <w:rPr>
          <w:lang w:val="ro-RO"/>
        </w:rPr>
      </w:r>
      <w:r>
        <w:rPr>
          <w:lang w:val="ro-RO"/>
        </w:rPr>
      </w:r>
      <w:r>
        <w:rPr>
          <w:lang w:val="ro-RO"/>
        </w:rPr>
      </w:r>
    </w:p>
    <w:p>
      <w:pPr>
        <w:pStyle w:val="990"/>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70"/>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9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7" w:name="_Hlk77771456"/>
                  <w:r>
                    <w:rPr>
                      <w:b/>
                      <w:bCs/>
                      <w:caps/>
                    </w:rPr>
                    <w:t xml:space="preserve">ACORD ADIȚIONAL</w:t>
                  </w:r>
                  <w:r>
                    <w:rPr>
                      <w:b/>
                      <w:bCs/>
                    </w:rPr>
                    <w:t xml:space="preserve"> </w:t>
                  </w:r>
                  <w:bookmarkEnd w:id="117"/>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7"/>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7"/>
                    <w:pBdr/>
                    <w:spacing/>
                    <w:ind w:firstLine="0"/>
                    <w:rPr>
                      <w:sz w:val="24"/>
                      <w:szCs w:val="24"/>
                    </w:rPr>
                  </w:pPr>
                  <w:r>
                    <w:rPr>
                      <w:sz w:val="24"/>
                      <w:szCs w:val="24"/>
                    </w:rPr>
                  </w:r>
                  <w:r>
                    <w:rPr>
                      <w:sz w:val="24"/>
                      <w:szCs w:val="24"/>
                    </w:rPr>
                  </w:r>
                  <w:r>
                    <w:rPr>
                      <w:sz w:val="24"/>
                      <w:szCs w:val="24"/>
                    </w:rPr>
                  </w:r>
                </w:p>
                <w:p>
                  <w:pPr>
                    <w:pStyle w:val="99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7"/>
                    <w:pBdr/>
                    <w:spacing/>
                    <w:ind w:firstLine="0"/>
                    <w:rPr>
                      <w:sz w:val="24"/>
                      <w:szCs w:val="24"/>
                    </w:rPr>
                  </w:pPr>
                  <w:r>
                    <w:rPr>
                      <w:sz w:val="24"/>
                      <w:szCs w:val="24"/>
                    </w:rPr>
                  </w:r>
                  <w:r>
                    <w:rPr>
                      <w:sz w:val="24"/>
                      <w:szCs w:val="24"/>
                    </w:rPr>
                  </w:r>
                  <w:r>
                    <w:rPr>
                      <w:sz w:val="24"/>
                      <w:szCs w:val="24"/>
                    </w:rPr>
                  </w:r>
                </w:p>
                <w:p>
                  <w:pPr>
                    <w:pStyle w:val="997"/>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6"/>
                    <w:pBdr/>
                    <w:tabs>
                      <w:tab w:val="right" w:leader="none" w:pos="10205"/>
                    </w:tabs>
                    <w:spacing/>
                    <w:ind w:firstLine="0"/>
                    <w:jc w:val="left"/>
                    <w:rPr>
                      <w:lang w:val="ro-RO"/>
                    </w:rPr>
                  </w:pPr>
                  <w:r>
                    <w:rPr>
                      <w:lang w:val="ro-RO"/>
                    </w:rPr>
                  </w:r>
                  <w:r>
                    <w:rPr>
                      <w:lang w:val="ro-RO"/>
                    </w:rPr>
                  </w:r>
                  <w:r>
                    <w:rPr>
                      <w:lang w:val="ro-RO"/>
                    </w:rPr>
                  </w:r>
                </w:p>
                <w:p>
                  <w:pPr>
                    <w:pStyle w:val="99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71"/>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9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052"/>
                    <w:gridCol w:w="447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8" w:name="_Hlk77771474"/>
            <w:r>
              <w:rPr>
                <w:b/>
                <w:bCs/>
              </w:rPr>
              <w:t xml:space="preserve">ACORD-CADRU</w:t>
            </w:r>
            <w:bookmarkEnd w:id="118"/>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60"/>
                <w:b w:val="0"/>
                <w:bCs w:val="0"/>
              </w:rPr>
            </w:pPr>
            <w:r>
              <w:rPr>
                <w:rStyle w:val="1061"/>
                <w:i/>
              </w:rPr>
              <w:t xml:space="preserve">(Denumirea autorităţii contractante)…………………………</w:t>
            </w:r>
            <w:r>
              <w:rPr>
                <w:rStyle w:val="1061"/>
              </w:rPr>
              <w:t xml:space="preserve">,adres</w:t>
            </w:r>
            <w:r>
              <w:rPr>
                <w:rStyle w:val="1061"/>
              </w:rPr>
              <w:t xml:space="preserve">a</w:t>
            </w:r>
            <w:r>
              <w:rPr>
                <w:rStyle w:val="1061"/>
              </w:rPr>
              <w:t xml:space="preserve"> completă:……………………….., telefon: …………………./fax: ………………….., </w:t>
            </w:r>
            <w:r>
              <w:t xml:space="preserve">cod fiscal …………… cont Trezorerie: …………, reprezentată prin domnul …………………………………….., </w:t>
            </w:r>
            <w:r>
              <w:rPr>
                <w:rStyle w:val="1061"/>
              </w:rPr>
              <w:t xml:space="preserve">în calitate de </w:t>
            </w:r>
            <w:r>
              <w:rPr>
                <w:rStyle w:val="1061"/>
                <w:b/>
                <w:bCs/>
              </w:rPr>
              <w:t xml:space="preserve">promitent-achizitor</w:t>
            </w:r>
            <w:r>
              <w:rPr>
                <w:rStyle w:val="1061"/>
              </w:rPr>
              <w:t xml:space="preserve">, pe de o parte, </w:t>
            </w:r>
            <w:r>
              <w:rPr>
                <w:rStyle w:val="1060"/>
                <w:b w:val="0"/>
                <w:bCs w:val="0"/>
              </w:rPr>
              <w:t xml:space="preserve">  </w:t>
            </w:r>
            <w:r>
              <w:rPr>
                <w:rStyle w:val="1060"/>
                <w:b w:val="0"/>
                <w:bCs w:val="0"/>
              </w:rPr>
              <w:tab/>
            </w:r>
            <w:r>
              <w:rPr>
                <w:rStyle w:val="1060"/>
                <w:b w:val="0"/>
                <w:bCs w:val="0"/>
              </w:rPr>
            </w:r>
            <w:r>
              <w:rPr>
                <w:rStyle w:val="106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90"/>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90"/>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173/2018 cu privire la aprobarea Documentației standard pentru realizarea achizițiilor publice de bunuri (Monitorul Oficial al Republicii Moldova, 2018, nr.</w:t>
      </w:r>
      <w:r>
        <w:t xml:space="preserve"> </w:t>
      </w:r>
      <w:r>
        <w:t xml:space="preserve">396-397, art.</w:t>
      </w:r>
      <w:r>
        <w:t xml:space="preserve"> </w:t>
      </w:r>
      <w:r>
        <w:t xml:space="preserve">1521), înregistrat la Ministerul Justiției cu nr.</w:t>
      </w:r>
      <w:r>
        <w:t xml:space="preserve"> </w:t>
      </w:r>
      <w:r>
        <w:t xml:space="preserve">1369 din 10 octombrie 2018</w:t>
      </w:r>
      <w:r>
        <w:t xml:space="preserve">.</w:t>
      </w:r>
      <w:r/>
    </w:p>
    <w:p>
      <w:pPr>
        <w:pStyle w:val="990"/>
        <w:numPr>
          <w:ilvl w:val="0"/>
          <w:numId w:val="0"/>
        </w:numPr>
        <w:pBdr/>
        <w:spacing/>
        <w:ind w:left="720"/>
        <w:rPr/>
      </w:pPr>
      <w:r/>
      <w:r/>
    </w:p>
    <w:p>
      <w:pPr>
        <w:pStyle w:val="990"/>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174/2018 cu privire la aprobarea Documentației standard pentru realizarea achizițiilor publice de servicii (Monitorul Oficial al Republicii Moldova, 2018, nr.</w:t>
      </w:r>
      <w:r>
        <w:t xml:space="preserve"> </w:t>
      </w:r>
      <w:r>
        <w:t xml:space="preserve">396-397, art.</w:t>
      </w:r>
      <w:r>
        <w:t xml:space="preserve"> </w:t>
      </w:r>
      <w:r>
        <w:t xml:space="preserve">1522), înregistrat la Ministerul Justiției cu nr.</w:t>
      </w:r>
      <w:r>
        <w:t xml:space="preserve"> </w:t>
      </w:r>
      <w:r>
        <w:t xml:space="preserve">1367 din 10 octombrie 2018</w:t>
      </w:r>
      <w:r>
        <w:t xml:space="preserve">.</w:t>
      </w:r>
      <w:r/>
    </w:p>
    <w:p>
      <w:pPr>
        <w:pBdr/>
        <w:spacing/>
        <w:ind/>
        <w:rPr/>
      </w:pPr>
      <w:r/>
      <w:r/>
    </w:p>
    <w:p>
      <w:pPr>
        <w:pStyle w:val="990"/>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175/2018 cu privire la aprobarea Documentației standard pentru realizarea achizițiilor publice de bunuri și servicii prin cererea ofertleor de prețuri (Monitorul Oficial al Republicii Moldova, 2018, nr.</w:t>
      </w:r>
      <w:r>
        <w:t xml:space="preserve"> </w:t>
      </w:r>
      <w:r>
        <w:t xml:space="preserve">396-397, art.</w:t>
      </w:r>
      <w:r>
        <w:t xml:space="preserve"> </w:t>
      </w:r>
      <w:r>
        <w:t xml:space="preserve">1523), înregistrat la Ministerul Justiției cu nr.</w:t>
      </w:r>
      <w:r>
        <w:t xml:space="preserve"> </w:t>
      </w:r>
      <w:r>
        <w:t xml:space="preserve">1368 din 10 octombrie 2018</w:t>
      </w:r>
      <w:r>
        <w:t xml:space="preserve">.</w:t>
      </w:r>
      <w:r/>
    </w:p>
    <w:p>
      <w:pPr>
        <w:pStyle w:val="990"/>
        <w:numPr>
          <w:ilvl w:val="0"/>
          <w:numId w:val="0"/>
        </w:numPr>
        <w:pBdr/>
        <w:spacing/>
        <w:ind w:left="720"/>
        <w:rPr/>
      </w:pPr>
      <w:r/>
      <w:r/>
    </w:p>
    <w:p>
      <w:pPr>
        <w:pStyle w:val="990"/>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7">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8">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2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8">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4">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3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7">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8">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42">
    <w:lvl w:ilvl="0">
      <w:isLgl w:val="false"/>
      <w:lvlJc w:val="right"/>
      <w:lvlText w:val="%1."/>
      <w:numFmt w:val="upperRoman"/>
      <w:pPr>
        <w:pBdr/>
        <w:spacing/>
        <w:ind w:hanging="360" w:left="720"/>
      </w:pPr>
      <w:pStyle w:val="97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4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6">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9">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0">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1">
    <w:lvl w:ilvl="0">
      <w:isLgl w:val="false"/>
      <w:lvlJc w:val="left"/>
      <w:lvlText w:val="%1."/>
      <w:numFmt w:val="decimal"/>
      <w:pPr>
        <w:pBdr/>
        <w:spacing/>
        <w:ind w:hanging="360" w:left="360"/>
      </w:pPr>
      <w:pStyle w:val="99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2">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3">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4">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5">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6">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7">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8">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9">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1">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2">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3">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4">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5">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6">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7">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8">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9">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0">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3">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4">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5">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6">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7">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8">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9">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0">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2">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3">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4">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42"/>
  </w:num>
  <w:num w:numId="2">
    <w:abstractNumId w:val="51"/>
  </w:num>
  <w:num w:numId="3">
    <w:abstractNumId w:val="7"/>
  </w:num>
  <w:num w:numId="4">
    <w:abstractNumId w:val="11"/>
  </w:num>
  <w:num w:numId="5">
    <w:abstractNumId w:val="8"/>
  </w:num>
  <w:num w:numId="6">
    <w:abstractNumId w:val="44"/>
  </w:num>
  <w:num w:numId="7">
    <w:abstractNumId w:val="3"/>
  </w:num>
  <w:num w:numId="8">
    <w:abstractNumId w:val="49"/>
  </w:num>
  <w:num w:numId="9">
    <w:abstractNumId w:val="37"/>
  </w:num>
  <w:num w:numId="10">
    <w:abstractNumId w:val="4"/>
  </w:num>
  <w:num w:numId="11">
    <w:abstractNumId w:val="13"/>
  </w:num>
  <w:num w:numId="12">
    <w:abstractNumId w:val="25"/>
  </w:num>
  <w:num w:numId="13">
    <w:abstractNumId w:val="19"/>
  </w:num>
  <w:num w:numId="14">
    <w:abstractNumId w:val="47"/>
  </w:num>
  <w:num w:numId="15">
    <w:abstractNumId w:val="5"/>
  </w:num>
  <w:num w:numId="16">
    <w:abstractNumId w:val="2"/>
  </w:num>
  <w:num w:numId="17">
    <w:abstractNumId w:val="17"/>
  </w:num>
  <w:num w:numId="18">
    <w:abstractNumId w:val="1"/>
  </w:num>
  <w:num w:numId="19">
    <w:abstractNumId w:val="29"/>
  </w:num>
  <w:num w:numId="20">
    <w:abstractNumId w:val="14"/>
  </w:num>
  <w:num w:numId="21">
    <w:abstractNumId w:val="41"/>
  </w:num>
  <w:num w:numId="22">
    <w:abstractNumId w:val="33"/>
  </w:num>
  <w:num w:numId="23">
    <w:abstractNumId w:val="36"/>
  </w:num>
  <w:num w:numId="24">
    <w:abstractNumId w:val="0"/>
  </w:num>
  <w:num w:numId="25">
    <w:abstractNumId w:val="21"/>
  </w:num>
  <w:num w:numId="26">
    <w:abstractNumId w:val="51"/>
  </w:num>
  <w:num w:numId="27">
    <w:abstractNumId w:val="51"/>
  </w:num>
  <w:num w:numId="28">
    <w:abstractNumId w:val="51"/>
  </w:num>
  <w:num w:numId="29">
    <w:abstractNumId w:val="35"/>
  </w:num>
  <w:num w:numId="30">
    <w:abstractNumId w:val="51"/>
  </w:num>
  <w:num w:numId="31">
    <w:abstractNumId w:val="51"/>
  </w:num>
  <w:num w:numId="32">
    <w:abstractNumId w:val="42"/>
    <w:lvlOverride w:ilvl="0">
      <w:startOverride w:val="1"/>
    </w:lvlOverride>
  </w:num>
  <w:num w:numId="33">
    <w:abstractNumId w:val="24"/>
  </w:num>
  <w:num w:numId="34">
    <w:abstractNumId w:val="51"/>
  </w:num>
  <w:num w:numId="35">
    <w:abstractNumId w:val="51"/>
  </w:num>
  <w:num w:numId="36">
    <w:abstractNumId w:val="51"/>
  </w:num>
  <w:num w:numId="37">
    <w:abstractNumId w:val="51"/>
  </w:num>
  <w:num w:numId="38">
    <w:abstractNumId w:val="43"/>
  </w:num>
  <w:num w:numId="39">
    <w:abstractNumId w:val="32"/>
  </w:num>
  <w:num w:numId="40">
    <w:abstractNumId w:val="42"/>
    <w:lvlOverride w:ilvl="0">
      <w:startOverride w:val="2"/>
    </w:lvlOverride>
  </w:num>
  <w:num w:numId="41">
    <w:abstractNumId w:val="51"/>
    <w:lvlOverride w:ilvl="0">
      <w:startOverride w:val="7"/>
    </w:lvlOverride>
  </w:num>
  <w:num w:numId="42">
    <w:abstractNumId w:val="51"/>
  </w:num>
  <w:num w:numId="43">
    <w:abstractNumId w:val="51"/>
  </w:num>
  <w:num w:numId="44">
    <w:abstractNumId w:val="51"/>
  </w:num>
  <w:num w:numId="45">
    <w:abstractNumId w:val="15"/>
  </w:num>
  <w:num w:numId="46">
    <w:abstractNumId w:val="12"/>
  </w:num>
  <w:num w:numId="47">
    <w:abstractNumId w:val="20"/>
  </w:num>
  <w:num w:numId="48">
    <w:abstractNumId w:val="9"/>
  </w:num>
  <w:num w:numId="49">
    <w:abstractNumId w:val="6"/>
  </w:num>
  <w:num w:numId="50">
    <w:abstractNumId w:val="23"/>
  </w:num>
  <w:num w:numId="51">
    <w:abstractNumId w:val="51"/>
  </w:num>
  <w:num w:numId="52">
    <w:abstractNumId w:val="27"/>
  </w:num>
  <w:num w:numId="53">
    <w:abstractNumId w:val="10"/>
  </w:num>
  <w:num w:numId="54">
    <w:abstractNumId w:val="51"/>
  </w:num>
  <w:num w:numId="55">
    <w:abstractNumId w:val="51"/>
  </w:num>
  <w:num w:numId="56">
    <w:abstractNumId w:val="51"/>
  </w:num>
  <w:num w:numId="57">
    <w:abstractNumId w:val="39"/>
  </w:num>
  <w:num w:numId="58">
    <w:abstractNumId w:val="28"/>
    <w:lvlOverride w:ilvl="0">
      <w:lvl w:ilvl="0">
        <w:isLgl w:val="false"/>
        <w:lvlJc w:val="left"/>
        <w:lvlText w:val="%1."/>
        <w:numFmt w:val="decimal"/>
        <w:pPr>
          <w:pBdr/>
          <w:spacing/>
          <w:ind/>
        </w:pPr>
        <w:rPr/>
        <w:start w:val="0"/>
        <w:suff w:val="tab"/>
      </w:lvl>
    </w:lvlOverride>
  </w:num>
  <w:num w:numId="59">
    <w:abstractNumId w:val="28"/>
    <w:lvlOverride w:ilvl="0">
      <w:lvl w:ilvl="0">
        <w:isLgl w:val="false"/>
        <w:lvlJc w:val="left"/>
        <w:lvlText w:val="%1."/>
        <w:numFmt w:val="decimal"/>
        <w:pPr>
          <w:pBdr/>
          <w:spacing/>
          <w:ind/>
        </w:pPr>
        <w:rPr/>
        <w:start w:val="0"/>
        <w:suff w:val="tab"/>
      </w:lvl>
    </w:lvlOverride>
  </w:num>
  <w:num w:numId="60">
    <w:abstractNumId w:val="28"/>
    <w:lvlOverride w:ilvl="0">
      <w:lvl w:ilvl="0">
        <w:isLgl w:val="false"/>
        <w:lvlJc w:val="left"/>
        <w:lvlText w:val="%1."/>
        <w:numFmt w:val="decimal"/>
        <w:pPr>
          <w:pBdr/>
          <w:spacing/>
          <w:ind/>
        </w:pPr>
        <w:rPr/>
        <w:start w:val="0"/>
        <w:suff w:val="tab"/>
      </w:lvl>
    </w:lvlOverride>
  </w:num>
  <w:num w:numId="61">
    <w:abstractNumId w:val="16"/>
    <w:lvlOverride w:ilvl="0">
      <w:lvl w:ilvl="0">
        <w:isLgl w:val="false"/>
        <w:lvlJc w:val="left"/>
        <w:lvlText w:val="%1."/>
        <w:numFmt w:val="decimal"/>
        <w:pPr>
          <w:pBdr/>
          <w:spacing/>
          <w:ind/>
        </w:pPr>
        <w:rPr/>
        <w:start w:val="0"/>
        <w:suff w:val="tab"/>
      </w:lvl>
    </w:lvlOverride>
  </w:num>
  <w:num w:numId="62">
    <w:abstractNumId w:val="30"/>
    <w:lvlOverride w:ilvl="0">
      <w:lvl w:ilvl="0">
        <w:isLgl w:val="false"/>
        <w:lvlJc w:val="left"/>
        <w:lvlText w:val="%1."/>
        <w:numFmt w:val="decimal"/>
        <w:pPr>
          <w:pBdr/>
          <w:spacing/>
          <w:ind/>
        </w:pPr>
        <w:rPr/>
        <w:start w:val="0"/>
        <w:suff w:val="tab"/>
      </w:lvl>
    </w:lvlOverride>
  </w:num>
  <w:num w:numId="63">
    <w:abstractNumId w:val="30"/>
    <w:lvlOverride w:ilvl="0">
      <w:lvl w:ilvl="0">
        <w:isLgl w:val="false"/>
        <w:lvlJc w:val="left"/>
        <w:lvlText w:val="%1."/>
        <w:numFmt w:val="decimal"/>
        <w:pPr>
          <w:pBdr/>
          <w:spacing/>
          <w:ind/>
        </w:pPr>
        <w:rPr/>
        <w:start w:val="0"/>
        <w:suff w:val="tab"/>
      </w:lvl>
    </w:lvlOverride>
  </w:num>
  <w:num w:numId="64">
    <w:abstractNumId w:val="30"/>
    <w:lvlOverride w:ilvl="0">
      <w:lvl w:ilvl="0">
        <w:isLgl w:val="false"/>
        <w:lvlJc w:val="left"/>
        <w:lvlText w:val="%1."/>
        <w:numFmt w:val="decimal"/>
        <w:pPr>
          <w:pBdr/>
          <w:spacing/>
          <w:ind/>
        </w:pPr>
        <w:rPr/>
        <w:start w:val="0"/>
        <w:suff w:val="tab"/>
      </w:lvl>
    </w:lvlOverride>
  </w:num>
  <w:num w:numId="65">
    <w:abstractNumId w:val="50"/>
    <w:lvlOverride w:ilvl="0">
      <w:lvl w:ilvl="0">
        <w:isLgl w:val="false"/>
        <w:lvlJc w:val="left"/>
        <w:lvlText w:val="%1."/>
        <w:numFmt w:val="decimal"/>
        <w:pPr>
          <w:pBdr/>
          <w:spacing/>
          <w:ind/>
        </w:pPr>
        <w:rPr/>
        <w:start w:val="0"/>
        <w:suff w:val="tab"/>
      </w:lvl>
    </w:lvlOverride>
  </w:num>
  <w:num w:numId="66">
    <w:abstractNumId w:val="40"/>
    <w:lvlOverride w:ilvl="0">
      <w:lvl w:ilvl="0">
        <w:isLgl w:val="false"/>
        <w:lvlJc w:val="left"/>
        <w:lvlText w:val="%1."/>
        <w:numFmt w:val="decimal"/>
        <w:pPr>
          <w:pBdr/>
          <w:spacing/>
          <w:ind/>
        </w:pPr>
        <w:rPr/>
        <w:start w:val="0"/>
        <w:suff w:val="tab"/>
      </w:lvl>
    </w:lvlOverride>
  </w:num>
  <w:num w:numId="67">
    <w:abstractNumId w:val="38"/>
    <w:lvlOverride w:ilvl="0">
      <w:lvl w:ilvl="0">
        <w:isLgl w:val="false"/>
        <w:lvlJc w:val="left"/>
        <w:lvlText w:val="%1."/>
        <w:numFmt w:val="decimal"/>
        <w:pPr>
          <w:pBdr/>
          <w:spacing/>
          <w:ind/>
        </w:pPr>
        <w:rPr/>
        <w:start w:val="0"/>
        <w:suff w:val="tab"/>
      </w:lvl>
    </w:lvlOverride>
  </w:num>
  <w:num w:numId="68">
    <w:abstractNumId w:val="38"/>
    <w:lvlOverride w:ilvl="0">
      <w:lvl w:ilvl="0">
        <w:isLgl w:val="false"/>
        <w:lvlJc w:val="left"/>
        <w:lvlText w:val="%1."/>
        <w:numFmt w:val="decimal"/>
        <w:pPr>
          <w:pBdr/>
          <w:spacing/>
          <w:ind/>
        </w:pPr>
        <w:rPr/>
        <w:start w:val="0"/>
        <w:suff w:val="tab"/>
      </w:lvl>
    </w:lvlOverride>
  </w:num>
  <w:num w:numId="69">
    <w:abstractNumId w:val="38"/>
    <w:lvlOverride w:ilvl="0">
      <w:lvl w:ilvl="0">
        <w:isLgl w:val="false"/>
        <w:lvlJc w:val="left"/>
        <w:lvlText w:val="%1."/>
        <w:numFmt w:val="decimal"/>
        <w:pPr>
          <w:pBdr/>
          <w:spacing/>
          <w:ind/>
        </w:pPr>
        <w:rPr/>
        <w:start w:val="0"/>
        <w:suff w:val="tab"/>
      </w:lvl>
    </w:lvlOverride>
  </w:num>
  <w:num w:numId="70">
    <w:abstractNumId w:val="38"/>
    <w:lvlOverride w:ilvl="0">
      <w:lvl w:ilvl="0">
        <w:isLgl w:val="false"/>
        <w:lvlJc w:val="left"/>
        <w:lvlText w:val="%1."/>
        <w:numFmt w:val="decimal"/>
        <w:pPr>
          <w:pBdr/>
          <w:spacing/>
          <w:ind/>
        </w:pPr>
        <w:rPr/>
        <w:start w:val="0"/>
        <w:suff w:val="tab"/>
      </w:lvl>
    </w:lvlOverride>
  </w:num>
  <w:num w:numId="71">
    <w:abstractNumId w:val="38"/>
    <w:lvlOverride w:ilvl="0">
      <w:lvl w:ilvl="0">
        <w:isLgl w:val="false"/>
        <w:lvlJc w:val="left"/>
        <w:lvlText w:val="%1."/>
        <w:numFmt w:val="decimal"/>
        <w:pPr>
          <w:pBdr/>
          <w:spacing/>
          <w:ind/>
        </w:pPr>
        <w:rPr/>
        <w:start w:val="0"/>
        <w:suff w:val="tab"/>
      </w:lvl>
    </w:lvlOverride>
  </w:num>
  <w:num w:numId="72">
    <w:abstractNumId w:val="38"/>
    <w:lvlOverride w:ilvl="0">
      <w:lvl w:ilvl="0">
        <w:isLgl w:val="false"/>
        <w:lvlJc w:val="left"/>
        <w:lvlText w:val="%1."/>
        <w:numFmt w:val="decimal"/>
        <w:pPr>
          <w:pBdr/>
          <w:spacing/>
          <w:ind/>
        </w:pPr>
        <w:rPr/>
        <w:start w:val="0"/>
        <w:suff w:val="tab"/>
      </w:lvl>
    </w:lvlOverride>
  </w:num>
  <w:num w:numId="73">
    <w:abstractNumId w:val="38"/>
    <w:lvlOverride w:ilvl="0">
      <w:lvl w:ilvl="0">
        <w:isLgl w:val="false"/>
        <w:lvlJc w:val="left"/>
        <w:lvlText w:val="%1."/>
        <w:numFmt w:val="decimal"/>
        <w:pPr>
          <w:pBdr/>
          <w:spacing/>
          <w:ind/>
        </w:pPr>
        <w:rPr/>
        <w:start w:val="0"/>
        <w:suff w:val="tab"/>
      </w:lvl>
    </w:lvlOverride>
  </w:num>
  <w:num w:numId="74">
    <w:abstractNumId w:val="45"/>
    <w:lvlOverride w:ilvl="0">
      <w:lvl w:ilvl="0">
        <w:isLgl w:val="false"/>
        <w:lvlJc w:val="left"/>
        <w:lvlText w:val="%1."/>
        <w:numFmt w:val="decimal"/>
        <w:pPr>
          <w:pBdr/>
          <w:spacing/>
          <w:ind/>
        </w:pPr>
        <w:rPr/>
        <w:start w:val="0"/>
        <w:suff w:val="tab"/>
      </w:lvl>
    </w:lvlOverride>
  </w:num>
  <w:num w:numId="75">
    <w:abstractNumId w:val="46"/>
    <w:lvlOverride w:ilvl="0">
      <w:lvl w:ilvl="0">
        <w:isLgl w:val="false"/>
        <w:lvlJc w:val="left"/>
        <w:lvlText w:val="%1."/>
        <w:numFmt w:val="decimal"/>
        <w:pPr>
          <w:pBdr/>
          <w:spacing/>
          <w:ind/>
        </w:pPr>
        <w:rPr/>
        <w:start w:val="0"/>
        <w:suff w:val="tab"/>
      </w:lvl>
    </w:lvlOverride>
  </w:num>
  <w:num w:numId="76">
    <w:abstractNumId w:val="22"/>
    <w:lvlOverride w:ilvl="0">
      <w:lvl w:ilvl="0">
        <w:isLgl w:val="false"/>
        <w:lvlJc w:val="left"/>
        <w:lvlText w:val="%1."/>
        <w:numFmt w:val="decimal"/>
        <w:pPr>
          <w:pBdr/>
          <w:spacing/>
          <w:ind/>
        </w:pPr>
        <w:rPr/>
        <w:start w:val="0"/>
        <w:suff w:val="tab"/>
      </w:lvl>
    </w:lvlOverride>
  </w:num>
  <w:num w:numId="77">
    <w:abstractNumId w:val="22"/>
    <w:lvlOverride w:ilvl="0">
      <w:lvl w:ilvl="0">
        <w:isLgl w:val="false"/>
        <w:lvlJc w:val="left"/>
        <w:lvlText w:val="%1."/>
        <w:numFmt w:val="decimal"/>
        <w:pPr>
          <w:pBdr/>
          <w:spacing/>
          <w:ind/>
        </w:pPr>
        <w:rPr/>
        <w:start w:val="0"/>
        <w:suff w:val="tab"/>
      </w:lvl>
    </w:lvlOverride>
  </w:num>
  <w:num w:numId="78">
    <w:abstractNumId w:val="48"/>
    <w:lvlOverride w:ilvl="0">
      <w:lvl w:ilvl="0">
        <w:isLgl w:val="false"/>
        <w:lvlJc w:val="left"/>
        <w:lvlText w:val="%1."/>
        <w:numFmt w:val="decimal"/>
        <w:pPr>
          <w:pBdr/>
          <w:spacing/>
          <w:ind/>
        </w:pPr>
        <w:rPr/>
        <w:start w:val="0"/>
        <w:suff w:val="tab"/>
      </w:lvl>
    </w:lvlOverride>
  </w:num>
  <w:num w:numId="79">
    <w:abstractNumId w:val="48"/>
    <w:lvlOverride w:ilvl="0">
      <w:lvl w:ilvl="0">
        <w:isLgl w:val="false"/>
        <w:lvlJc w:val="left"/>
        <w:lvlText w:val="%1."/>
        <w:numFmt w:val="decimal"/>
        <w:pPr>
          <w:pBdr/>
          <w:spacing/>
          <w:ind/>
        </w:pPr>
        <w:rPr/>
        <w:start w:val="0"/>
        <w:suff w:val="tab"/>
      </w:lvl>
    </w:lvlOverride>
  </w:num>
  <w:num w:numId="80">
    <w:abstractNumId w:val="48"/>
    <w:lvlOverride w:ilvl="0">
      <w:lvl w:ilvl="0">
        <w:isLgl w:val="false"/>
        <w:lvlJc w:val="left"/>
        <w:lvlText w:val="%1."/>
        <w:numFmt w:val="decimal"/>
        <w:pPr>
          <w:pBdr/>
          <w:spacing/>
          <w:ind/>
        </w:pPr>
        <w:rPr/>
        <w:start w:val="0"/>
        <w:suff w:val="tab"/>
      </w:lvl>
    </w:lvlOverride>
  </w:num>
  <w:num w:numId="81">
    <w:abstractNumId w:val="34"/>
    <w:lvlOverride w:ilvl="0">
      <w:lvl w:ilvl="0">
        <w:isLgl w:val="false"/>
        <w:lvlJc w:val="left"/>
        <w:lvlText w:val="%1."/>
        <w:numFmt w:val="decimal"/>
        <w:pPr>
          <w:pBdr/>
          <w:spacing/>
          <w:ind/>
        </w:pPr>
        <w:rPr/>
        <w:start w:val="0"/>
        <w:suff w:val="tab"/>
      </w:lvl>
    </w:lvlOverride>
  </w:num>
  <w:num w:numId="82">
    <w:abstractNumId w:val="31"/>
    <w:lvlOverride w:ilvl="0">
      <w:lvl w:ilvl="0">
        <w:isLgl w:val="false"/>
        <w:lvlJc w:val="left"/>
        <w:lvlText w:val="%1."/>
        <w:numFmt w:val="decimal"/>
        <w:pPr>
          <w:pBdr/>
          <w:spacing/>
          <w:ind/>
        </w:pPr>
        <w:rPr/>
        <w:start w:val="0"/>
        <w:suff w:val="tab"/>
      </w:lvl>
    </w:lvlOverride>
  </w:num>
  <w:num w:numId="83">
    <w:abstractNumId w:val="31"/>
    <w:lvlOverride w:ilvl="0">
      <w:lvl w:ilvl="0">
        <w:isLgl w:val="false"/>
        <w:lvlJc w:val="left"/>
        <w:lvlText w:val="%1."/>
        <w:numFmt w:val="decimal"/>
        <w:pPr>
          <w:pBdr/>
          <w:spacing/>
          <w:ind/>
        </w:pPr>
        <w:rPr/>
        <w:start w:val="0"/>
        <w:suff w:val="tab"/>
      </w:lvl>
    </w:lvlOverride>
  </w:num>
  <w:num w:numId="84">
    <w:abstractNumId w:val="31"/>
    <w:lvlOverride w:ilvl="0">
      <w:lvl w:ilvl="0">
        <w:isLgl w:val="false"/>
        <w:lvlJc w:val="left"/>
        <w:lvlText w:val="%1."/>
        <w:numFmt w:val="decimal"/>
        <w:pPr>
          <w:pBdr/>
          <w:spacing/>
          <w:ind/>
        </w:pPr>
        <w:rPr/>
        <w:start w:val="0"/>
        <w:suff w:val="tab"/>
      </w:lvl>
    </w:lvlOverride>
  </w:num>
  <w:num w:numId="85">
    <w:abstractNumId w:val="31"/>
    <w:lvlOverride w:ilvl="0">
      <w:lvl w:ilvl="0">
        <w:isLgl w:val="false"/>
        <w:lvlJc w:val="left"/>
        <w:lvlText w:val="%1."/>
        <w:numFmt w:val="decimal"/>
        <w:pPr>
          <w:pBdr/>
          <w:spacing/>
          <w:ind/>
        </w:pPr>
        <w:rPr/>
        <w:start w:val="0"/>
        <w:suff w:val="tab"/>
      </w:lvl>
    </w:lvlOverride>
  </w:num>
  <w:num w:numId="86">
    <w:abstractNumId w:val="31"/>
    <w:lvlOverride w:ilvl="0">
      <w:lvl w:ilvl="0">
        <w:isLgl w:val="false"/>
        <w:lvlJc w:val="left"/>
        <w:lvlText w:val="%1."/>
        <w:numFmt w:val="decimal"/>
        <w:pPr>
          <w:pBdr/>
          <w:spacing/>
          <w:ind/>
        </w:pPr>
        <w:rPr/>
        <w:start w:val="0"/>
        <w:suff w:val="tab"/>
      </w:lvl>
    </w:lvlOverride>
  </w:num>
  <w:num w:numId="87">
    <w:abstractNumId w:val="26"/>
    <w:lvlOverride w:ilvl="0">
      <w:lvl w:ilvl="0">
        <w:isLgl w:val="false"/>
        <w:lvlJc w:val="left"/>
        <w:lvlText w:val="%1."/>
        <w:numFmt w:val="decimal"/>
        <w:pPr>
          <w:pBdr/>
          <w:spacing/>
          <w:ind/>
        </w:pPr>
        <w:rPr/>
        <w:start w:val="0"/>
        <w:suff w:val="tab"/>
      </w:lvl>
    </w:lvlOverride>
  </w:num>
  <w:num w:numId="88">
    <w:abstractNumId w:val="18"/>
  </w:num>
  <w:num w:numId="89">
    <w:abstractNumId w:val="52"/>
  </w:num>
  <w:num w:numId="90">
    <w:abstractNumId w:val="53"/>
  </w:num>
  <w:num w:numId="91">
    <w:abstractNumId w:val="56"/>
    <w:lvlOverride w:ilvl="0">
      <w:lvl w:ilvl="0">
        <w:isLgl w:val="false"/>
        <w:lvlJc w:val="left"/>
        <w:lvlText w:val="%1."/>
        <w:numFmt w:val="decimal"/>
        <w:pPr>
          <w:pBdr/>
          <w:spacing/>
          <w:ind/>
        </w:pPr>
        <w:rPr/>
        <w:start w:val="0"/>
        <w:suff w:val="tab"/>
      </w:lvl>
    </w:lvlOverride>
  </w:num>
  <w:num w:numId="92">
    <w:abstractNumId w:val="56"/>
    <w:lvlOverride w:ilvl="0">
      <w:lvl w:ilvl="0">
        <w:isLgl w:val="false"/>
        <w:lvlJc w:val="left"/>
        <w:lvlText w:val="%1."/>
        <w:numFmt w:val="decimal"/>
        <w:pPr>
          <w:pBdr/>
          <w:spacing/>
          <w:ind/>
        </w:pPr>
        <w:rPr/>
        <w:start w:val="0"/>
        <w:suff w:val="tab"/>
      </w:lvl>
    </w:lvlOverride>
  </w:num>
  <w:num w:numId="93">
    <w:abstractNumId w:val="56"/>
    <w:lvlOverride w:ilvl="0">
      <w:lvl w:ilvl="0">
        <w:isLgl w:val="false"/>
        <w:lvlJc w:val="left"/>
        <w:lvlText w:val="%1."/>
        <w:numFmt w:val="decimal"/>
        <w:pPr>
          <w:pBdr/>
          <w:spacing/>
          <w:ind/>
        </w:pPr>
        <w:rPr/>
        <w:start w:val="0"/>
        <w:suff w:val="tab"/>
      </w:lvl>
    </w:lvlOverride>
  </w:num>
  <w:num w:numId="94">
    <w:abstractNumId w:val="57"/>
    <w:lvlOverride w:ilvl="0">
      <w:lvl w:ilvl="0">
        <w:isLgl w:val="false"/>
        <w:lvlJc w:val="left"/>
        <w:lvlText w:val="%1."/>
        <w:numFmt w:val="decimal"/>
        <w:pPr>
          <w:pBdr/>
          <w:spacing/>
          <w:ind/>
        </w:pPr>
        <w:rPr/>
        <w:start w:val="0"/>
        <w:suff w:val="tab"/>
      </w:lvl>
    </w:lvlOverride>
  </w:num>
  <w:num w:numId="95">
    <w:abstractNumId w:val="60"/>
    <w:lvlOverride w:ilvl="0">
      <w:lvl w:ilvl="0">
        <w:isLgl w:val="false"/>
        <w:lvlJc w:val="left"/>
        <w:lvlText w:val="%1."/>
        <w:numFmt w:val="decimal"/>
        <w:pPr>
          <w:pBdr/>
          <w:spacing/>
          <w:ind/>
        </w:pPr>
        <w:rPr/>
        <w:start w:val="0"/>
        <w:suff w:val="tab"/>
      </w:lvl>
    </w:lvlOverride>
  </w:num>
  <w:num w:numId="96">
    <w:abstractNumId w:val="60"/>
    <w:lvlOverride w:ilvl="0">
      <w:lvl w:ilvl="0">
        <w:isLgl w:val="false"/>
        <w:lvlJc w:val="left"/>
        <w:lvlText w:val="%1."/>
        <w:numFmt w:val="decimal"/>
        <w:pPr>
          <w:pBdr/>
          <w:spacing/>
          <w:ind/>
        </w:pPr>
        <w:rPr/>
        <w:start w:val="0"/>
        <w:suff w:val="tab"/>
      </w:lvl>
    </w:lvlOverride>
  </w:num>
  <w:num w:numId="97">
    <w:abstractNumId w:val="60"/>
    <w:lvlOverride w:ilvl="0">
      <w:lvl w:ilvl="0">
        <w:isLgl w:val="false"/>
        <w:lvlJc w:val="left"/>
        <w:lvlText w:val="%1."/>
        <w:numFmt w:val="decimal"/>
        <w:pPr>
          <w:pBdr/>
          <w:spacing/>
          <w:ind/>
        </w:pPr>
        <w:rPr/>
        <w:start w:val="0"/>
        <w:suff w:val="tab"/>
      </w:lvl>
    </w:lvlOverride>
  </w:num>
  <w:num w:numId="98">
    <w:abstractNumId w:val="61"/>
    <w:lvlOverride w:ilvl="0">
      <w:lvl w:ilvl="0">
        <w:isLgl w:val="false"/>
        <w:lvlJc w:val="left"/>
        <w:lvlText w:val="%1."/>
        <w:numFmt w:val="decimal"/>
        <w:pPr>
          <w:pBdr/>
          <w:spacing/>
          <w:ind/>
        </w:pPr>
        <w:rPr/>
        <w:start w:val="0"/>
        <w:suff w:val="tab"/>
      </w:lvl>
    </w:lvlOverride>
  </w:num>
  <w:num w:numId="99">
    <w:abstractNumId w:val="62"/>
    <w:lvlOverride w:ilvl="0">
      <w:lvl w:ilvl="0">
        <w:isLgl w:val="false"/>
        <w:lvlJc w:val="left"/>
        <w:lvlText w:val="%1."/>
        <w:numFmt w:val="decimal"/>
        <w:pPr>
          <w:pBdr/>
          <w:spacing/>
          <w:ind/>
        </w:pPr>
        <w:rPr/>
        <w:start w:val="0"/>
        <w:suff w:val="tab"/>
      </w:lvl>
    </w:lvlOverride>
  </w:num>
  <w:num w:numId="100">
    <w:abstractNumId w:val="69"/>
    <w:lvlOverride w:ilvl="0">
      <w:lvl w:ilvl="0">
        <w:isLgl w:val="false"/>
        <w:lvlJc w:val="left"/>
        <w:lvlText w:val="%1."/>
        <w:numFmt w:val="decimal"/>
        <w:pPr>
          <w:pBdr/>
          <w:spacing/>
          <w:ind/>
        </w:pPr>
        <w:rPr/>
        <w:start w:val="0"/>
        <w:suff w:val="tab"/>
      </w:lvl>
    </w:lvlOverride>
  </w:num>
  <w:num w:numId="101">
    <w:abstractNumId w:val="69"/>
    <w:lvlOverride w:ilvl="0">
      <w:lvl w:ilvl="0">
        <w:isLgl w:val="false"/>
        <w:lvlJc w:val="left"/>
        <w:lvlText w:val="%1."/>
        <w:numFmt w:val="decimal"/>
        <w:pPr>
          <w:pBdr/>
          <w:spacing/>
          <w:ind/>
        </w:pPr>
        <w:rPr/>
        <w:start w:val="0"/>
        <w:suff w:val="tab"/>
      </w:lvl>
    </w:lvlOverride>
  </w:num>
  <w:num w:numId="102">
    <w:abstractNumId w:val="69"/>
    <w:lvlOverride w:ilvl="0">
      <w:lvl w:ilvl="0">
        <w:isLgl w:val="false"/>
        <w:lvlJc w:val="left"/>
        <w:lvlText w:val="%1."/>
        <w:numFmt w:val="decimal"/>
        <w:pPr>
          <w:pBdr/>
          <w:spacing/>
          <w:ind/>
        </w:pPr>
        <w:rPr/>
        <w:start w:val="0"/>
        <w:suff w:val="tab"/>
      </w:lvl>
    </w:lvlOverride>
  </w:num>
  <w:num w:numId="103">
    <w:abstractNumId w:val="69"/>
    <w:lvlOverride w:ilvl="0">
      <w:lvl w:ilvl="0">
        <w:isLgl w:val="false"/>
        <w:lvlJc w:val="left"/>
        <w:lvlText w:val="%1."/>
        <w:numFmt w:val="decimal"/>
        <w:pPr>
          <w:pBdr/>
          <w:spacing/>
          <w:ind/>
        </w:pPr>
        <w:rPr/>
        <w:start w:val="0"/>
        <w:suff w:val="tab"/>
      </w:lvl>
    </w:lvlOverride>
  </w:num>
  <w:num w:numId="104">
    <w:abstractNumId w:val="69"/>
    <w:lvlOverride w:ilvl="0">
      <w:lvl w:ilvl="0">
        <w:isLgl w:val="false"/>
        <w:lvlJc w:val="left"/>
        <w:lvlText w:val="%1."/>
        <w:numFmt w:val="decimal"/>
        <w:pPr>
          <w:pBdr/>
          <w:spacing/>
          <w:ind/>
        </w:pPr>
        <w:rPr/>
        <w:start w:val="0"/>
        <w:suff w:val="tab"/>
      </w:lvl>
    </w:lvlOverride>
  </w:num>
  <w:num w:numId="105">
    <w:abstractNumId w:val="69"/>
    <w:lvlOverride w:ilvl="0">
      <w:lvl w:ilvl="0">
        <w:isLgl w:val="false"/>
        <w:lvlJc w:val="left"/>
        <w:lvlText w:val="%1."/>
        <w:numFmt w:val="decimal"/>
        <w:pPr>
          <w:pBdr/>
          <w:spacing/>
          <w:ind/>
        </w:pPr>
        <w:rPr/>
        <w:start w:val="0"/>
        <w:suff w:val="tab"/>
      </w:lvl>
    </w:lvlOverride>
  </w:num>
  <w:num w:numId="106">
    <w:abstractNumId w:val="69"/>
    <w:lvlOverride w:ilvl="0">
      <w:lvl w:ilvl="0">
        <w:isLgl w:val="false"/>
        <w:lvlJc w:val="left"/>
        <w:lvlText w:val="%1."/>
        <w:numFmt w:val="decimal"/>
        <w:pPr>
          <w:pBdr/>
          <w:spacing/>
          <w:ind/>
        </w:pPr>
        <w:rPr/>
        <w:start w:val="0"/>
        <w:suff w:val="tab"/>
      </w:lvl>
    </w:lvlOverride>
  </w:num>
  <w:num w:numId="107">
    <w:abstractNumId w:val="70"/>
    <w:lvlOverride w:ilvl="0">
      <w:lvl w:ilvl="0">
        <w:isLgl w:val="false"/>
        <w:lvlJc w:val="left"/>
        <w:lvlText w:val="%1."/>
        <w:numFmt w:val="decimal"/>
        <w:pPr>
          <w:pBdr/>
          <w:spacing/>
          <w:ind/>
        </w:pPr>
        <w:rPr/>
        <w:start w:val="0"/>
        <w:suff w:val="tab"/>
      </w:lvl>
    </w:lvlOverride>
  </w:num>
  <w:num w:numId="108">
    <w:abstractNumId w:val="71"/>
    <w:lvlOverride w:ilvl="0">
      <w:lvl w:ilvl="0">
        <w:isLgl w:val="false"/>
        <w:lvlJc w:val="left"/>
        <w:lvlText w:val="%1."/>
        <w:numFmt w:val="decimal"/>
        <w:pPr>
          <w:pBdr/>
          <w:spacing/>
          <w:ind/>
        </w:pPr>
        <w:rPr/>
        <w:start w:val="0"/>
        <w:suff w:val="tab"/>
      </w:lvl>
    </w:lvlOverride>
  </w:num>
  <w:num w:numId="109">
    <w:abstractNumId w:val="73"/>
    <w:lvlOverride w:ilvl="0">
      <w:lvl w:ilvl="0">
        <w:isLgl w:val="false"/>
        <w:lvlJc w:val="left"/>
        <w:lvlText w:val="%1."/>
        <w:numFmt w:val="decimal"/>
        <w:pPr>
          <w:pBdr/>
          <w:spacing/>
          <w:ind/>
        </w:pPr>
        <w:rPr/>
        <w:start w:val="0"/>
        <w:suff w:val="tab"/>
      </w:lvl>
    </w:lvlOverride>
  </w:num>
  <w:num w:numId="110">
    <w:abstractNumId w:val="73"/>
    <w:lvlOverride w:ilvl="0">
      <w:lvl w:ilvl="0">
        <w:isLgl w:val="false"/>
        <w:lvlJc w:val="left"/>
        <w:lvlText w:val="%1."/>
        <w:numFmt w:val="decimal"/>
        <w:pPr>
          <w:pBdr/>
          <w:spacing/>
          <w:ind/>
        </w:pPr>
        <w:rPr/>
        <w:start w:val="0"/>
        <w:suff w:val="tab"/>
      </w:lvl>
    </w:lvlOverride>
  </w:num>
  <w:num w:numId="111">
    <w:abstractNumId w:val="76"/>
    <w:lvlOverride w:ilvl="0">
      <w:lvl w:ilvl="0">
        <w:isLgl w:val="false"/>
        <w:lvlJc w:val="left"/>
        <w:lvlText w:val="%1."/>
        <w:numFmt w:val="decimal"/>
        <w:pPr>
          <w:pBdr/>
          <w:spacing/>
          <w:ind/>
        </w:pPr>
        <w:rPr/>
        <w:start w:val="0"/>
        <w:suff w:val="tab"/>
      </w:lvl>
    </w:lvlOverride>
  </w:num>
  <w:num w:numId="112">
    <w:abstractNumId w:val="76"/>
    <w:lvlOverride w:ilvl="0">
      <w:lvl w:ilvl="0">
        <w:isLgl w:val="false"/>
        <w:lvlJc w:val="left"/>
        <w:lvlText w:val="%1."/>
        <w:numFmt w:val="decimal"/>
        <w:pPr>
          <w:pBdr/>
          <w:spacing/>
          <w:ind/>
        </w:pPr>
        <w:rPr/>
        <w:start w:val="0"/>
        <w:suff w:val="tab"/>
      </w:lvl>
    </w:lvlOverride>
  </w:num>
  <w:num w:numId="113">
    <w:abstractNumId w:val="76"/>
    <w:lvlOverride w:ilvl="0">
      <w:lvl w:ilvl="0">
        <w:isLgl w:val="false"/>
        <w:lvlJc w:val="left"/>
        <w:lvlText w:val="%1."/>
        <w:numFmt w:val="decimal"/>
        <w:pPr>
          <w:pBdr/>
          <w:spacing/>
          <w:ind/>
        </w:pPr>
        <w:rPr/>
        <w:start w:val="0"/>
        <w:suff w:val="tab"/>
      </w:lvl>
    </w:lvlOverride>
  </w:num>
  <w:num w:numId="114">
    <w:abstractNumId w:val="77"/>
    <w:lvlOverride w:ilvl="0">
      <w:lvl w:ilvl="0">
        <w:isLgl w:val="false"/>
        <w:lvlJc w:val="left"/>
        <w:lvlText w:val="%1."/>
        <w:numFmt w:val="decimal"/>
        <w:pPr>
          <w:pBdr/>
          <w:spacing/>
          <w:ind/>
        </w:pPr>
        <w:rPr/>
        <w:start w:val="0"/>
        <w:suff w:val="tab"/>
      </w:lvl>
    </w:lvlOverride>
  </w:num>
  <w:num w:numId="115">
    <w:abstractNumId w:val="82"/>
    <w:lvlOverride w:ilvl="0">
      <w:lvl w:ilvl="0">
        <w:isLgl w:val="false"/>
        <w:lvlJc w:val="left"/>
        <w:lvlText w:val="%1."/>
        <w:numFmt w:val="decimal"/>
        <w:pPr>
          <w:pBdr/>
          <w:spacing/>
          <w:ind/>
        </w:pPr>
        <w:rPr/>
        <w:start w:val="0"/>
        <w:suff w:val="tab"/>
      </w:lvl>
    </w:lvlOverride>
  </w:num>
  <w:num w:numId="116">
    <w:abstractNumId w:val="82"/>
    <w:lvlOverride w:ilvl="0">
      <w:lvl w:ilvl="0">
        <w:isLgl w:val="false"/>
        <w:lvlJc w:val="left"/>
        <w:lvlText w:val="%1."/>
        <w:numFmt w:val="decimal"/>
        <w:pPr>
          <w:pBdr/>
          <w:spacing/>
          <w:ind/>
        </w:pPr>
        <w:rPr/>
        <w:start w:val="0"/>
        <w:suff w:val="tab"/>
      </w:lvl>
    </w:lvlOverride>
  </w:num>
  <w:num w:numId="117">
    <w:abstractNumId w:val="82"/>
    <w:lvlOverride w:ilvl="0">
      <w:lvl w:ilvl="0">
        <w:isLgl w:val="false"/>
        <w:lvlJc w:val="left"/>
        <w:lvlText w:val="%1."/>
        <w:numFmt w:val="decimal"/>
        <w:pPr>
          <w:pBdr/>
          <w:spacing/>
          <w:ind/>
        </w:pPr>
        <w:rPr/>
        <w:start w:val="0"/>
        <w:suff w:val="tab"/>
      </w:lvl>
    </w:lvlOverride>
  </w:num>
  <w:num w:numId="118">
    <w:abstractNumId w:val="82"/>
    <w:lvlOverride w:ilvl="0">
      <w:lvl w:ilvl="0">
        <w:isLgl w:val="false"/>
        <w:lvlJc w:val="left"/>
        <w:lvlText w:val="%1."/>
        <w:numFmt w:val="decimal"/>
        <w:pPr>
          <w:pBdr/>
          <w:spacing/>
          <w:ind/>
        </w:pPr>
        <w:rPr/>
        <w:start w:val="0"/>
        <w:suff w:val="tab"/>
      </w:lvl>
    </w:lvlOverride>
  </w:num>
  <w:num w:numId="119">
    <w:abstractNumId w:val="82"/>
    <w:lvlOverride w:ilvl="0">
      <w:lvl w:ilvl="0">
        <w:isLgl w:val="false"/>
        <w:lvlJc w:val="left"/>
        <w:lvlText w:val="%1."/>
        <w:numFmt w:val="decimal"/>
        <w:pPr>
          <w:pBdr/>
          <w:spacing/>
          <w:ind/>
        </w:pPr>
        <w:rPr/>
        <w:start w:val="0"/>
        <w:suff w:val="tab"/>
      </w:lvl>
    </w:lvlOverride>
  </w:num>
  <w:num w:numId="120">
    <w:abstractNumId w:val="83"/>
    <w:lvlOverride w:ilvl="0">
      <w:lvl w:ilvl="0">
        <w:isLgl w:val="false"/>
        <w:lvlJc w:val="left"/>
        <w:lvlText w:val="%1."/>
        <w:numFmt w:val="decimal"/>
        <w:pPr>
          <w:pBdr/>
          <w:spacing/>
          <w:ind/>
        </w:pPr>
        <w:rPr/>
        <w:start w:val="0"/>
        <w:suff w:val="tab"/>
      </w:lvl>
    </w:lvlOverride>
  </w:num>
  <w:num w:numId="121">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977"/>
    <w:link w:val="970"/>
    <w:uiPriority w:val="9"/>
    <w:pPr>
      <w:pBdr/>
      <w:spacing/>
      <w:ind/>
    </w:pPr>
    <w:rPr>
      <w:rFonts w:ascii="Arial" w:hAnsi="Arial" w:eastAsia="Arial" w:cs="Arial"/>
      <w:sz w:val="40"/>
      <w:szCs w:val="40"/>
    </w:rPr>
  </w:style>
  <w:style w:type="character" w:styleId="819">
    <w:name w:val="Heading 2 Char"/>
    <w:basedOn w:val="977"/>
    <w:link w:val="971"/>
    <w:uiPriority w:val="9"/>
    <w:pPr>
      <w:pBdr/>
      <w:spacing/>
      <w:ind/>
    </w:pPr>
    <w:rPr>
      <w:rFonts w:ascii="Arial" w:hAnsi="Arial" w:eastAsia="Arial" w:cs="Arial"/>
      <w:sz w:val="34"/>
    </w:rPr>
  </w:style>
  <w:style w:type="character" w:styleId="820">
    <w:name w:val="Heading 3 Char"/>
    <w:basedOn w:val="977"/>
    <w:link w:val="972"/>
    <w:uiPriority w:val="9"/>
    <w:pPr>
      <w:pBdr/>
      <w:spacing/>
      <w:ind/>
    </w:pPr>
    <w:rPr>
      <w:rFonts w:ascii="Arial" w:hAnsi="Arial" w:eastAsia="Arial" w:cs="Arial"/>
      <w:sz w:val="30"/>
      <w:szCs w:val="30"/>
    </w:rPr>
  </w:style>
  <w:style w:type="character" w:styleId="821">
    <w:name w:val="Heading 4 Char"/>
    <w:basedOn w:val="977"/>
    <w:link w:val="973"/>
    <w:uiPriority w:val="9"/>
    <w:pPr>
      <w:pBdr/>
      <w:spacing/>
      <w:ind/>
    </w:pPr>
    <w:rPr>
      <w:rFonts w:ascii="Arial" w:hAnsi="Arial" w:eastAsia="Arial" w:cs="Arial"/>
      <w:b/>
      <w:bCs/>
      <w:sz w:val="26"/>
      <w:szCs w:val="26"/>
    </w:rPr>
  </w:style>
  <w:style w:type="character" w:styleId="822">
    <w:name w:val="Heading 5 Char"/>
    <w:basedOn w:val="977"/>
    <w:link w:val="974"/>
    <w:uiPriority w:val="9"/>
    <w:pPr>
      <w:pBdr/>
      <w:spacing/>
      <w:ind/>
    </w:pPr>
    <w:rPr>
      <w:rFonts w:ascii="Arial" w:hAnsi="Arial" w:eastAsia="Arial" w:cs="Arial"/>
      <w:b/>
      <w:bCs/>
      <w:sz w:val="24"/>
      <w:szCs w:val="24"/>
    </w:rPr>
  </w:style>
  <w:style w:type="paragraph" w:styleId="823">
    <w:name w:val="Heading 6"/>
    <w:basedOn w:val="969"/>
    <w:next w:val="969"/>
    <w:link w:val="82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824">
    <w:name w:val="Heading 6 Char"/>
    <w:basedOn w:val="977"/>
    <w:link w:val="823"/>
    <w:uiPriority w:val="9"/>
    <w:pPr>
      <w:pBdr/>
      <w:spacing/>
      <w:ind/>
    </w:pPr>
    <w:rPr>
      <w:rFonts w:ascii="Arial" w:hAnsi="Arial" w:eastAsia="Arial" w:cs="Arial"/>
      <w:b/>
      <w:bCs/>
      <w:sz w:val="22"/>
      <w:szCs w:val="22"/>
    </w:rPr>
  </w:style>
  <w:style w:type="paragraph" w:styleId="825">
    <w:name w:val="Heading 7"/>
    <w:basedOn w:val="969"/>
    <w:next w:val="969"/>
    <w:link w:val="82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826">
    <w:name w:val="Heading 7 Char"/>
    <w:basedOn w:val="977"/>
    <w:link w:val="825"/>
    <w:uiPriority w:val="9"/>
    <w:pPr>
      <w:pBdr/>
      <w:spacing/>
      <w:ind/>
    </w:pPr>
    <w:rPr>
      <w:rFonts w:ascii="Arial" w:hAnsi="Arial" w:eastAsia="Arial" w:cs="Arial"/>
      <w:b/>
      <w:bCs/>
      <w:i/>
      <w:iCs/>
      <w:sz w:val="22"/>
      <w:szCs w:val="22"/>
    </w:rPr>
  </w:style>
  <w:style w:type="character" w:styleId="827">
    <w:name w:val="Heading 8 Char"/>
    <w:basedOn w:val="977"/>
    <w:link w:val="975"/>
    <w:uiPriority w:val="9"/>
    <w:pPr>
      <w:pBdr/>
      <w:spacing/>
      <w:ind/>
    </w:pPr>
    <w:rPr>
      <w:rFonts w:ascii="Arial" w:hAnsi="Arial" w:eastAsia="Arial" w:cs="Arial"/>
      <w:i/>
      <w:iCs/>
      <w:sz w:val="22"/>
      <w:szCs w:val="22"/>
    </w:rPr>
  </w:style>
  <w:style w:type="character" w:styleId="828">
    <w:name w:val="Heading 9 Char"/>
    <w:basedOn w:val="977"/>
    <w:link w:val="976"/>
    <w:uiPriority w:val="9"/>
    <w:pPr>
      <w:pBdr/>
      <w:spacing/>
      <w:ind/>
    </w:pPr>
    <w:rPr>
      <w:rFonts w:ascii="Arial" w:hAnsi="Arial" w:eastAsia="Arial" w:cs="Arial"/>
      <w:i/>
      <w:iCs/>
      <w:sz w:val="21"/>
      <w:szCs w:val="21"/>
    </w:rPr>
  </w:style>
  <w:style w:type="paragraph" w:styleId="829">
    <w:name w:val="Title"/>
    <w:basedOn w:val="969"/>
    <w:next w:val="969"/>
    <w:link w:val="830"/>
    <w:uiPriority w:val="10"/>
    <w:qFormat/>
    <w:pPr>
      <w:pBdr/>
      <w:spacing w:after="200" w:before="300"/>
      <w:ind/>
      <w:contextualSpacing w:val="true"/>
    </w:pPr>
    <w:rPr>
      <w:sz w:val="48"/>
      <w:szCs w:val="48"/>
    </w:rPr>
  </w:style>
  <w:style w:type="character" w:styleId="830">
    <w:name w:val="Title Char"/>
    <w:basedOn w:val="977"/>
    <w:link w:val="829"/>
    <w:uiPriority w:val="10"/>
    <w:pPr>
      <w:pBdr/>
      <w:spacing/>
      <w:ind/>
    </w:pPr>
    <w:rPr>
      <w:sz w:val="48"/>
      <w:szCs w:val="48"/>
    </w:rPr>
  </w:style>
  <w:style w:type="character" w:styleId="831">
    <w:name w:val="Subtitle Char"/>
    <w:basedOn w:val="977"/>
    <w:link w:val="995"/>
    <w:uiPriority w:val="11"/>
    <w:pPr>
      <w:pBdr/>
      <w:spacing/>
      <w:ind/>
    </w:pPr>
    <w:rPr>
      <w:sz w:val="24"/>
      <w:szCs w:val="24"/>
    </w:rPr>
  </w:style>
  <w:style w:type="paragraph" w:styleId="832">
    <w:name w:val="Quote"/>
    <w:basedOn w:val="969"/>
    <w:next w:val="969"/>
    <w:link w:val="833"/>
    <w:uiPriority w:val="29"/>
    <w:qFormat/>
    <w:pPr>
      <w:pBdr/>
      <w:spacing/>
      <w:ind w:right="720" w:left="720"/>
    </w:pPr>
    <w:rPr>
      <w:i/>
    </w:rPr>
  </w:style>
  <w:style w:type="character" w:styleId="833">
    <w:name w:val="Quote Char"/>
    <w:link w:val="832"/>
    <w:uiPriority w:val="29"/>
    <w:pPr>
      <w:pBdr/>
      <w:spacing/>
      <w:ind/>
    </w:pPr>
    <w:rPr>
      <w:i/>
    </w:rPr>
  </w:style>
  <w:style w:type="paragraph" w:styleId="834">
    <w:name w:val="Intense Quote"/>
    <w:basedOn w:val="969"/>
    <w:next w:val="969"/>
    <w:link w:val="835"/>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35">
    <w:name w:val="Intense Quote Char"/>
    <w:link w:val="834"/>
    <w:uiPriority w:val="30"/>
    <w:pPr>
      <w:pBdr/>
      <w:spacing/>
      <w:ind/>
    </w:pPr>
    <w:rPr>
      <w:i/>
    </w:rPr>
  </w:style>
  <w:style w:type="character" w:styleId="836">
    <w:name w:val="Header Char"/>
    <w:basedOn w:val="977"/>
    <w:link w:val="993"/>
    <w:uiPriority w:val="99"/>
    <w:pPr>
      <w:pBdr/>
      <w:spacing/>
      <w:ind/>
    </w:pPr>
  </w:style>
  <w:style w:type="character" w:styleId="837">
    <w:name w:val="Footer Char"/>
    <w:basedOn w:val="977"/>
    <w:link w:val="987"/>
    <w:uiPriority w:val="99"/>
    <w:pPr>
      <w:pBdr/>
      <w:spacing/>
      <w:ind/>
    </w:pPr>
  </w:style>
  <w:style w:type="character" w:styleId="838">
    <w:name w:val="Caption Char"/>
    <w:basedOn w:val="1050"/>
    <w:link w:val="987"/>
    <w:uiPriority w:val="99"/>
    <w:pPr>
      <w:pBdr/>
      <w:spacing/>
      <w:ind/>
    </w:pPr>
  </w:style>
  <w:style w:type="table" w:styleId="839">
    <w:name w:val="Table Grid Light"/>
    <w:basedOn w:val="9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Plain Table 1"/>
    <w:basedOn w:val="9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Plain Table 2"/>
    <w:basedOn w:val="9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Plain Table 3"/>
    <w:basedOn w:val="9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Plain Table 4"/>
    <w:basedOn w:val="9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Plain Table 5"/>
    <w:basedOn w:val="9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1 Light"/>
    <w:basedOn w:val="9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1 Light - Accent 1"/>
    <w:basedOn w:val="9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1 Light - Accent 2"/>
    <w:basedOn w:val="9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1 Light - Accent 3"/>
    <w:basedOn w:val="9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1 Light - Accent 4"/>
    <w:basedOn w:val="9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1 Light - Accent 5"/>
    <w:basedOn w:val="9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1 Light - Accent 6"/>
    <w:basedOn w:val="9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2"/>
    <w:basedOn w:val="9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2 - Accent 1"/>
    <w:basedOn w:val="9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2 - Accent 2"/>
    <w:basedOn w:val="9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2 - Accent 3"/>
    <w:basedOn w:val="9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2 - Accent 4"/>
    <w:basedOn w:val="9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2 - Accent 5"/>
    <w:basedOn w:val="9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2 - Accent 6"/>
    <w:basedOn w:val="9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3"/>
    <w:basedOn w:val="9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3 - Accent 1"/>
    <w:basedOn w:val="9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3 - Accent 2"/>
    <w:basedOn w:val="9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3 - Accent 3"/>
    <w:basedOn w:val="9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3 - Accent 4"/>
    <w:basedOn w:val="9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3 - Accent 5"/>
    <w:basedOn w:val="9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3 - Accent 6"/>
    <w:basedOn w:val="9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4"/>
    <w:basedOn w:val="9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4 - Accent 1"/>
    <w:basedOn w:val="9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4 - Accent 2"/>
    <w:basedOn w:val="9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4 - Accent 3"/>
    <w:basedOn w:val="9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4 - Accent 4"/>
    <w:basedOn w:val="9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4 - Accent 5"/>
    <w:basedOn w:val="9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4 - Accent 6"/>
    <w:basedOn w:val="9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5 Dark"/>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5 Dark- Accent 1"/>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5 Dark - Accent 2"/>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5 Dark - Accent 3"/>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5 Dark- Accent 4"/>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5 Dark - Accent 5"/>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5 Dark - Accent 6"/>
    <w:basedOn w:val="9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6 Colorful"/>
    <w:basedOn w:val="9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81">
    <w:name w:val="Grid Table 6 Colorful - Accent 1"/>
    <w:basedOn w:val="9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82">
    <w:name w:val="Grid Table 6 Colorful - Accent 2"/>
    <w:basedOn w:val="9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83">
    <w:name w:val="Grid Table 6 Colorful - Accent 3"/>
    <w:basedOn w:val="9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84">
    <w:name w:val="Grid Table 6 Colorful - Accent 4"/>
    <w:basedOn w:val="9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85">
    <w:name w:val="Grid Table 6 Colorful - Accent 5"/>
    <w:basedOn w:val="9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6">
    <w:name w:val="Grid Table 6 Colorful - Accent 6"/>
    <w:basedOn w:val="9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87">
    <w:name w:val="Grid Table 7 Colorful"/>
    <w:basedOn w:val="9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7 Colorful - Accent 1"/>
    <w:basedOn w:val="9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7 Colorful - Accent 2"/>
    <w:basedOn w:val="9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7 Colorful - Accent 3"/>
    <w:basedOn w:val="9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7 Colorful - Accent 4"/>
    <w:basedOn w:val="9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7 Colorful - Accent 5"/>
    <w:basedOn w:val="9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7 Colorful - Accent 6"/>
    <w:basedOn w:val="9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1 Light"/>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1 Light - Accent 1"/>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1 Light - Accent 2"/>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1 Light - Accent 3"/>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1 Light - Accent 4"/>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1 Light - Accent 5"/>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1 Light - Accent 6"/>
    <w:basedOn w:val="9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2"/>
    <w:basedOn w:val="9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2 - Accent 1"/>
    <w:basedOn w:val="9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2 - Accent 2"/>
    <w:basedOn w:val="9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2 - Accent 3"/>
    <w:basedOn w:val="9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2 - Accent 4"/>
    <w:basedOn w:val="9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2 - Accent 5"/>
    <w:basedOn w:val="9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2 - Accent 6"/>
    <w:basedOn w:val="9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3"/>
    <w:basedOn w:val="9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3 - Accent 1"/>
    <w:basedOn w:val="9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3 - Accent 2"/>
    <w:basedOn w:val="9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3 - Accent 3"/>
    <w:basedOn w:val="9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3 - Accent 4"/>
    <w:basedOn w:val="9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3 - Accent 5"/>
    <w:basedOn w:val="9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3 - Accent 6"/>
    <w:basedOn w:val="9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4"/>
    <w:basedOn w:val="9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4 - Accent 1"/>
    <w:basedOn w:val="9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4 - Accent 2"/>
    <w:basedOn w:val="9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4 - Accent 3"/>
    <w:basedOn w:val="9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4 - Accent 4"/>
    <w:basedOn w:val="9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4 - Accent 5"/>
    <w:basedOn w:val="9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4 - Accent 6"/>
    <w:basedOn w:val="9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5 Dark"/>
    <w:basedOn w:val="9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3">
    <w:name w:val="List Table 5 Dark - Accent 1"/>
    <w:basedOn w:val="9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4">
    <w:name w:val="List Table 5 Dark - Accent 2"/>
    <w:basedOn w:val="9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5">
    <w:name w:val="List Table 5 Dark - Accent 3"/>
    <w:basedOn w:val="9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6">
    <w:name w:val="List Table 5 Dark - Accent 4"/>
    <w:basedOn w:val="9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7">
    <w:name w:val="List Table 5 Dark - Accent 5"/>
    <w:basedOn w:val="9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8">
    <w:name w:val="List Table 5 Dark - Accent 6"/>
    <w:basedOn w:val="9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9">
    <w:name w:val="List Table 6 Colorful"/>
    <w:basedOn w:val="9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6 Colorful - Accent 1"/>
    <w:basedOn w:val="9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6 Colorful - Accent 2"/>
    <w:basedOn w:val="9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6 Colorful - Accent 3"/>
    <w:basedOn w:val="9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6 Colorful - Accent 4"/>
    <w:basedOn w:val="9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6 Colorful - Accent 5"/>
    <w:basedOn w:val="9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6 Colorful - Accent 6"/>
    <w:basedOn w:val="9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7 Colorful"/>
    <w:basedOn w:val="9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37">
    <w:name w:val="List Table 7 Colorful - Accent 1"/>
    <w:basedOn w:val="9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38">
    <w:name w:val="List Table 7 Colorful - Accent 2"/>
    <w:basedOn w:val="9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39">
    <w:name w:val="List Table 7 Colorful - Accent 3"/>
    <w:basedOn w:val="9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40">
    <w:name w:val="List Table 7 Colorful - Accent 4"/>
    <w:basedOn w:val="9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41">
    <w:name w:val="List Table 7 Colorful - Accent 5"/>
    <w:basedOn w:val="9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42">
    <w:name w:val="List Table 7 Colorful - Accent 6"/>
    <w:basedOn w:val="9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43">
    <w:name w:val="Lined - Accent"/>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ned - Accent 1"/>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ned - Accent 2"/>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ned - Accent 3"/>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ned - Accent 4"/>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ned - Accent 5"/>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ned - Accent 6"/>
    <w:basedOn w:val="9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amp; Lined - Accent"/>
    <w:basedOn w:val="9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amp; Lined - Accent 1"/>
    <w:basedOn w:val="9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amp; Lined - Accent 2"/>
    <w:basedOn w:val="9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amp; Lined - Accent 3"/>
    <w:basedOn w:val="9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Bordered &amp; Lined - Accent 4"/>
    <w:basedOn w:val="9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Bordered &amp; Lined - Accent 5"/>
    <w:basedOn w:val="9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Bordered &amp; Lined - Accent 6"/>
    <w:basedOn w:val="9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w:basedOn w:val="9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 Accent 1"/>
    <w:basedOn w:val="9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Bordered - Accent 2"/>
    <w:basedOn w:val="9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Bordered - Accent 3"/>
    <w:basedOn w:val="9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Bordered - Accent 4"/>
    <w:basedOn w:val="9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Bordered - Accent 5"/>
    <w:basedOn w:val="9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Bordered - Accent 6"/>
    <w:basedOn w:val="9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4">
    <w:name w:val="Footnote Text Char"/>
    <w:link w:val="1023"/>
    <w:uiPriority w:val="99"/>
    <w:pPr>
      <w:pBdr/>
      <w:spacing/>
      <w:ind/>
    </w:pPr>
    <w:rPr>
      <w:sz w:val="18"/>
    </w:rPr>
  </w:style>
  <w:style w:type="paragraph" w:styleId="965">
    <w:name w:val="endnote text"/>
    <w:basedOn w:val="969"/>
    <w:link w:val="966"/>
    <w:uiPriority w:val="99"/>
    <w:semiHidden/>
    <w:unhideWhenUsed/>
    <w:pPr>
      <w:pBdr/>
      <w:spacing w:after="0" w:line="240" w:lineRule="auto"/>
      <w:ind/>
    </w:pPr>
    <w:rPr>
      <w:sz w:val="20"/>
    </w:rPr>
  </w:style>
  <w:style w:type="character" w:styleId="966">
    <w:name w:val="Endnote Text Char"/>
    <w:link w:val="965"/>
    <w:uiPriority w:val="99"/>
    <w:pPr>
      <w:pBdr/>
      <w:spacing/>
      <w:ind/>
    </w:pPr>
    <w:rPr>
      <w:sz w:val="20"/>
    </w:rPr>
  </w:style>
  <w:style w:type="character" w:styleId="967">
    <w:name w:val="endnote reference"/>
    <w:basedOn w:val="977"/>
    <w:uiPriority w:val="99"/>
    <w:semiHidden/>
    <w:unhideWhenUsed/>
    <w:pPr>
      <w:pBdr/>
      <w:spacing/>
      <w:ind/>
    </w:pPr>
    <w:rPr>
      <w:vertAlign w:val="superscript"/>
    </w:rPr>
  </w:style>
  <w:style w:type="paragraph" w:styleId="968">
    <w:name w:val="table of figures"/>
    <w:basedOn w:val="969"/>
    <w:next w:val="969"/>
    <w:uiPriority w:val="99"/>
    <w:unhideWhenUsed/>
    <w:pPr>
      <w:pBdr/>
      <w:spacing w:after="0" w:afterAutospacing="0"/>
      <w:ind/>
    </w:pPr>
  </w:style>
  <w:style w:type="paragraph" w:styleId="96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70">
    <w:name w:val="Heading 1"/>
    <w:basedOn w:val="990"/>
    <w:next w:val="969"/>
    <w:link w:val="980"/>
    <w:qFormat/>
    <w:pPr>
      <w:numPr>
        <w:ilvl w:val="0"/>
        <w:numId w:val="1"/>
      </w:numPr>
      <w:pBdr/>
      <w:spacing/>
      <w:ind/>
      <w:jc w:val="center"/>
      <w:outlineLvl w:val="0"/>
    </w:pPr>
    <w:rPr>
      <w:b/>
    </w:rPr>
  </w:style>
  <w:style w:type="paragraph" w:styleId="971">
    <w:name w:val="Heading 2"/>
    <w:basedOn w:val="969"/>
    <w:next w:val="969"/>
    <w:link w:val="98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2">
    <w:name w:val="Heading 3"/>
    <w:basedOn w:val="969"/>
    <w:next w:val="969"/>
    <w:link w:val="98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73">
    <w:name w:val="Heading 4"/>
    <w:basedOn w:val="969"/>
    <w:next w:val="969"/>
    <w:link w:val="983"/>
    <w:qFormat/>
    <w:pPr>
      <w:keepNext w:val="true"/>
      <w:pBdr/>
      <w:spacing/>
      <w:ind/>
      <w:outlineLvl w:val="3"/>
    </w:pPr>
    <w:rPr>
      <w:rFonts w:ascii="Baltica RR" w:hAnsi="Baltica RR"/>
      <w:b/>
      <w:szCs w:val="20"/>
      <w:lang w:eastAsia="ru-RU"/>
    </w:rPr>
  </w:style>
  <w:style w:type="paragraph" w:styleId="974">
    <w:name w:val="Heading 5"/>
    <w:basedOn w:val="969"/>
    <w:next w:val="969"/>
    <w:link w:val="984"/>
    <w:qFormat/>
    <w:pPr>
      <w:keepNext w:val="true"/>
      <w:pBdr/>
      <w:spacing/>
      <w:ind w:firstLine="6804"/>
      <w:outlineLvl w:val="4"/>
    </w:pPr>
    <w:rPr>
      <w:sz w:val="28"/>
      <w:szCs w:val="20"/>
      <w:lang w:eastAsia="ru-RU"/>
    </w:rPr>
  </w:style>
  <w:style w:type="paragraph" w:styleId="975">
    <w:name w:val="Heading 8"/>
    <w:basedOn w:val="969"/>
    <w:next w:val="969"/>
    <w:link w:val="985"/>
    <w:semiHidden/>
    <w:unhideWhenUsed/>
    <w:qFormat/>
    <w:pPr>
      <w:pBdr/>
      <w:spacing w:after="60" w:before="240"/>
      <w:ind/>
      <w:outlineLvl w:val="7"/>
    </w:pPr>
    <w:rPr>
      <w:rFonts w:ascii="Calibri" w:hAnsi="Calibri"/>
      <w:i/>
      <w:iCs/>
    </w:rPr>
  </w:style>
  <w:style w:type="paragraph" w:styleId="976">
    <w:name w:val="Heading 9"/>
    <w:basedOn w:val="969"/>
    <w:next w:val="969"/>
    <w:link w:val="986"/>
    <w:semiHidden/>
    <w:unhideWhenUsed/>
    <w:qFormat/>
    <w:pPr>
      <w:pBdr/>
      <w:spacing w:after="60" w:before="240"/>
      <w:ind/>
      <w:outlineLvl w:val="8"/>
    </w:pPr>
    <w:rPr>
      <w:rFonts w:ascii="Cambria" w:hAnsi="Cambria"/>
      <w:sz w:val="22"/>
      <w:szCs w:val="22"/>
    </w:rPr>
  </w:style>
  <w:style w:type="character" w:styleId="977" w:default="1">
    <w:name w:val="Default Paragraph Font"/>
    <w:uiPriority w:val="1"/>
    <w:semiHidden/>
    <w:unhideWhenUsed/>
    <w:pPr>
      <w:pBdr/>
      <w:spacing/>
      <w:ind/>
    </w:pPr>
  </w:style>
  <w:style w:type="table" w:styleId="9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9" w:default="1">
    <w:name w:val="No List"/>
    <w:uiPriority w:val="99"/>
    <w:semiHidden/>
    <w:unhideWhenUsed/>
    <w:pPr>
      <w:pBdr/>
      <w:spacing/>
      <w:ind/>
    </w:pPr>
  </w:style>
  <w:style w:type="character" w:styleId="980" w:customStyle="1">
    <w:name w:val="Titlu 1 Caracter"/>
    <w:basedOn w:val="977"/>
    <w:link w:val="970"/>
    <w:pPr>
      <w:pBdr/>
      <w:spacing/>
      <w:ind/>
    </w:pPr>
    <w:rPr>
      <w:rFonts w:ascii="Times New Roman" w:hAnsi="Times New Roman" w:eastAsia="Times New Roman" w:cs="Times New Roman"/>
      <w:b/>
      <w:sz w:val="24"/>
      <w:szCs w:val="24"/>
      <w:lang w:val="en-US"/>
    </w:rPr>
  </w:style>
  <w:style w:type="character" w:styleId="981" w:customStyle="1">
    <w:name w:val="Titlu 2 Caracter"/>
    <w:basedOn w:val="977"/>
    <w:link w:val="971"/>
    <w:pPr>
      <w:pBdr/>
      <w:spacing/>
      <w:ind/>
    </w:pPr>
    <w:rPr>
      <w:rFonts w:asciiTheme="majorHAnsi" w:hAnsiTheme="majorHAnsi" w:eastAsiaTheme="majorEastAsia" w:cstheme="majorBidi"/>
      <w:b/>
      <w:bCs/>
      <w:color w:val="5b9bd5" w:themeColor="accent1"/>
      <w:sz w:val="26"/>
      <w:szCs w:val="26"/>
      <w:lang w:val="ro-RO"/>
    </w:rPr>
  </w:style>
  <w:style w:type="character" w:styleId="982" w:customStyle="1">
    <w:name w:val="Titlu 3 Caracter"/>
    <w:basedOn w:val="977"/>
    <w:link w:val="972"/>
    <w:pPr>
      <w:pBdr/>
      <w:spacing/>
      <w:ind/>
    </w:pPr>
    <w:rPr>
      <w:rFonts w:asciiTheme="majorHAnsi" w:hAnsiTheme="majorHAnsi" w:eastAsiaTheme="majorEastAsia" w:cstheme="majorBidi"/>
      <w:b/>
      <w:bCs/>
      <w:color w:val="5b9bd5" w:themeColor="accent1"/>
      <w:sz w:val="24"/>
      <w:szCs w:val="24"/>
      <w:lang w:val="ro-RO"/>
    </w:rPr>
  </w:style>
  <w:style w:type="character" w:styleId="983" w:customStyle="1">
    <w:name w:val="Titlu 4 Caracter"/>
    <w:basedOn w:val="977"/>
    <w:link w:val="973"/>
    <w:pPr>
      <w:pBdr/>
      <w:spacing/>
      <w:ind/>
    </w:pPr>
    <w:rPr>
      <w:rFonts w:ascii="Baltica RR" w:hAnsi="Baltica RR" w:eastAsia="Times New Roman" w:cs="Times New Roman"/>
      <w:b/>
      <w:sz w:val="24"/>
      <w:szCs w:val="20"/>
      <w:lang w:val="ro-RO" w:eastAsia="ru-RU"/>
    </w:rPr>
  </w:style>
  <w:style w:type="character" w:styleId="984" w:customStyle="1">
    <w:name w:val="Titlu 5 Caracter"/>
    <w:basedOn w:val="977"/>
    <w:link w:val="974"/>
    <w:pPr>
      <w:pBdr/>
      <w:spacing/>
      <w:ind/>
    </w:pPr>
    <w:rPr>
      <w:rFonts w:ascii="Times New Roman" w:hAnsi="Times New Roman" w:eastAsia="Times New Roman" w:cs="Times New Roman"/>
      <w:sz w:val="28"/>
      <w:szCs w:val="20"/>
      <w:lang w:val="ro-RO" w:eastAsia="ru-RU"/>
    </w:rPr>
  </w:style>
  <w:style w:type="character" w:styleId="985" w:customStyle="1">
    <w:name w:val="Titlu 8 Caracter"/>
    <w:basedOn w:val="977"/>
    <w:link w:val="975"/>
    <w:semiHidden/>
    <w:pPr>
      <w:pBdr/>
      <w:spacing/>
      <w:ind/>
    </w:pPr>
    <w:rPr>
      <w:rFonts w:ascii="Calibri" w:hAnsi="Calibri" w:eastAsia="Times New Roman" w:cs="Times New Roman"/>
      <w:i/>
      <w:iCs/>
      <w:sz w:val="24"/>
      <w:szCs w:val="24"/>
      <w:lang w:val="ro-RO"/>
    </w:rPr>
  </w:style>
  <w:style w:type="character" w:styleId="986" w:customStyle="1">
    <w:name w:val="Titlu 9 Caracter"/>
    <w:basedOn w:val="977"/>
    <w:link w:val="976"/>
    <w:semiHidden/>
    <w:pPr>
      <w:pBdr/>
      <w:spacing/>
      <w:ind/>
    </w:pPr>
    <w:rPr>
      <w:rFonts w:ascii="Cambria" w:hAnsi="Cambria" w:eastAsia="Times New Roman" w:cs="Times New Roman"/>
      <w:lang w:val="ro-RO"/>
    </w:rPr>
  </w:style>
  <w:style w:type="paragraph" w:styleId="987">
    <w:name w:val="Footer"/>
    <w:basedOn w:val="969"/>
    <w:link w:val="988"/>
    <w:uiPriority w:val="99"/>
    <w:pPr>
      <w:pBdr/>
      <w:tabs>
        <w:tab w:val="center" w:leader="none" w:pos="4536"/>
        <w:tab w:val="right" w:leader="none" w:pos="9072"/>
      </w:tabs>
      <w:spacing/>
      <w:ind/>
    </w:pPr>
  </w:style>
  <w:style w:type="character" w:styleId="988" w:customStyle="1">
    <w:name w:val="Subsol Caracter"/>
    <w:basedOn w:val="977"/>
    <w:link w:val="987"/>
    <w:uiPriority w:val="99"/>
    <w:pPr>
      <w:pBdr/>
      <w:spacing/>
      <w:ind/>
    </w:pPr>
    <w:rPr>
      <w:rFonts w:ascii="Times New Roman" w:hAnsi="Times New Roman" w:eastAsia="Times New Roman" w:cs="Times New Roman"/>
      <w:sz w:val="24"/>
      <w:szCs w:val="24"/>
      <w:lang w:val="ro-RO"/>
    </w:rPr>
  </w:style>
  <w:style w:type="character" w:styleId="989">
    <w:name w:val="page number"/>
    <w:basedOn w:val="977"/>
    <w:pPr>
      <w:pBdr/>
      <w:spacing/>
      <w:ind/>
    </w:pPr>
  </w:style>
  <w:style w:type="paragraph" w:styleId="990">
    <w:name w:val="List Paragraph"/>
    <w:basedOn w:val="969"/>
    <w:link w:val="1063"/>
    <w:uiPriority w:val="34"/>
    <w:qFormat/>
    <w:pPr>
      <w:numPr>
        <w:ilvl w:val="0"/>
        <w:numId w:val="2"/>
      </w:numPr>
      <w:pBdr/>
      <w:tabs>
        <w:tab w:val="left" w:leader="none" w:pos="1134"/>
      </w:tabs>
      <w:spacing/>
      <w:ind/>
      <w:jc w:val="both"/>
    </w:pPr>
    <w:rPr>
      <w:lang w:val="en-US"/>
    </w:rPr>
  </w:style>
  <w:style w:type="paragraph" w:styleId="991">
    <w:name w:val="Body Text"/>
    <w:basedOn w:val="969"/>
    <w:link w:val="992"/>
    <w:pPr>
      <w:pBdr/>
      <w:spacing/>
      <w:ind/>
    </w:pPr>
    <w:rPr>
      <w:rFonts w:ascii="Baltica RR" w:hAnsi="Baltica RR"/>
      <w:szCs w:val="20"/>
    </w:rPr>
  </w:style>
  <w:style w:type="character" w:styleId="992" w:customStyle="1">
    <w:name w:val="Corp text Caracter"/>
    <w:basedOn w:val="977"/>
    <w:link w:val="991"/>
    <w:pPr>
      <w:pBdr/>
      <w:spacing/>
      <w:ind/>
    </w:pPr>
    <w:rPr>
      <w:rFonts w:ascii="Baltica RR" w:hAnsi="Baltica RR" w:eastAsia="Times New Roman" w:cs="Times New Roman"/>
      <w:sz w:val="24"/>
      <w:szCs w:val="20"/>
      <w:lang w:val="ro-RO"/>
    </w:rPr>
  </w:style>
  <w:style w:type="paragraph" w:styleId="993">
    <w:name w:val="Header"/>
    <w:basedOn w:val="969"/>
    <w:link w:val="994"/>
    <w:pPr>
      <w:pBdr/>
      <w:tabs>
        <w:tab w:val="center" w:leader="none" w:pos="4703"/>
        <w:tab w:val="right" w:leader="none" w:pos="9406"/>
      </w:tabs>
      <w:spacing/>
      <w:ind/>
    </w:pPr>
    <w:rPr>
      <w:sz w:val="20"/>
      <w:szCs w:val="20"/>
      <w:lang w:val="ru-RU" w:eastAsia="ru-RU"/>
    </w:rPr>
  </w:style>
  <w:style w:type="character" w:styleId="994" w:customStyle="1">
    <w:name w:val="Antet Caracter"/>
    <w:basedOn w:val="977"/>
    <w:link w:val="993"/>
    <w:pPr>
      <w:pBdr/>
      <w:spacing/>
      <w:ind/>
    </w:pPr>
    <w:rPr>
      <w:rFonts w:ascii="Times New Roman" w:hAnsi="Times New Roman" w:eastAsia="Times New Roman" w:cs="Times New Roman"/>
      <w:sz w:val="20"/>
      <w:szCs w:val="20"/>
      <w:lang w:val="ru-RU" w:eastAsia="ru-RU"/>
    </w:rPr>
  </w:style>
  <w:style w:type="paragraph" w:styleId="995">
    <w:name w:val="Subtitle"/>
    <w:basedOn w:val="969"/>
    <w:link w:val="996"/>
    <w:qFormat/>
    <w:pPr>
      <w:pBdr/>
      <w:spacing/>
      <w:ind/>
      <w:jc w:val="center"/>
    </w:pPr>
    <w:rPr>
      <w:b/>
      <w:sz w:val="32"/>
      <w:szCs w:val="20"/>
      <w:lang w:val="en-US" w:eastAsia="ru-RU"/>
    </w:rPr>
  </w:style>
  <w:style w:type="character" w:styleId="996" w:customStyle="1">
    <w:name w:val="Subtitlu Caracter"/>
    <w:basedOn w:val="977"/>
    <w:link w:val="995"/>
    <w:pPr>
      <w:pBdr/>
      <w:spacing/>
      <w:ind/>
    </w:pPr>
    <w:rPr>
      <w:rFonts w:ascii="Times New Roman" w:hAnsi="Times New Roman" w:eastAsia="Times New Roman" w:cs="Times New Roman"/>
      <w:b/>
      <w:sz w:val="32"/>
      <w:szCs w:val="20"/>
      <w:lang w:val="en-US" w:eastAsia="ru-RU"/>
    </w:rPr>
  </w:style>
  <w:style w:type="paragraph" w:styleId="997">
    <w:name w:val="Body Text Indent"/>
    <w:basedOn w:val="969"/>
    <w:link w:val="998"/>
    <w:pPr>
      <w:pBdr/>
      <w:spacing/>
      <w:ind w:firstLine="720"/>
      <w:jc w:val="both"/>
    </w:pPr>
    <w:rPr>
      <w:sz w:val="20"/>
      <w:szCs w:val="20"/>
      <w:lang w:eastAsia="ru-RU"/>
    </w:rPr>
  </w:style>
  <w:style w:type="character" w:styleId="998" w:customStyle="1">
    <w:name w:val="Indent corp text Caracter"/>
    <w:basedOn w:val="977"/>
    <w:link w:val="997"/>
    <w:pPr>
      <w:pBdr/>
      <w:spacing/>
      <w:ind/>
    </w:pPr>
    <w:rPr>
      <w:rFonts w:ascii="Times New Roman" w:hAnsi="Times New Roman" w:eastAsia="Times New Roman" w:cs="Times New Roman"/>
      <w:sz w:val="20"/>
      <w:szCs w:val="20"/>
      <w:lang w:val="ro-RO" w:eastAsia="ru-RU"/>
    </w:rPr>
  </w:style>
  <w:style w:type="paragraph" w:styleId="999">
    <w:name w:val="Body Text Indent 2"/>
    <w:basedOn w:val="969"/>
    <w:link w:val="1000"/>
    <w:pPr>
      <w:pBdr/>
      <w:spacing/>
      <w:ind w:firstLine="567"/>
    </w:pPr>
    <w:rPr>
      <w:rFonts w:ascii="Baltica RR" w:hAnsi="Baltica RR"/>
      <w:szCs w:val="20"/>
      <w:lang w:eastAsia="ru-RU"/>
    </w:rPr>
  </w:style>
  <w:style w:type="character" w:styleId="1000" w:customStyle="1">
    <w:name w:val="Indent corp text 2 Caracter"/>
    <w:basedOn w:val="977"/>
    <w:link w:val="999"/>
    <w:pPr>
      <w:pBdr/>
      <w:spacing/>
      <w:ind/>
    </w:pPr>
    <w:rPr>
      <w:rFonts w:ascii="Baltica RR" w:hAnsi="Baltica RR" w:eastAsia="Times New Roman" w:cs="Times New Roman"/>
      <w:sz w:val="24"/>
      <w:szCs w:val="20"/>
      <w:lang w:val="ro-RO" w:eastAsia="ru-RU"/>
    </w:rPr>
  </w:style>
  <w:style w:type="paragraph" w:styleId="1001">
    <w:name w:val="Body Text 2"/>
    <w:basedOn w:val="969"/>
    <w:link w:val="1002"/>
    <w:pPr>
      <w:pBdr/>
      <w:tabs>
        <w:tab w:val="left" w:leader="none" w:pos="426"/>
      </w:tabs>
      <w:spacing/>
      <w:ind/>
      <w:jc w:val="both"/>
    </w:pPr>
    <w:rPr>
      <w:rFonts w:ascii="Baltica RR" w:hAnsi="Baltica RR"/>
      <w:szCs w:val="20"/>
      <w:lang w:eastAsia="ru-RU"/>
    </w:rPr>
  </w:style>
  <w:style w:type="character" w:styleId="1002" w:customStyle="1">
    <w:name w:val="Corp text 2 Caracter"/>
    <w:basedOn w:val="977"/>
    <w:link w:val="1001"/>
    <w:pPr>
      <w:pBdr/>
      <w:spacing/>
      <w:ind/>
    </w:pPr>
    <w:rPr>
      <w:rFonts w:ascii="Baltica RR" w:hAnsi="Baltica RR" w:eastAsia="Times New Roman" w:cs="Times New Roman"/>
      <w:sz w:val="24"/>
      <w:szCs w:val="20"/>
      <w:lang w:val="ro-RO" w:eastAsia="ru-RU"/>
    </w:rPr>
  </w:style>
  <w:style w:type="paragraph" w:styleId="1003">
    <w:name w:val="Balloon Text"/>
    <w:basedOn w:val="969"/>
    <w:link w:val="1004"/>
    <w:semiHidden/>
    <w:pPr>
      <w:pBdr/>
      <w:spacing/>
      <w:ind/>
    </w:pPr>
    <w:rPr>
      <w:rFonts w:ascii="Tahoma" w:hAnsi="Tahoma" w:cs="Tahoma"/>
      <w:sz w:val="16"/>
      <w:szCs w:val="16"/>
      <w:lang w:val="ru-RU" w:eastAsia="ru-RU"/>
    </w:rPr>
  </w:style>
  <w:style w:type="character" w:styleId="1004" w:customStyle="1">
    <w:name w:val="Text în Balon Caracter"/>
    <w:basedOn w:val="977"/>
    <w:link w:val="1003"/>
    <w:semiHidden/>
    <w:pPr>
      <w:pBdr/>
      <w:spacing/>
      <w:ind/>
    </w:pPr>
    <w:rPr>
      <w:rFonts w:ascii="Tahoma" w:hAnsi="Tahoma" w:eastAsia="Times New Roman" w:cs="Tahoma"/>
      <w:sz w:val="16"/>
      <w:szCs w:val="16"/>
      <w:lang w:val="ru-RU" w:eastAsia="ru-RU"/>
    </w:rPr>
  </w:style>
  <w:style w:type="table" w:styleId="1005">
    <w:name w:val="Table Grid"/>
    <w:basedOn w:val="978"/>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6">
    <w:name w:val="Normal (Web)"/>
    <w:basedOn w:val="969"/>
    <w:unhideWhenUsed/>
    <w:pPr>
      <w:pBdr/>
      <w:spacing/>
      <w:ind w:firstLine="567"/>
      <w:jc w:val="both"/>
    </w:pPr>
    <w:rPr>
      <w:lang w:val="ru-RU" w:eastAsia="ru-RU"/>
    </w:rPr>
  </w:style>
  <w:style w:type="paragraph" w:styleId="1007" w:customStyle="1">
    <w:name w:val="cn"/>
    <w:basedOn w:val="969"/>
    <w:pPr>
      <w:pBdr/>
      <w:spacing/>
      <w:ind/>
      <w:jc w:val="center"/>
    </w:pPr>
    <w:rPr>
      <w:lang w:val="ru-RU" w:eastAsia="ru-RU"/>
    </w:rPr>
  </w:style>
  <w:style w:type="paragraph" w:styleId="1008" w:customStyle="1">
    <w:name w:val="cb"/>
    <w:basedOn w:val="969"/>
    <w:pPr>
      <w:pBdr/>
      <w:spacing/>
      <w:ind/>
      <w:jc w:val="center"/>
    </w:pPr>
    <w:rPr>
      <w:b/>
      <w:bCs/>
      <w:lang w:val="ru-RU" w:eastAsia="ru-RU"/>
    </w:rPr>
  </w:style>
  <w:style w:type="paragraph" w:styleId="1009">
    <w:name w:val="Body Text Indent 3"/>
    <w:basedOn w:val="969"/>
    <w:link w:val="1010"/>
    <w:pPr>
      <w:pBdr/>
      <w:spacing w:after="120"/>
      <w:ind w:left="283"/>
    </w:pPr>
    <w:rPr>
      <w:sz w:val="16"/>
      <w:szCs w:val="16"/>
    </w:rPr>
  </w:style>
  <w:style w:type="character" w:styleId="1010" w:customStyle="1">
    <w:name w:val="Indent corp text 3 Caracter"/>
    <w:basedOn w:val="977"/>
    <w:link w:val="1009"/>
    <w:pPr>
      <w:pBdr/>
      <w:spacing/>
      <w:ind/>
    </w:pPr>
    <w:rPr>
      <w:rFonts w:ascii="Times New Roman" w:hAnsi="Times New Roman" w:eastAsia="Times New Roman" w:cs="Times New Roman"/>
      <w:sz w:val="16"/>
      <w:szCs w:val="16"/>
      <w:lang w:val="ro-RO"/>
    </w:rPr>
  </w:style>
  <w:style w:type="character" w:styleId="1011">
    <w:name w:val="Hyperlink"/>
    <w:uiPriority w:val="99"/>
    <w:pPr>
      <w:pBdr/>
      <w:spacing/>
      <w:ind/>
    </w:pPr>
    <w:rPr>
      <w:color w:val="0000ff"/>
      <w:u w:val="single"/>
    </w:rPr>
  </w:style>
  <w:style w:type="paragraph" w:styleId="1012" w:customStyle="1">
    <w:name w:val="cp"/>
    <w:basedOn w:val="969"/>
    <w:pPr>
      <w:pBdr/>
      <w:spacing/>
      <w:ind/>
      <w:jc w:val="center"/>
    </w:pPr>
    <w:rPr>
      <w:b/>
      <w:bCs/>
      <w:lang w:eastAsia="ru-RU"/>
    </w:rPr>
  </w:style>
  <w:style w:type="paragraph" w:styleId="1013" w:customStyle="1">
    <w:name w:val="rg"/>
    <w:basedOn w:val="969"/>
    <w:pPr>
      <w:pBdr/>
      <w:spacing/>
      <w:ind/>
      <w:jc w:val="right"/>
    </w:pPr>
    <w:rPr>
      <w:lang w:val="ru-RU" w:eastAsia="ru-RU"/>
    </w:rPr>
  </w:style>
  <w:style w:type="paragraph" w:styleId="1014" w:customStyle="1">
    <w:name w:val="Listă paragraf1"/>
    <w:basedOn w:val="969"/>
    <w:qFormat/>
    <w:pPr>
      <w:pBdr/>
      <w:spacing/>
      <w:ind w:left="708"/>
    </w:pPr>
    <w:rPr>
      <w:lang w:eastAsia="ru-RU"/>
    </w:rPr>
  </w:style>
  <w:style w:type="paragraph" w:styleId="1015" w:customStyle="1">
    <w:name w:val="Sub-Clause Text"/>
    <w:basedOn w:val="969"/>
    <w:pPr>
      <w:pBdr/>
      <w:spacing w:after="120" w:before="120"/>
      <w:ind/>
      <w:jc w:val="both"/>
    </w:pPr>
    <w:rPr>
      <w:spacing w:val="-4"/>
      <w:szCs w:val="20"/>
      <w:lang w:val="en-US"/>
    </w:rPr>
  </w:style>
  <w:style w:type="paragraph" w:styleId="1016" w:customStyle="1">
    <w:name w:val="(i)"/>
    <w:basedOn w:val="969"/>
    <w:pPr>
      <w:pBdr/>
      <w:spacing/>
      <w:ind/>
      <w:jc w:val="both"/>
    </w:pPr>
    <w:rPr>
      <w:rFonts w:ascii="Tms Rmn" w:hAnsi="Tms Rmn"/>
      <w:szCs w:val="20"/>
      <w:lang w:val="en-US"/>
    </w:rPr>
  </w:style>
  <w:style w:type="paragraph" w:styleId="1017" w:customStyle="1">
    <w:name w:val="List Paragraph1"/>
    <w:basedOn w:val="969"/>
    <w:qFormat/>
    <w:pPr>
      <w:pBdr/>
      <w:spacing w:after="200" w:line="276" w:lineRule="auto"/>
      <w:ind w:left="720"/>
      <w:contextualSpacing w:val="true"/>
    </w:pPr>
    <w:rPr>
      <w:rFonts w:ascii="Calibri" w:hAnsi="Calibri" w:eastAsia="PMingLiU"/>
      <w:sz w:val="22"/>
      <w:szCs w:val="22"/>
      <w:lang w:val="en-US" w:eastAsia="zh-CN"/>
    </w:rPr>
  </w:style>
  <w:style w:type="paragraph" w:styleId="1018" w:customStyle="1">
    <w:name w:val="BankNormal"/>
    <w:basedOn w:val="969"/>
    <w:pPr>
      <w:pBdr/>
      <w:spacing w:after="240"/>
      <w:ind/>
    </w:pPr>
    <w:rPr>
      <w:szCs w:val="20"/>
      <w:lang w:val="en-US"/>
    </w:rPr>
  </w:style>
  <w:style w:type="paragraph" w:styleId="1019">
    <w:name w:val="TOC Heading"/>
    <w:basedOn w:val="970"/>
    <w:next w:val="969"/>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0">
    <w:name w:val="toc 2"/>
    <w:basedOn w:val="969"/>
    <w:next w:val="969"/>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21">
    <w:name w:val="toc 1"/>
    <w:basedOn w:val="969"/>
    <w:next w:val="969"/>
    <w:uiPriority w:val="39"/>
    <w:unhideWhenUsed/>
    <w:pPr>
      <w:pBdr/>
      <w:tabs>
        <w:tab w:val="right" w:leader="dot" w:pos="9638"/>
      </w:tabs>
      <w:spacing w:after="100" w:line="259" w:lineRule="auto"/>
      <w:ind/>
    </w:pPr>
    <w:rPr>
      <w:rFonts w:eastAsia="SimSun"/>
      <w:b/>
      <w:lang w:val="en-US"/>
    </w:rPr>
  </w:style>
  <w:style w:type="paragraph" w:styleId="1022">
    <w:name w:val="toc 3"/>
    <w:basedOn w:val="969"/>
    <w:next w:val="969"/>
    <w:uiPriority w:val="39"/>
    <w:unhideWhenUsed/>
    <w:pPr>
      <w:pBdr/>
      <w:spacing w:after="100" w:line="259" w:lineRule="auto"/>
      <w:ind w:left="440"/>
    </w:pPr>
    <w:rPr>
      <w:rFonts w:ascii="Calibri" w:hAnsi="Calibri" w:eastAsia="SimSun"/>
      <w:sz w:val="22"/>
      <w:szCs w:val="22"/>
      <w:lang w:val="en-US"/>
    </w:rPr>
  </w:style>
  <w:style w:type="paragraph" w:styleId="1023">
    <w:name w:val="footnote text"/>
    <w:basedOn w:val="969"/>
    <w:link w:val="1024"/>
    <w:pPr>
      <w:pBdr/>
      <w:spacing/>
      <w:ind/>
      <w:jc w:val="both"/>
    </w:pPr>
    <w:rPr>
      <w:sz w:val="20"/>
      <w:szCs w:val="20"/>
      <w:lang w:val="en-US"/>
    </w:rPr>
  </w:style>
  <w:style w:type="character" w:styleId="1024" w:customStyle="1">
    <w:name w:val="Text notă de subsol Caracter"/>
    <w:basedOn w:val="977"/>
    <w:link w:val="1023"/>
    <w:pPr>
      <w:pBdr/>
      <w:spacing/>
      <w:ind/>
    </w:pPr>
    <w:rPr>
      <w:rFonts w:ascii="Times New Roman" w:hAnsi="Times New Roman" w:eastAsia="Times New Roman" w:cs="Times New Roman"/>
      <w:sz w:val="20"/>
      <w:szCs w:val="20"/>
      <w:lang w:val="en-US"/>
    </w:rPr>
  </w:style>
  <w:style w:type="character" w:styleId="1025">
    <w:name w:val="footnote reference"/>
    <w:pPr>
      <w:pBdr/>
      <w:spacing/>
      <w:ind/>
    </w:pPr>
    <w:rPr>
      <w:vertAlign w:val="superscript"/>
    </w:rPr>
  </w:style>
  <w:style w:type="character" w:styleId="1026">
    <w:name w:val="annotation reference"/>
    <w:uiPriority w:val="99"/>
    <w:pPr>
      <w:pBdr/>
      <w:spacing/>
      <w:ind/>
    </w:pPr>
    <w:rPr>
      <w:sz w:val="16"/>
      <w:szCs w:val="16"/>
    </w:rPr>
  </w:style>
  <w:style w:type="paragraph" w:styleId="1027">
    <w:name w:val="annotation text"/>
    <w:basedOn w:val="969"/>
    <w:link w:val="1028"/>
    <w:uiPriority w:val="99"/>
    <w:pPr>
      <w:pBdr/>
      <w:spacing/>
      <w:ind/>
    </w:pPr>
    <w:rPr>
      <w:sz w:val="20"/>
      <w:szCs w:val="20"/>
      <w:lang w:val="ru-RU" w:eastAsia="ru-RU"/>
    </w:rPr>
  </w:style>
  <w:style w:type="character" w:styleId="1028" w:customStyle="1">
    <w:name w:val="Text comentariu Caracter"/>
    <w:basedOn w:val="977"/>
    <w:link w:val="1027"/>
    <w:uiPriority w:val="99"/>
    <w:pPr>
      <w:pBdr/>
      <w:spacing/>
      <w:ind/>
    </w:pPr>
    <w:rPr>
      <w:rFonts w:ascii="Times New Roman" w:hAnsi="Times New Roman" w:eastAsia="Times New Roman" w:cs="Times New Roman"/>
      <w:sz w:val="20"/>
      <w:szCs w:val="20"/>
      <w:lang w:val="ru-RU" w:eastAsia="ru-RU"/>
    </w:rPr>
  </w:style>
  <w:style w:type="paragraph" w:styleId="1029">
    <w:name w:val="annotation subject"/>
    <w:basedOn w:val="1027"/>
    <w:next w:val="1027"/>
    <w:link w:val="1030"/>
    <w:pPr>
      <w:pBdr/>
      <w:spacing/>
      <w:ind/>
    </w:pPr>
    <w:rPr>
      <w:b/>
      <w:bCs/>
    </w:rPr>
  </w:style>
  <w:style w:type="character" w:styleId="1030" w:customStyle="1">
    <w:name w:val="Subiect Comentariu Caracter"/>
    <w:basedOn w:val="1028"/>
    <w:link w:val="1029"/>
    <w:pPr>
      <w:pBdr/>
      <w:spacing/>
      <w:ind/>
    </w:pPr>
    <w:rPr>
      <w:rFonts w:ascii="Times New Roman" w:hAnsi="Times New Roman" w:eastAsia="Times New Roman" w:cs="Times New Roman"/>
      <w:b/>
      <w:bCs/>
      <w:sz w:val="20"/>
      <w:szCs w:val="20"/>
      <w:lang w:val="ru-RU" w:eastAsia="ru-RU"/>
    </w:rPr>
  </w:style>
  <w:style w:type="paragraph" w:styleId="103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2" w:customStyle="1">
    <w:name w:val="Standard"/>
    <w:pPr>
      <w:pBdr/>
      <w:spacing w:after="200" w:line="276" w:lineRule="auto"/>
      <w:ind/>
    </w:pPr>
    <w:rPr>
      <w:rFonts w:ascii="Calibri" w:hAnsi="Calibri" w:eastAsia="Calibri" w:cs="Calibri"/>
      <w:lang w:val="en-US"/>
    </w:rPr>
  </w:style>
  <w:style w:type="character" w:styleId="1033" w:customStyle="1">
    <w:name w:val="apple-converted-space"/>
    <w:pPr>
      <w:pBdr/>
      <w:spacing/>
      <w:ind/>
    </w:pPr>
  </w:style>
  <w:style w:type="paragraph" w:styleId="1034" w:customStyle="1">
    <w:name w:val="Style3"/>
    <w:basedOn w:val="972"/>
    <w:link w:val="103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5" w:customStyle="1">
    <w:name w:val="Style3 Char"/>
    <w:link w:val="1034"/>
    <w:pPr>
      <w:pBdr/>
      <w:spacing/>
      <w:ind/>
    </w:pPr>
    <w:rPr>
      <w:rFonts w:ascii="Times New Roman" w:hAnsi="Times New Roman" w:eastAsia="Times New Roman" w:cs="Times New Roman"/>
      <w:b/>
      <w:sz w:val="24"/>
      <w:szCs w:val="24"/>
      <w:lang w:val="en-US" w:eastAsia="ru-RU"/>
    </w:rPr>
  </w:style>
  <w:style w:type="paragraph" w:styleId="1036">
    <w:name w:val="toc 4"/>
    <w:basedOn w:val="969"/>
    <w:next w:val="969"/>
    <w:uiPriority w:val="39"/>
    <w:unhideWhenUsed/>
    <w:pPr>
      <w:pBdr/>
      <w:spacing w:after="100" w:line="276" w:lineRule="auto"/>
      <w:ind w:left="660"/>
    </w:pPr>
    <w:rPr>
      <w:rFonts w:ascii="Calibri" w:hAnsi="Calibri"/>
      <w:sz w:val="22"/>
      <w:szCs w:val="22"/>
      <w:lang w:val="en-US"/>
    </w:rPr>
  </w:style>
  <w:style w:type="paragraph" w:styleId="1037">
    <w:name w:val="toc 5"/>
    <w:basedOn w:val="969"/>
    <w:next w:val="969"/>
    <w:uiPriority w:val="39"/>
    <w:unhideWhenUsed/>
    <w:pPr>
      <w:pBdr/>
      <w:spacing w:after="100" w:line="276" w:lineRule="auto"/>
      <w:ind w:left="880"/>
    </w:pPr>
    <w:rPr>
      <w:rFonts w:ascii="Calibri" w:hAnsi="Calibri"/>
      <w:sz w:val="22"/>
      <w:szCs w:val="22"/>
      <w:lang w:val="en-US"/>
    </w:rPr>
  </w:style>
  <w:style w:type="paragraph" w:styleId="1038">
    <w:name w:val="toc 6"/>
    <w:basedOn w:val="969"/>
    <w:next w:val="969"/>
    <w:uiPriority w:val="39"/>
    <w:unhideWhenUsed/>
    <w:pPr>
      <w:pBdr/>
      <w:spacing w:after="100" w:line="276" w:lineRule="auto"/>
      <w:ind w:left="1100"/>
    </w:pPr>
    <w:rPr>
      <w:rFonts w:ascii="Calibri" w:hAnsi="Calibri"/>
      <w:sz w:val="22"/>
      <w:szCs w:val="22"/>
      <w:lang w:val="en-US"/>
    </w:rPr>
  </w:style>
  <w:style w:type="paragraph" w:styleId="1039">
    <w:name w:val="toc 7"/>
    <w:basedOn w:val="969"/>
    <w:next w:val="969"/>
    <w:uiPriority w:val="39"/>
    <w:unhideWhenUsed/>
    <w:pPr>
      <w:pBdr/>
      <w:spacing w:after="100" w:line="276" w:lineRule="auto"/>
      <w:ind w:left="1320"/>
    </w:pPr>
    <w:rPr>
      <w:rFonts w:ascii="Calibri" w:hAnsi="Calibri"/>
      <w:sz w:val="22"/>
      <w:szCs w:val="22"/>
      <w:lang w:val="en-US"/>
    </w:rPr>
  </w:style>
  <w:style w:type="paragraph" w:styleId="1040">
    <w:name w:val="toc 8"/>
    <w:basedOn w:val="969"/>
    <w:next w:val="969"/>
    <w:uiPriority w:val="39"/>
    <w:unhideWhenUsed/>
    <w:pPr>
      <w:pBdr/>
      <w:spacing w:after="100" w:line="276" w:lineRule="auto"/>
      <w:ind w:left="1540"/>
    </w:pPr>
    <w:rPr>
      <w:rFonts w:ascii="Calibri" w:hAnsi="Calibri"/>
      <w:sz w:val="22"/>
      <w:szCs w:val="22"/>
      <w:lang w:val="en-US"/>
    </w:rPr>
  </w:style>
  <w:style w:type="paragraph" w:styleId="1041">
    <w:name w:val="toc 9"/>
    <w:basedOn w:val="969"/>
    <w:next w:val="969"/>
    <w:uiPriority w:val="39"/>
    <w:unhideWhenUsed/>
    <w:pPr>
      <w:pBdr/>
      <w:spacing w:after="100" w:line="276" w:lineRule="auto"/>
      <w:ind w:left="1760"/>
    </w:pPr>
    <w:rPr>
      <w:rFonts w:ascii="Calibri" w:hAnsi="Calibri"/>
      <w:sz w:val="22"/>
      <w:szCs w:val="22"/>
      <w:lang w:val="en-US"/>
    </w:rPr>
  </w:style>
  <w:style w:type="paragraph" w:styleId="1042" w:customStyle="1">
    <w:name w:val="Style153"/>
    <w:basedOn w:val="969"/>
    <w:uiPriority w:val="99"/>
    <w:pPr>
      <w:widowControl w:val="false"/>
      <w:pBdr/>
      <w:spacing w:line="317" w:lineRule="exact"/>
      <w:ind/>
      <w:jc w:val="both"/>
    </w:pPr>
    <w:rPr>
      <w:lang w:eastAsia="ro-RO"/>
    </w:rPr>
  </w:style>
  <w:style w:type="character" w:styleId="1043" w:customStyle="1">
    <w:name w:val="Font Style195"/>
    <w:uiPriority w:val="99"/>
    <w:pPr>
      <w:pBdr/>
      <w:spacing/>
      <w:ind/>
    </w:pPr>
    <w:rPr>
      <w:rFonts w:ascii="Times New Roman" w:hAnsi="Times New Roman" w:cs="Times New Roman"/>
      <w:b/>
      <w:bCs/>
      <w:i/>
      <w:iCs/>
      <w:sz w:val="22"/>
      <w:szCs w:val="22"/>
    </w:rPr>
  </w:style>
  <w:style w:type="paragraph" w:styleId="1044" w:customStyle="1">
    <w:name w:val="Style73"/>
    <w:basedOn w:val="969"/>
    <w:uiPriority w:val="99"/>
    <w:pPr>
      <w:widowControl w:val="false"/>
      <w:pBdr/>
      <w:spacing w:line="314" w:lineRule="exact"/>
      <w:ind/>
      <w:jc w:val="both"/>
    </w:pPr>
    <w:rPr>
      <w:lang w:eastAsia="ro-RO"/>
    </w:rPr>
  </w:style>
  <w:style w:type="character" w:styleId="1045" w:customStyle="1">
    <w:name w:val="Font Style197"/>
    <w:uiPriority w:val="99"/>
    <w:pPr>
      <w:pBdr/>
      <w:spacing/>
      <w:ind/>
    </w:pPr>
    <w:rPr>
      <w:rFonts w:ascii="Times New Roman" w:hAnsi="Times New Roman" w:cs="Times New Roman"/>
      <w:sz w:val="22"/>
      <w:szCs w:val="22"/>
    </w:rPr>
  </w:style>
  <w:style w:type="paragraph" w:styleId="1046">
    <w:name w:val="HTML Preformatted"/>
    <w:basedOn w:val="969"/>
    <w:link w:val="1047"/>
    <w:uiPriority w:val="99"/>
    <w:semiHidden/>
    <w:unhideWhenUsed/>
    <w:pPr>
      <w:pBdr/>
      <w:spacing/>
      <w:ind/>
    </w:pPr>
    <w:rPr>
      <w:rFonts w:ascii="Consolas" w:hAnsi="Consolas"/>
      <w:sz w:val="20"/>
      <w:szCs w:val="20"/>
    </w:rPr>
  </w:style>
  <w:style w:type="character" w:styleId="1047" w:customStyle="1">
    <w:name w:val="Preformatat HTML Caracter"/>
    <w:basedOn w:val="977"/>
    <w:link w:val="1046"/>
    <w:uiPriority w:val="99"/>
    <w:semiHidden/>
    <w:pPr>
      <w:pBdr/>
      <w:spacing/>
      <w:ind/>
    </w:pPr>
    <w:rPr>
      <w:rFonts w:ascii="Consolas" w:hAnsi="Consolas" w:eastAsia="Times New Roman" w:cs="Times New Roman"/>
      <w:sz w:val="20"/>
      <w:szCs w:val="20"/>
      <w:lang w:val="ro-RO"/>
    </w:rPr>
  </w:style>
  <w:style w:type="character" w:styleId="1048" w:customStyle="1">
    <w:name w:val="Style4 Char"/>
    <w:basedOn w:val="1035"/>
    <w:pPr>
      <w:pBdr/>
      <w:spacing/>
      <w:ind/>
    </w:pPr>
    <w:rPr>
      <w:rFonts w:ascii="Times New Roman" w:hAnsi="Times New Roman" w:eastAsia="Calibri" w:cs="Times New Roman"/>
      <w:b/>
      <w:sz w:val="24"/>
      <w:szCs w:val="24"/>
      <w:lang w:val="ru-RU" w:eastAsia="ru-RU" w:bidi="ar-SA"/>
    </w:rPr>
  </w:style>
  <w:style w:type="character" w:styleId="1049" w:customStyle="1">
    <w:name w:val="short_text"/>
    <w:pPr>
      <w:pBdr/>
      <w:spacing/>
      <w:ind/>
    </w:pPr>
  </w:style>
  <w:style w:type="paragraph" w:styleId="1050">
    <w:name w:val="Caption"/>
    <w:basedOn w:val="969"/>
    <w:qFormat/>
    <w:pPr>
      <w:pBdr/>
      <w:spacing w:after="60" w:before="240"/>
      <w:ind/>
      <w:jc w:val="center"/>
    </w:pPr>
    <w:rPr>
      <w:rFonts w:ascii="Arial" w:hAnsi="Arial"/>
      <w:b/>
      <w:sz w:val="32"/>
      <w:szCs w:val="20"/>
      <w:lang w:val="ru-RU" w:eastAsia="ru-RU"/>
    </w:rPr>
  </w:style>
  <w:style w:type="character" w:styleId="105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2">
    <w:name w:val="Strong"/>
    <w:basedOn w:val="977"/>
    <w:uiPriority w:val="22"/>
    <w:qFormat/>
    <w:pPr>
      <w:pBdr/>
      <w:spacing/>
      <w:ind/>
    </w:pPr>
    <w:rPr>
      <w:b/>
      <w:bCs/>
    </w:rPr>
  </w:style>
  <w:style w:type="paragraph" w:styleId="105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4" w:customStyle="1">
    <w:name w:val="Griglia tabella1"/>
    <w:basedOn w:val="978"/>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glia tabella2"/>
    <w:basedOn w:val="978"/>
    <w:next w:val="100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glia tabella3"/>
    <w:basedOn w:val="978"/>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Table Grid2"/>
    <w:basedOn w:val="978"/>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glia tabella4"/>
    <w:basedOn w:val="978"/>
    <w:next w:val="10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9">
    <w:name w:val="Placeholder Text"/>
    <w:basedOn w:val="977"/>
    <w:uiPriority w:val="99"/>
    <w:semiHidden/>
    <w:pPr>
      <w:pBdr/>
      <w:spacing/>
      <w:ind/>
    </w:pPr>
    <w:rPr>
      <w:color w:val="808080"/>
    </w:rPr>
  </w:style>
  <w:style w:type="character" w:styleId="1060" w:customStyle="1">
    <w:name w:val="ln2paragraf1"/>
    <w:pPr>
      <w:pBdr/>
      <w:spacing/>
      <w:ind/>
    </w:pPr>
    <w:rPr>
      <w:b/>
      <w:bCs/>
    </w:rPr>
  </w:style>
  <w:style w:type="character" w:styleId="1061" w:customStyle="1">
    <w:name w:val="ln2tparagraf"/>
    <w:pPr>
      <w:pBdr/>
      <w:spacing/>
      <w:ind/>
    </w:pPr>
  </w:style>
  <w:style w:type="character" w:styleId="1062" w:customStyle="1">
    <w:name w:val="ln2tpunct"/>
    <w:pPr>
      <w:pBdr/>
      <w:spacing/>
      <w:ind/>
    </w:pPr>
  </w:style>
  <w:style w:type="character" w:styleId="1063" w:customStyle="1">
    <w:name w:val="Listă paragraf Caracter"/>
    <w:link w:val="990"/>
    <w:uiPriority w:val="1"/>
    <w:pPr>
      <w:pBdr/>
      <w:spacing/>
      <w:ind/>
    </w:pPr>
    <w:rPr>
      <w:rFonts w:ascii="Times New Roman" w:hAnsi="Times New Roman" w:eastAsia="Times New Roman" w:cs="Times New Roman"/>
      <w:sz w:val="24"/>
      <w:szCs w:val="24"/>
      <w:lang w:val="en-US"/>
    </w:rPr>
  </w:style>
  <w:style w:type="character" w:styleId="1064" w:customStyle="1">
    <w:name w:val="Unresolved Mention1"/>
    <w:basedOn w:val="977"/>
    <w:uiPriority w:val="99"/>
    <w:semiHidden/>
    <w:unhideWhenUsed/>
    <w:pPr>
      <w:pBdr/>
      <w:spacing/>
      <w:ind/>
    </w:pPr>
    <w:rPr>
      <w:color w:val="605e5c"/>
      <w:shd w:val="clear" w:color="auto" w:fill="e1dfdd"/>
    </w:rPr>
  </w:style>
  <w:style w:type="character" w:styleId="1065" w:customStyle="1">
    <w:name w:val="Unresolved Mention2"/>
    <w:basedOn w:val="977"/>
    <w:uiPriority w:val="99"/>
    <w:semiHidden/>
    <w:unhideWhenUsed/>
    <w:pPr>
      <w:pBdr/>
      <w:spacing/>
      <w:ind/>
    </w:pPr>
    <w:rPr>
      <w:color w:val="605e5c"/>
      <w:shd w:val="clear" w:color="auto" w:fill="e1dfdd"/>
    </w:rPr>
  </w:style>
  <w:style w:type="character" w:styleId="1066" w:customStyle="1">
    <w:name w:val="tax1"/>
    <w:pPr>
      <w:pBdr/>
      <w:spacing/>
      <w:ind/>
    </w:pPr>
    <w:rPr>
      <w:b/>
      <w:bCs/>
      <w:sz w:val="26"/>
      <w:szCs w:val="26"/>
    </w:rPr>
  </w:style>
  <w:style w:type="paragraph" w:styleId="1067" w:customStyle="1">
    <w:name w:val="Default Text"/>
    <w:basedOn w:val="969"/>
    <w:link w:val="1068"/>
    <w:uiPriority w:val="99"/>
    <w:pPr>
      <w:pBdr/>
      <w:spacing/>
      <w:ind/>
    </w:pPr>
    <w:rPr>
      <w:szCs w:val="20"/>
      <w:lang w:val="en-US"/>
    </w:rPr>
  </w:style>
  <w:style w:type="character" w:styleId="1068" w:customStyle="1">
    <w:name w:val="Default Text Char"/>
    <w:link w:val="1067"/>
    <w:uiPriority w:val="99"/>
    <w:pPr>
      <w:pBdr/>
      <w:spacing/>
      <w:ind/>
    </w:pPr>
    <w:rPr>
      <w:rFonts w:ascii="Times New Roman" w:hAnsi="Times New Roman" w:eastAsia="Times New Roman" w:cs="Times New Roman"/>
      <w:sz w:val="24"/>
      <w:szCs w:val="20"/>
      <w:lang w:val="en-US"/>
    </w:rPr>
  </w:style>
  <w:style w:type="table" w:styleId="1069" w:customStyle="1">
    <w:name w:val="Сетка таблицы1"/>
    <w:basedOn w:val="978"/>
    <w:next w:val="100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0">
    <w:name w:val="No Spacing"/>
    <w:uiPriority w:val="1"/>
    <w:qFormat/>
    <w:pPr>
      <w:pBdr/>
      <w:spacing w:after="0" w:line="240" w:lineRule="auto"/>
      <w:ind/>
    </w:pPr>
    <w:rPr>
      <w:rFonts w:eastAsiaTheme="minorHAnsi"/>
      <w:lang w:val="en-US"/>
    </w:rPr>
  </w:style>
  <w:style w:type="character" w:styleId="1071" w:customStyle="1">
    <w:name w:val="1637"/>
    <w:basedOn w:val="977"/>
    <w:pPr>
      <w:pBdr/>
      <w:spacing/>
      <w:ind/>
    </w:pPr>
  </w:style>
  <w:style w:type="character" w:styleId="1072" w:customStyle="1">
    <w:name w:val="tree__list__item__title"/>
    <w:basedOn w:val="977"/>
    <w:pPr>
      <w:pBdr/>
      <w:spacing/>
      <w:ind/>
    </w:pPr>
  </w:style>
  <w:style w:type="character" w:styleId="1073" w:customStyle="1">
    <w:name w:val="Основной текст1"/>
    <w:pPr>
      <w:pBdr/>
      <w:spacing/>
      <w:ind/>
    </w:pPr>
    <w:rPr>
      <w:rFonts w:ascii="Times New Roman" w:hAnsi="Times New Roman" w:eastAsia="Times New Roman" w:cs="Times New Roman"/>
      <w:b w:val="0"/>
      <w:bCs w:val="0"/>
      <w:i w:val="0"/>
      <w:iCs w:val="0"/>
      <w:smallCaps w:val="0"/>
      <w:strike w:val="0"/>
      <w:color w:val="000000"/>
      <w:spacing w:val="0"/>
      <w:position w:val="0"/>
      <w:sz w:val="22"/>
      <w:szCs w:val="22"/>
      <w:u w:val="none"/>
      <w:lang w:val="ro-RO" w:eastAsia="ro-RO" w:bidi="ro-R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nord-est@social.gov.md" TargetMode="External"/><Relationship Id="rId13" Type="http://schemas.openxmlformats.org/officeDocument/2006/relationships/hyperlink" Target="mailto:atas.nord-est@social.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3D82-96F3-4743-83B2-EE1C0F93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7</cp:revision>
  <dcterms:created xsi:type="dcterms:W3CDTF">2024-07-04T10:34:00Z</dcterms:created>
  <dcterms:modified xsi:type="dcterms:W3CDTF">2026-01-27T12:38:31Z</dcterms:modified>
</cp:coreProperties>
</file>