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2126"/>
      </w:tblGrid>
      <w:tr w:rsidR="00AE3140" w:rsidTr="0054216F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3140" w:rsidRPr="0054216F" w:rsidRDefault="00AE314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54216F">
              <w:rPr>
                <w:b/>
                <w:bCs/>
                <w:sz w:val="32"/>
                <w:szCs w:val="32"/>
                <w:lang w:val="en-US"/>
              </w:rPr>
              <w:t xml:space="preserve">Replanificarea/resistematizarea interioara a constructiei de invatamint si educatie (scoala ''Vasile Lupu'') amplasata pe imobilul cu nr.cadastral 0100101.237 din str. </w:t>
            </w:r>
            <w:r>
              <w:rPr>
                <w:b/>
                <w:bCs/>
                <w:sz w:val="32"/>
                <w:szCs w:val="32"/>
              </w:rPr>
              <w:t>Petru Ungureanu nr.17 mun.Chisin</w:t>
            </w:r>
            <w:r w:rsidR="0054216F">
              <w:rPr>
                <w:b/>
                <w:bCs/>
                <w:sz w:val="32"/>
                <w:szCs w:val="32"/>
                <w:lang w:val="en-US"/>
              </w:rPr>
              <w:t>au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Formular Nr.1</w:t>
            </w:r>
          </w:p>
          <w:p w:rsidR="00AE3140" w:rsidRDefault="00AE31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WinCmeta2000</w:t>
            </w:r>
          </w:p>
        </w:tc>
      </w:tr>
      <w:tr w:rsidR="00AE3140" w:rsidTr="0054216F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>
            <w:pPr>
              <w:jc w:val="center"/>
            </w:pPr>
            <w:r>
              <w:t>(</w:t>
            </w:r>
            <w:r>
              <w:rPr>
                <w:lang w:val="en-US"/>
              </w:rPr>
              <w:t>denumirea obiectivului)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>
            <w:pPr>
              <w:jc w:val="center"/>
            </w:pPr>
          </w:p>
        </w:tc>
      </w:tr>
    </w:tbl>
    <w:p w:rsidR="00AE3140" w:rsidRDefault="00AE3140"/>
    <w:p w:rsidR="00AE3140" w:rsidRDefault="00AE3140"/>
    <w:p w:rsidR="00AE3140" w:rsidRDefault="00AE3140">
      <w:pPr>
        <w:jc w:val="center"/>
        <w:rPr>
          <w:sz w:val="24"/>
          <w:szCs w:val="24"/>
          <w:lang w:val="en-US"/>
        </w:rPr>
      </w:pPr>
      <w:r>
        <w:rPr>
          <w:b/>
          <w:bCs/>
          <w:sz w:val="40"/>
          <w:szCs w:val="40"/>
          <w:lang w:val="en-US"/>
        </w:rPr>
        <w:t>Lista cu cantita</w:t>
      </w:r>
      <w:r>
        <w:rPr>
          <w:b/>
          <w:bCs/>
          <w:sz w:val="40"/>
          <w:szCs w:val="40"/>
          <w:lang w:val="ro-RO"/>
        </w:rPr>
        <w:t>ţile de lucrări</w:t>
      </w:r>
      <w:r>
        <w:rPr>
          <w:b/>
          <w:bCs/>
          <w:sz w:val="40"/>
          <w:szCs w:val="40"/>
          <w:lang w:val="en-US"/>
        </w:rPr>
        <w:t xml:space="preserve"> № </w:t>
      </w:r>
    </w:p>
    <w:p w:rsidR="00AE3140" w:rsidRDefault="00AE314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Deviz-oferta № </w:t>
      </w:r>
    </w:p>
    <w:p w:rsidR="00AE3140" w:rsidRDefault="00AE3140">
      <w:pPr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en-US"/>
        </w:rPr>
        <w:t>Sopron parasolar poz.3. Lucrari generale de constructie.</w:t>
      </w:r>
    </w:p>
    <w:p w:rsidR="00AE3140" w:rsidRDefault="00AE3140">
      <w:pPr>
        <w:rPr>
          <w:lang w:val="ro-RO"/>
        </w:rPr>
      </w:pPr>
      <w:r>
        <w:rPr>
          <w:lang w:val="ro-RO"/>
        </w:rPr>
        <w:tab/>
        <w:t>(denumirea lucrări)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3544"/>
        <w:gridCol w:w="1134"/>
        <w:gridCol w:w="1134"/>
        <w:gridCol w:w="1417"/>
        <w:gridCol w:w="1418"/>
      </w:tblGrid>
      <w:tr w:rsidR="00AE314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E3140" w:rsidRDefault="00AE3140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AE3140" w:rsidRDefault="00AE314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E3140" w:rsidRDefault="00AE3140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norme,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E3140" w:rsidRDefault="00AE3140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E3140" w:rsidRDefault="00AE3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E3140" w:rsidRDefault="00AE3140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:rsidR="00AE3140" w:rsidRDefault="00AE31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U.M.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E3140" w:rsidRDefault="00AE314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Cantitate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E3140" w:rsidRDefault="00AE314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Preţ pe unitate de măsură, lei (inclusiv salariu)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E3140" w:rsidRDefault="00AE314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Total, lei (col.5 x col.6)</w:t>
            </w:r>
          </w:p>
        </w:tc>
      </w:tr>
      <w:tr w:rsidR="00AE314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E3140" w:rsidRDefault="00AE314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E3140" w:rsidRDefault="00AE314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E3140" w:rsidRDefault="00AE314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E3140" w:rsidRDefault="00AE314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E3140" w:rsidRDefault="00AE314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40" w:rsidRDefault="00AE314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40" w:rsidRDefault="00AE314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AE3140" w:rsidRDefault="00AE3140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3544"/>
        <w:gridCol w:w="1134"/>
        <w:gridCol w:w="1134"/>
        <w:gridCol w:w="1417"/>
        <w:gridCol w:w="1419"/>
      </w:tblGrid>
      <w:tr w:rsidR="00AE31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AE3140" w:rsidRDefault="00AE314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AE3140" w:rsidRDefault="00AE3140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AE3140" w:rsidRDefault="00AE3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AE3140" w:rsidRDefault="00AE31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AE3140" w:rsidRDefault="00AE31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AE3140" w:rsidRDefault="00AE3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AE3140" w:rsidRDefault="00AE3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TsA02B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Pr="0054216F" w:rsidRDefault="00AE3140">
            <w:pPr>
              <w:rPr>
                <w:lang w:val="en-US"/>
              </w:rPr>
            </w:pPr>
            <w:r w:rsidRPr="0054216F">
              <w:rPr>
                <w:lang w:val="en-US"/>
              </w:rPr>
              <w:t xml:space="preserve">Sapatura manuala de pamint in spatii limitate, avind sub 1,00 m sau peste 1,00 m latime, executata fara sprijiniri, cu taluz vertical, la fundatii, canale, subsoluri, drenuri, trepte de infratire, in pamint necoeziv sau slab coeziv adincime &lt; 0,75 m teren mijlociu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TsD01B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Pr="0054216F" w:rsidRDefault="00AE3140">
            <w:pPr>
              <w:rPr>
                <w:lang w:val="en-US"/>
              </w:rPr>
            </w:pPr>
            <w:r w:rsidRPr="0054216F">
              <w:rPr>
                <w:lang w:val="en-US"/>
              </w:rPr>
              <w:t>Imprastierea cu lopata a pamintului afinat, in straturi uniforme, de 10-30 cm grosime, printr-o aruncare de pina la 3 m din gramezi, inclusiv sfarimarea bulgarilor, pamintul provenind din teren mijlociu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TsD01B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Pr="0054216F" w:rsidRDefault="00AE3140">
            <w:pPr>
              <w:rPr>
                <w:lang w:val="en-US"/>
              </w:rPr>
            </w:pPr>
            <w:r w:rsidRPr="0054216F">
              <w:rPr>
                <w:lang w:val="en-US"/>
              </w:rPr>
              <w:t>Imprastierea cu lopata a pamintului afinat, in straturi uniforme, de 10-30 cm grosime, printr-o aruncare de pina la 3 m din gramezi, inclusiv sfarimarea bulgarilor, pamintul provenind din teren mijlociu (</w:t>
            </w:r>
            <w:r>
              <w:t>подсыпка</w:t>
            </w:r>
            <w:r w:rsidRPr="0054216F">
              <w:rPr>
                <w:lang w:val="en-US"/>
              </w:rPr>
              <w:t xml:space="preserve"> </w:t>
            </w:r>
            <w:r>
              <w:t>под</w:t>
            </w:r>
            <w:r w:rsidRPr="0054216F">
              <w:rPr>
                <w:lang w:val="en-US"/>
              </w:rPr>
              <w:t xml:space="preserve"> </w:t>
            </w:r>
            <w:r>
              <w:t>полы</w:t>
            </w:r>
            <w:r w:rsidRPr="0054216F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TsD04B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Pr="0054216F" w:rsidRDefault="00AE3140">
            <w:pPr>
              <w:rPr>
                <w:lang w:val="en-US"/>
              </w:rPr>
            </w:pPr>
            <w:r w:rsidRPr="0054216F">
              <w:rPr>
                <w:lang w:val="en-US"/>
              </w:rPr>
              <w:t>Compactarea cu maiul de mina a umpluturilor executate in sapaturi orizontale sau inclinate la 1/4, inclusiv udarea fiecarui strat de pamint in parte, avind 10 cm grosime pamint coeziv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TsC54B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Pr="0054216F" w:rsidRDefault="00AE3140">
            <w:pPr>
              <w:rPr>
                <w:lang w:val="en-US"/>
              </w:rPr>
            </w:pPr>
            <w:r w:rsidRPr="0054216F">
              <w:rPr>
                <w:lang w:val="en-US"/>
              </w:rPr>
              <w:t>Strat de fundatie din piatra sparta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CA03F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r w:rsidRPr="0054216F">
              <w:rPr>
                <w:lang w:val="en-US"/>
              </w:rPr>
              <w:t xml:space="preserve">Beton simplu  turnat cu mijloace clasice,  in fundatii, socluri, ziduri de sprijin, pereti sub cota zero, preparat cu centrala de betoane sau beton marfa conform. art. </w:t>
            </w:r>
            <w:r>
              <w:t>CA01, turnare cu mijloace clasice, beton simplu clasa C12,5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CL57A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Pr="0054216F" w:rsidRDefault="00AE3140">
            <w:pPr>
              <w:rPr>
                <w:lang w:val="en-US"/>
              </w:rPr>
            </w:pPr>
            <w:r w:rsidRPr="0054216F">
              <w:rPr>
                <w:lang w:val="en-US"/>
              </w:rPr>
              <w:t xml:space="preserve">Montarea si fixarea pieselor inglobate in beton armat monolit: cu greutatea sub 4 kg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CB02A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Pr="0054216F" w:rsidRDefault="00AE3140">
            <w:pPr>
              <w:rPr>
                <w:lang w:val="en-US"/>
              </w:rPr>
            </w:pPr>
            <w:r w:rsidRPr="0054216F">
              <w:rPr>
                <w:lang w:val="en-US"/>
              </w:rPr>
              <w:t>Cofraje din panouri refolosibile, cu asteriala din scinduri de rasinoase scurte si subscurte pentru turnarea betonului in cuzineti, fundatii pahar si fundatii de utilaje inclusiv sprijinirile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IzF50A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Pr="0054216F" w:rsidRDefault="00AE3140">
            <w:pPr>
              <w:rPr>
                <w:lang w:val="en-US"/>
              </w:rPr>
            </w:pPr>
            <w:r w:rsidRPr="0054216F">
              <w:rPr>
                <w:lang w:val="en-US"/>
              </w:rPr>
              <w:t>Hidroizolatii efectuate cu mortar ciment cu sticla solubila la fundatii si pereti aplicate pe suprafete orizontale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AcA50B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Pr="0054216F" w:rsidRDefault="00AE3140">
            <w:pPr>
              <w:rPr>
                <w:lang w:val="en-US"/>
              </w:rPr>
            </w:pPr>
            <w:r w:rsidRPr="0054216F">
              <w:rPr>
                <w:lang w:val="en-US"/>
              </w:rPr>
              <w:t>Tub de azbociment, fara presiune, imbinat cu mufa de azbociment, avind Dn=216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CE40A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Pr="0054216F" w:rsidRDefault="00AE3140">
            <w:pPr>
              <w:rPr>
                <w:lang w:val="en-US"/>
              </w:rPr>
            </w:pPr>
            <w:r w:rsidRPr="0054216F">
              <w:rPr>
                <w:lang w:val="en-US"/>
              </w:rPr>
              <w:t>Montarea elementelor scheletului din grinzi (bare) cu tratament antiseptic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CD50C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Pr="0054216F" w:rsidRDefault="00AE3140">
            <w:pPr>
              <w:rPr>
                <w:lang w:val="en-US"/>
              </w:rPr>
            </w:pPr>
            <w:r w:rsidRPr="0054216F">
              <w:rPr>
                <w:lang w:val="en-US"/>
              </w:rPr>
              <w:t>Zidarie din caramida medie, format 250 x 120 x 65 la pereti exteriori cu inaltimea pina la 4 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CE41A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Pr="0054216F" w:rsidRDefault="00AE3140">
            <w:pPr>
              <w:rPr>
                <w:lang w:val="en-US"/>
              </w:rPr>
            </w:pPr>
            <w:r w:rsidRPr="0054216F">
              <w:rPr>
                <w:lang w:val="en-US"/>
              </w:rPr>
              <w:t xml:space="preserve">Montarea capriorilor cu tratament antiseptic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CN50A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Pr="0054216F" w:rsidRDefault="00AE3140">
            <w:pPr>
              <w:rPr>
                <w:lang w:val="en-US"/>
              </w:rPr>
            </w:pPr>
            <w:r w:rsidRPr="0054216F">
              <w:rPr>
                <w:lang w:val="en-US"/>
              </w:rPr>
              <w:t>Tratament ignifug al lemnariei; ferme, arce, grinzi, capriori, cosoroabe.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CE07A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Pr="0054216F" w:rsidRDefault="00AE3140">
            <w:pPr>
              <w:rPr>
                <w:lang w:val="en-US"/>
              </w:rPr>
            </w:pPr>
            <w:r w:rsidRPr="0054216F">
              <w:rPr>
                <w:lang w:val="en-US"/>
              </w:rPr>
              <w:t xml:space="preserve">Invelitori din placi din tabla amprentata (tip tigla) pentru invelitorile acoperisurilor (tip Lindab)  (tigla metalica)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CE40A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Pr="0054216F" w:rsidRDefault="00AE3140">
            <w:pPr>
              <w:rPr>
                <w:lang w:val="en-US"/>
              </w:rPr>
            </w:pPr>
            <w:r w:rsidRPr="0054216F">
              <w:rPr>
                <w:lang w:val="en-US"/>
              </w:rPr>
              <w:t>Montarea elementelor scheletului din grinzi (bare) cu tratament antiseptic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CN50A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Pr="0054216F" w:rsidRDefault="00AE3140">
            <w:pPr>
              <w:rPr>
                <w:lang w:val="en-US"/>
              </w:rPr>
            </w:pPr>
            <w:r w:rsidRPr="0054216F">
              <w:rPr>
                <w:lang w:val="en-US"/>
              </w:rPr>
              <w:t>Tratament ignifug al lemnariei; ferme, arce, grinzi, capriori, cosoroabe.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CN16D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Pr="0054216F" w:rsidRDefault="00AE3140">
            <w:pPr>
              <w:rPr>
                <w:lang w:val="en-US"/>
              </w:rPr>
            </w:pPr>
            <w:r w:rsidRPr="0054216F">
              <w:rPr>
                <w:lang w:val="en-US"/>
              </w:rPr>
              <w:t xml:space="preserve">Vopsitorii cu lacuri si vopsele pe baza de ulei aplicate pe timplarie din lemn, executate cu 2 straturi de vopsea de email la dusumele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TsC54B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Pr="0054216F" w:rsidRDefault="00AE3140">
            <w:pPr>
              <w:rPr>
                <w:lang w:val="en-US"/>
              </w:rPr>
            </w:pPr>
            <w:r w:rsidRPr="0054216F">
              <w:rPr>
                <w:lang w:val="en-US"/>
              </w:rPr>
              <w:t>Strat de fundatie din piatra sparta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CG42B corect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Pr="0054216F" w:rsidRDefault="00AE3140">
            <w:pPr>
              <w:rPr>
                <w:lang w:val="en-US"/>
              </w:rPr>
            </w:pPr>
            <w:r w:rsidRPr="0054216F">
              <w:rPr>
                <w:lang w:val="en-US"/>
              </w:rPr>
              <w:t>Pardoseli din scinduri groase de rasinoase, geluite, sectiune100x60(h) mm, impregnare cu lignoleum aplicat in 2 straturi, in incaperi cu suprafete mai mari de 16 m.p. amplasate pe talpi din grinzi din lemn amplasate pe stalpisori din caramida (gr.37 mm)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CN16D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Pr="0054216F" w:rsidRDefault="00AE3140">
            <w:pPr>
              <w:rPr>
                <w:lang w:val="en-US"/>
              </w:rPr>
            </w:pPr>
            <w:r w:rsidRPr="0054216F">
              <w:rPr>
                <w:lang w:val="en-US"/>
              </w:rPr>
              <w:t xml:space="preserve">Vopsitorii cu lacuri si vopsele pe baza de ulei aplicate pe timplarie din lemn, executate cu 2 straturi de vopsea de email la dusumele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r>
              <w:t>Nod 1, f.3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CR03A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Pr="0054216F" w:rsidRDefault="00AE3140">
            <w:pPr>
              <w:rPr>
                <w:lang w:val="en-US"/>
              </w:rPr>
            </w:pPr>
            <w:r w:rsidRPr="0054216F">
              <w:rPr>
                <w:lang w:val="en-US"/>
              </w:rPr>
              <w:t>Schelet din lemn brut, rotund de rasinoase si din rigle de rasinoase pentru constructii rurale, executate la pereti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CK17A corect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Pr="0054216F" w:rsidRDefault="00AE3140">
            <w:pPr>
              <w:rPr>
                <w:lang w:val="en-US"/>
              </w:rPr>
            </w:pPr>
            <w:r w:rsidRPr="0054216F">
              <w:rPr>
                <w:lang w:val="en-US"/>
              </w:rPr>
              <w:t>Lambriuri la pereti, executate pe santier in cantitati de peste 10 mp din cherestrea de rasinoase, in tablii si frizuri sau lamele (scindura 19x100mm - 0,43 m3)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CN51D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Pr="0054216F" w:rsidRDefault="00AE3140">
            <w:pPr>
              <w:rPr>
                <w:lang w:val="en-US"/>
              </w:rPr>
            </w:pPr>
            <w:r w:rsidRPr="0054216F">
              <w:rPr>
                <w:lang w:val="en-US"/>
              </w:rPr>
              <w:t>Tratamentul antiseptic al lemnariei, pe suprafete ascunse cu paste antiseptice: grinzi, cosoroabe.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CN50A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Pr="0054216F" w:rsidRDefault="00AE3140">
            <w:pPr>
              <w:rPr>
                <w:lang w:val="en-US"/>
              </w:rPr>
            </w:pPr>
            <w:r w:rsidRPr="0054216F">
              <w:rPr>
                <w:lang w:val="en-US"/>
              </w:rPr>
              <w:t>Tratament ignifug al lemnariei; ferme, arce, grinzi, capriori, cosoroabe.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CN32G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Pr="0054216F" w:rsidRDefault="00AE3140">
            <w:pPr>
              <w:rPr>
                <w:lang w:val="en-US"/>
              </w:rPr>
            </w:pPr>
            <w:r w:rsidRPr="0054216F">
              <w:rPr>
                <w:lang w:val="en-US"/>
              </w:rPr>
              <w:t>Vopsitorii lemnariei cu solutii speciale (tratamente de suprafata) executate manual cu vopsea ignifuga la exterior I 107-30,componentele a,b,c, aplicata pe lemn (ulei ferbinte)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r>
              <w:t>Scara exterioara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CA03F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r w:rsidRPr="0054216F">
              <w:rPr>
                <w:lang w:val="en-US"/>
              </w:rPr>
              <w:t xml:space="preserve">Beton simplu  turnat cu mijloace clasice,  in fundatii, socluri, ziduri de sprijin, pereti sub cota zero, preparat cu centrala de betoane sau beton marfa conform. art. </w:t>
            </w:r>
            <w:r>
              <w:t>CA01, turnare cu mijloace clasice, beton simplu clasa C12,5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CB02A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Pr="0054216F" w:rsidRDefault="00AE3140">
            <w:pPr>
              <w:rPr>
                <w:lang w:val="en-US"/>
              </w:rPr>
            </w:pPr>
            <w:r w:rsidRPr="0054216F">
              <w:rPr>
                <w:lang w:val="en-US"/>
              </w:rPr>
              <w:t>Cofraje din panouri refolosibile, cu asteriala din scinduri de rasinoase scurte si subscurte pentru turnarea betonului in cuzineti, fundatii pahar si fundatii de utilaje inclusiv sprijinirile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r>
              <w:t>Pereu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TsC54B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Pr="0054216F" w:rsidRDefault="00AE3140">
            <w:pPr>
              <w:rPr>
                <w:lang w:val="en-US"/>
              </w:rPr>
            </w:pPr>
            <w:r w:rsidRPr="0054216F">
              <w:rPr>
                <w:lang w:val="en-US"/>
              </w:rPr>
              <w:t>Strat de fundatie din piatra sparta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  <w:tr w:rsidR="00AE31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CA02C</w:t>
            </w:r>
          </w:p>
          <w:p w:rsidR="00AE3140" w:rsidRDefault="00AE314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r w:rsidRPr="0054216F">
              <w:rPr>
                <w:lang w:val="en-US"/>
              </w:rPr>
              <w:t xml:space="preserve">Beton simplu turnat  in egalizari, pante, sape la inaltimi pina la 35 m inclusiv, preparat cu centrala de betoane conform art. </w:t>
            </w:r>
            <w:r>
              <w:t>CA01 sau beton marfa, turnare cu mijloace clasice  B12,5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40" w:rsidRDefault="00AE31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3140" w:rsidRDefault="00AE3140">
      <w:pPr>
        <w:rPr>
          <w:sz w:val="6"/>
          <w:szCs w:val="6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134"/>
        <w:gridCol w:w="1134"/>
        <w:gridCol w:w="1417"/>
        <w:gridCol w:w="1420"/>
      </w:tblGrid>
      <w:tr w:rsidR="00AE31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</w:tr>
      <w:tr w:rsidR="00AE314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140" w:rsidRDefault="00AE3140">
            <w:r>
              <w:rPr>
                <w:lang w:val="en-US"/>
              </w:rPr>
              <w:t>Cheltuieli directe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140" w:rsidRDefault="00AE3140">
            <w:r>
              <w:t xml:space="preserve"> LEI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</w:tr>
      <w:tr w:rsidR="00AE314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140" w:rsidRDefault="00AE3140">
            <w:r>
              <w:rPr>
                <w:lang w:val="en-US"/>
              </w:rPr>
              <w:t>Asigurari sociale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140" w:rsidRDefault="00AE314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</w:tr>
      <w:tr w:rsidR="00AE314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140" w:rsidRDefault="00AE3140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140" w:rsidRDefault="00AE314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</w:tr>
      <w:tr w:rsidR="00AE314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140" w:rsidRDefault="00AE3140">
            <w:r>
              <w:rPr>
                <w:lang w:val="en-US"/>
              </w:rPr>
              <w:t>Cheltuieli de transport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140" w:rsidRDefault="00AE314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</w:tr>
      <w:tr w:rsidR="00AE314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140" w:rsidRDefault="00AE3140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140" w:rsidRDefault="00AE314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</w:tr>
      <w:tr w:rsidR="00AE314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140" w:rsidRDefault="00AE3140">
            <w:r>
              <w:rPr>
                <w:lang w:val="en-US"/>
              </w:rPr>
              <w:t>Cheltuieli  pentru depozitare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140" w:rsidRDefault="00AE314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</w:tr>
      <w:tr w:rsidR="00AE314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140" w:rsidRDefault="00AE3140">
            <w:r>
              <w:rPr>
                <w:lang w:val="en-US"/>
              </w:rPr>
              <w:t>Cheltuieli directe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140" w:rsidRDefault="00AE314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</w:tr>
      <w:tr w:rsidR="00AE314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140" w:rsidRDefault="00AE3140">
            <w:r>
              <w:rPr>
                <w:lang w:val="en-US"/>
              </w:rPr>
              <w:t>Cheltuieli de regie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140" w:rsidRDefault="00AE314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</w:tr>
      <w:tr w:rsidR="00AE314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140" w:rsidRDefault="00AE3140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140" w:rsidRDefault="00AE314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</w:tr>
      <w:tr w:rsidR="00AE314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140" w:rsidRDefault="00AE3140">
            <w:r>
              <w:rPr>
                <w:lang w:val="en-US"/>
              </w:rPr>
              <w:t>Beneficiu de deviz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140" w:rsidRDefault="00AE314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/>
        </w:tc>
      </w:tr>
      <w:tr w:rsidR="00AE3140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40" w:rsidRDefault="00AE314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140" w:rsidRDefault="00AE31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deviz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40" w:rsidRDefault="00AE314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40" w:rsidRDefault="00AE31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40" w:rsidRDefault="00AE314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40" w:rsidRDefault="00AE314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E3140" w:rsidRDefault="00AE314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AE3140" w:rsidRDefault="00AE3140" w:rsidP="0054216F">
      <w:pPr>
        <w:rPr>
          <w:sz w:val="4"/>
          <w:szCs w:val="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 </w:t>
      </w:r>
    </w:p>
    <w:sectPr w:rsidR="00AE3140">
      <w:headerReference w:type="default" r:id="rId6"/>
      <w:pgSz w:w="11907" w:h="16840" w:code="9"/>
      <w:pgMar w:top="680" w:right="567" w:bottom="680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24" w:rsidRDefault="008A0724" w:rsidP="0054216F">
      <w:r>
        <w:separator/>
      </w:r>
    </w:p>
  </w:endnote>
  <w:endnote w:type="continuationSeparator" w:id="0">
    <w:p w:rsidR="008A0724" w:rsidRDefault="008A0724" w:rsidP="0054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24" w:rsidRDefault="008A0724" w:rsidP="0054216F">
      <w:r>
        <w:separator/>
      </w:r>
    </w:p>
  </w:footnote>
  <w:footnote w:type="continuationSeparator" w:id="0">
    <w:p w:rsidR="008A0724" w:rsidRDefault="008A0724" w:rsidP="0054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6F" w:rsidRDefault="0054216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B1183B">
      <w:rPr>
        <w:noProof/>
      </w:rPr>
      <w:t>2</w:t>
    </w:r>
    <w:r>
      <w:fldChar w:fldCharType="end"/>
    </w:r>
  </w:p>
  <w:p w:rsidR="0054216F" w:rsidRDefault="005421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6F"/>
    <w:rsid w:val="0054216F"/>
    <w:rsid w:val="00791AF2"/>
    <w:rsid w:val="008A0724"/>
    <w:rsid w:val="009949F6"/>
    <w:rsid w:val="00AE3140"/>
    <w:rsid w:val="00B1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6C7DCB-6898-42B7-9240-39DB4314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unhideWhenUsed/>
    <w:rsid w:val="00542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4216F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2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4216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2</cp:revision>
  <dcterms:created xsi:type="dcterms:W3CDTF">2022-06-20T13:09:00Z</dcterms:created>
  <dcterms:modified xsi:type="dcterms:W3CDTF">2022-06-20T13:09:00Z</dcterms:modified>
</cp:coreProperties>
</file>