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00C7088B">
              <w:rPr>
                <w:sz w:val="32"/>
                <w:szCs w:val="32"/>
              </w:rPr>
              <w:t xml:space="preserve"> </w:t>
            </w:r>
            <w:r w:rsidR="00984342">
              <w:rPr>
                <w:sz w:val="32"/>
                <w:szCs w:val="32"/>
              </w:rPr>
              <w:t>Sistem de apeduct de grup pentru ameliorarea situației ecologice din 8 localități</w:t>
            </w:r>
            <w:r w:rsidRPr="00EB1FF8">
              <w:rPr>
                <w:b/>
                <w:sz w:val="32"/>
                <w:szCs w:val="32"/>
              </w:rPr>
              <w:tab/>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984342">
              <w:rPr>
                <w:b/>
                <w:sz w:val="32"/>
                <w:szCs w:val="32"/>
              </w:rPr>
              <w:t>45247130-0</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984342">
              <w:rPr>
                <w:sz w:val="32"/>
                <w:szCs w:val="32"/>
              </w:rPr>
              <w:t>Primaria comunei Boghenii Noi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984342">
              <w:rPr>
                <w:sz w:val="32"/>
                <w:szCs w:val="32"/>
              </w:rPr>
              <w:t>Licitație Deschisă</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531004" w:rsidRDefault="00531004" w:rsidP="005D708F">
      <w:pPr>
        <w:pStyle w:val="1"/>
        <w:numPr>
          <w:ilvl w:val="0"/>
          <w:numId w:val="0"/>
        </w:numPr>
        <w:jc w:val="left"/>
        <w:rPr>
          <w:rFonts w:asciiTheme="majorHAnsi" w:hAnsiTheme="majorHAnsi" w:cstheme="majorHAnsi"/>
          <w:lang w:val="ro-RO"/>
        </w:rPr>
      </w:pPr>
      <w:bookmarkStart w:id="158" w:name="_Toc358300267"/>
      <w:bookmarkStart w:id="159" w:name="_Toc392180189"/>
      <w:bookmarkStart w:id="160" w:name="_Toc449539077"/>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531004" w:rsidRDefault="00531004" w:rsidP="005D708F">
      <w:pPr>
        <w:pStyle w:val="1"/>
        <w:numPr>
          <w:ilvl w:val="0"/>
          <w:numId w:val="0"/>
        </w:numPr>
        <w:jc w:val="left"/>
        <w:rPr>
          <w:rFonts w:asciiTheme="majorHAnsi" w:hAnsiTheme="majorHAnsi" w:cstheme="majorHAnsi"/>
          <w:lang w:val="ro-RO"/>
        </w:rPr>
      </w:pPr>
    </w:p>
    <w:p w:rsidR="001034CC" w:rsidRPr="0030652C" w:rsidRDefault="00531004" w:rsidP="005D708F">
      <w:pPr>
        <w:pStyle w:val="1"/>
        <w:numPr>
          <w:ilvl w:val="0"/>
          <w:numId w:val="0"/>
        </w:numPr>
        <w:jc w:val="left"/>
        <w:rPr>
          <w:lang w:val="ro-RO"/>
        </w:rPr>
      </w:pPr>
      <w:r>
        <w:rPr>
          <w:rFonts w:asciiTheme="majorHAnsi" w:hAnsiTheme="majorHAnsi" w:cstheme="majorHAnsi"/>
          <w:lang w:val="ro-RO"/>
        </w:rPr>
        <w:lastRenderedPageBreak/>
        <w:t xml:space="preserve">                                            </w:t>
      </w:r>
      <w:r w:rsidR="001034CC" w:rsidRPr="005D708F">
        <w:rPr>
          <w:rFonts w:asciiTheme="majorHAnsi" w:hAnsiTheme="majorHAnsi" w:cstheme="majorHAnsi"/>
          <w:lang w:val="ro-RO"/>
        </w:rPr>
        <w:t>CAPITOLUL II</w:t>
      </w:r>
      <w:r w:rsidR="001034CC">
        <w:rPr>
          <w:rFonts w:asciiTheme="majorHAnsi" w:hAnsiTheme="majorHAnsi" w:cstheme="majorHAnsi"/>
          <w:lang w:val="ro-RO"/>
        </w:rPr>
        <w:t xml:space="preserve">. </w:t>
      </w:r>
      <w:r w:rsidR="001034CC"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tbl>
      <w:tblPr>
        <w:tblW w:w="10060" w:type="dxa"/>
        <w:tblLayout w:type="fixed"/>
        <w:tblLook w:val="04A0"/>
      </w:tblPr>
      <w:tblGrid>
        <w:gridCol w:w="674"/>
        <w:gridCol w:w="4254"/>
        <w:gridCol w:w="3544"/>
        <w:gridCol w:w="1588"/>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984342" w:rsidP="002870C3">
            <w:pPr>
              <w:rPr>
                <w:rFonts w:asciiTheme="majorHAnsi" w:hAnsiTheme="majorHAnsi" w:cstheme="majorHAnsi"/>
                <w:b/>
                <w:i/>
                <w:noProof w:val="0"/>
              </w:rPr>
            </w:pPr>
            <w:r>
              <w:rPr>
                <w:rFonts w:asciiTheme="majorHAnsi" w:hAnsiTheme="majorHAnsi" w:cstheme="majorHAnsi"/>
                <w:b/>
                <w:i/>
                <w:noProof w:val="0"/>
              </w:rPr>
              <w:t>Primaria comunei Boghenii Noi raionul Ungheni</w:t>
            </w:r>
          </w:p>
          <w:p w:rsidR="00984342" w:rsidRPr="002870C3" w:rsidRDefault="00984342" w:rsidP="002870C3">
            <w:pPr>
              <w:rPr>
                <w:rFonts w:asciiTheme="majorHAnsi" w:hAnsiTheme="majorHAnsi" w:cstheme="majorHAnsi"/>
                <w:b/>
                <w:i/>
                <w:noProof w:val="0"/>
              </w:rPr>
            </w:pPr>
            <w:r>
              <w:rPr>
                <w:rFonts w:asciiTheme="majorHAnsi" w:hAnsiTheme="majorHAnsi" w:cstheme="majorHAnsi"/>
                <w:b/>
                <w:i/>
                <w:noProof w:val="0"/>
              </w:rPr>
              <w:t>c/f1007601001824</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4342" w:rsidP="002870C3">
            <w:pPr>
              <w:rPr>
                <w:rFonts w:asciiTheme="majorHAnsi" w:hAnsiTheme="majorHAnsi" w:cstheme="majorHAnsi"/>
                <w:b/>
                <w:i/>
                <w:noProof w:val="0"/>
              </w:rPr>
            </w:pPr>
            <w:r>
              <w:rPr>
                <w:rFonts w:asciiTheme="majorHAnsi" w:hAnsiTheme="majorHAnsi" w:cstheme="majorHAnsi"/>
                <w:b/>
                <w:i/>
                <w:noProof w:val="0"/>
              </w:rPr>
              <w:t>Sistem de apeduct de grup pentru ameliorarea situației ecologice din 8 localităși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984342" w:rsidP="002870C3">
            <w:pPr>
              <w:rPr>
                <w:rFonts w:asciiTheme="majorHAnsi" w:hAnsiTheme="majorHAnsi" w:cstheme="majorHAnsi"/>
                <w:b/>
                <w:i/>
                <w:noProof w:val="0"/>
              </w:rPr>
            </w:pPr>
            <w:r>
              <w:rPr>
                <w:rFonts w:asciiTheme="majorHAnsi" w:hAnsiTheme="majorHAnsi" w:cstheme="majorHAnsi"/>
                <w:b/>
                <w:i/>
                <w:noProof w:val="0"/>
              </w:rPr>
              <w:t xml:space="preserve">Licitație deschisă </w:t>
            </w:r>
            <w:r w:rsidR="002870C3" w:rsidRPr="002870C3">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4342" w:rsidP="002870C3">
            <w:pPr>
              <w:rPr>
                <w:rFonts w:asciiTheme="majorHAnsi" w:hAnsiTheme="majorHAnsi" w:cstheme="majorHAnsi"/>
                <w:b/>
                <w:i/>
                <w:noProof w:val="0"/>
              </w:rPr>
            </w:pPr>
            <w:r>
              <w:rPr>
                <w:rFonts w:asciiTheme="majorHAnsi" w:hAnsiTheme="majorHAnsi" w:cstheme="majorHAnsi"/>
                <w:b/>
                <w:i/>
                <w:noProof w:val="0"/>
              </w:rPr>
              <w:t>L</w:t>
            </w:r>
            <w:r w:rsidR="002870C3" w:rsidRPr="002870C3">
              <w:rPr>
                <w:rFonts w:asciiTheme="majorHAnsi" w:hAnsiTheme="majorHAnsi" w:cstheme="majorHAnsi"/>
                <w:b/>
                <w:i/>
                <w:noProof w:val="0"/>
              </w:rPr>
              <w:t xml:space="preserve">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84342" w:rsidP="002870C3">
            <w:pPr>
              <w:rPr>
                <w:rFonts w:asciiTheme="majorHAnsi" w:hAnsiTheme="majorHAnsi" w:cstheme="majorHAnsi"/>
                <w:b/>
                <w:i/>
                <w:noProof w:val="0"/>
              </w:rPr>
            </w:pPr>
            <w:r>
              <w:rPr>
                <w:rFonts w:asciiTheme="majorHAnsi" w:hAnsiTheme="majorHAnsi" w:cstheme="majorHAnsi"/>
                <w:b/>
                <w:i/>
                <w:noProof w:val="0"/>
              </w:rPr>
              <w:t>45247130-0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84342" w:rsidRDefault="00984342" w:rsidP="002870C3">
            <w:pPr>
              <w:rPr>
                <w:rFonts w:asciiTheme="majorHAnsi" w:hAnsiTheme="majorHAnsi" w:cstheme="majorHAnsi"/>
                <w:b/>
                <w:i/>
                <w:noProof w:val="0"/>
              </w:rPr>
            </w:pPr>
            <w:r>
              <w:rPr>
                <w:rFonts w:asciiTheme="majorHAnsi" w:hAnsiTheme="majorHAnsi" w:cstheme="majorHAnsi"/>
                <w:b/>
                <w:i/>
                <w:noProof w:val="0"/>
              </w:rPr>
              <w:t xml:space="preserve">Buget Local </w:t>
            </w:r>
            <w:r w:rsidR="004A2839">
              <w:rPr>
                <w:rFonts w:asciiTheme="majorHAnsi" w:hAnsiTheme="majorHAnsi" w:cstheme="majorHAnsi"/>
                <w:b/>
                <w:i/>
                <w:noProof w:val="0"/>
              </w:rPr>
              <w:t xml:space="preserve"> și Fondul Național Ecologic</w:t>
            </w:r>
          </w:p>
          <w:p w:rsidR="002870C3" w:rsidRPr="002870C3" w:rsidRDefault="00984342" w:rsidP="002870C3">
            <w:pPr>
              <w:rPr>
                <w:rFonts w:asciiTheme="majorHAnsi" w:hAnsiTheme="majorHAnsi" w:cstheme="majorHAnsi"/>
                <w:b/>
                <w:i/>
                <w:noProof w:val="0"/>
              </w:rPr>
            </w:pPr>
            <w:r>
              <w:rPr>
                <w:rFonts w:asciiTheme="majorHAnsi" w:hAnsiTheme="majorHAnsi" w:cstheme="majorHAnsi"/>
                <w:b/>
                <w:i/>
                <w:noProof w:val="0"/>
              </w:rPr>
              <w:t>2019-2020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22051" w:rsidP="002870C3">
            <w:pPr>
              <w:rPr>
                <w:rFonts w:asciiTheme="majorHAnsi" w:hAnsiTheme="majorHAnsi" w:cstheme="majorHAnsi"/>
                <w:b/>
                <w:i/>
                <w:noProof w:val="0"/>
              </w:rPr>
            </w:pPr>
            <w:r>
              <w:rPr>
                <w:rFonts w:asciiTheme="majorHAnsi" w:hAnsiTheme="majorHAnsi" w:cstheme="majorHAnsi"/>
                <w:b/>
                <w:i/>
                <w:noProof w:val="0"/>
              </w:rPr>
              <w:t>Primaria comunei Boghenii Noi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4A2839" w:rsidP="002870C3">
            <w:pPr>
              <w:rPr>
                <w:rFonts w:asciiTheme="majorHAnsi" w:hAnsiTheme="majorHAnsi" w:cstheme="majorHAnsi"/>
                <w:b/>
                <w:i/>
                <w:noProof w:val="0"/>
              </w:rPr>
            </w:pPr>
            <w:r>
              <w:rPr>
                <w:rFonts w:asciiTheme="majorHAnsi" w:hAnsiTheme="majorHAnsi" w:cstheme="majorHAnsi"/>
                <w:b/>
                <w:i/>
                <w:noProof w:val="0"/>
              </w:rPr>
              <w:t>Nu se aplică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4A2839" w:rsidP="002870C3">
            <w:pPr>
              <w:rPr>
                <w:rFonts w:asciiTheme="majorHAnsi" w:hAnsiTheme="majorHAnsi" w:cstheme="majorHAnsi"/>
                <w:b/>
                <w:i/>
                <w:noProof w:val="0"/>
              </w:rPr>
            </w:pPr>
            <w:r>
              <w:rPr>
                <w:rFonts w:asciiTheme="majorHAnsi" w:hAnsiTheme="majorHAnsi" w:cstheme="majorHAnsi"/>
                <w:b/>
                <w:i/>
                <w:noProof w:val="0"/>
              </w:rPr>
              <w:t xml:space="preserve">Primaria comunei Boghenii Noi </w:t>
            </w:r>
            <w:r w:rsidR="00C7088B">
              <w:rPr>
                <w:rFonts w:asciiTheme="majorHAnsi" w:hAnsiTheme="majorHAnsi" w:cstheme="majorHAnsi"/>
                <w:b/>
                <w:i/>
                <w:noProof w:val="0"/>
              </w:rPr>
              <w:t>r</w:t>
            </w:r>
            <w:r>
              <w:rPr>
                <w:rFonts w:asciiTheme="majorHAnsi" w:hAnsiTheme="majorHAnsi" w:cstheme="majorHAnsi"/>
                <w:b/>
                <w:i/>
                <w:noProof w:val="0"/>
              </w:rPr>
              <w:t>aionul Ungheni</w:t>
            </w:r>
          </w:p>
          <w:p w:rsidR="004A2839" w:rsidRPr="002870C3" w:rsidRDefault="004A2839" w:rsidP="002870C3">
            <w:pPr>
              <w:rPr>
                <w:rFonts w:asciiTheme="majorHAnsi" w:hAnsiTheme="majorHAnsi" w:cstheme="majorHAnsi"/>
                <w:b/>
                <w:i/>
                <w:noProof w:val="0"/>
              </w:rPr>
            </w:pPr>
            <w:r>
              <w:rPr>
                <w:rFonts w:asciiTheme="majorHAnsi" w:hAnsiTheme="majorHAnsi" w:cstheme="majorHAnsi"/>
                <w:b/>
                <w:i/>
                <w:noProof w:val="0"/>
              </w:rPr>
              <w:t>c/f 1007601001824</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A2839" w:rsidRDefault="004A2839" w:rsidP="004A2839">
            <w:pPr>
              <w:rPr>
                <w:rFonts w:asciiTheme="majorHAnsi" w:hAnsiTheme="majorHAnsi" w:cstheme="majorHAnsi"/>
                <w:b/>
                <w:i/>
                <w:noProof w:val="0"/>
              </w:rPr>
            </w:pPr>
            <w:r>
              <w:rPr>
                <w:rFonts w:asciiTheme="majorHAnsi" w:hAnsiTheme="majorHAnsi" w:cstheme="majorHAnsi"/>
                <w:b/>
                <w:i/>
                <w:noProof w:val="0"/>
              </w:rPr>
              <w:t xml:space="preserve">Primaria comunei Boghenii Noi </w:t>
            </w:r>
            <w:r w:rsidR="00C7088B">
              <w:rPr>
                <w:rFonts w:asciiTheme="majorHAnsi" w:hAnsiTheme="majorHAnsi" w:cstheme="majorHAnsi"/>
                <w:b/>
                <w:i/>
                <w:noProof w:val="0"/>
              </w:rPr>
              <w:t>r</w:t>
            </w:r>
            <w:r>
              <w:rPr>
                <w:rFonts w:asciiTheme="majorHAnsi" w:hAnsiTheme="majorHAnsi" w:cstheme="majorHAnsi"/>
                <w:b/>
                <w:i/>
                <w:noProof w:val="0"/>
              </w:rPr>
              <w:t>aionul Ungheni</w:t>
            </w:r>
          </w:p>
          <w:p w:rsidR="002870C3" w:rsidRPr="002870C3" w:rsidRDefault="004A2839" w:rsidP="004A2839">
            <w:pPr>
              <w:rPr>
                <w:rFonts w:asciiTheme="majorHAnsi" w:hAnsiTheme="majorHAnsi" w:cstheme="majorHAnsi"/>
                <w:b/>
                <w:i/>
                <w:noProof w:val="0"/>
              </w:rPr>
            </w:pPr>
            <w:r>
              <w:rPr>
                <w:rFonts w:asciiTheme="majorHAnsi" w:hAnsiTheme="majorHAnsi" w:cstheme="majorHAnsi"/>
                <w:b/>
                <w:i/>
                <w:noProof w:val="0"/>
              </w:rPr>
              <w:t>c/f 1007601001824</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7088B">
            <w:pPr>
              <w:rPr>
                <w:rFonts w:asciiTheme="majorHAnsi" w:hAnsiTheme="majorHAnsi" w:cstheme="majorHAnsi"/>
                <w:b/>
                <w:i/>
                <w:noProof w:val="0"/>
              </w:rPr>
            </w:pPr>
            <w:r w:rsidRPr="002870C3">
              <w:rPr>
                <w:rFonts w:asciiTheme="majorHAnsi" w:hAnsiTheme="majorHAnsi" w:cstheme="majorHAnsi"/>
                <w:b/>
                <w:i/>
                <w:noProof w:val="0"/>
              </w:rPr>
              <w:t xml:space="preserve">limba </w:t>
            </w:r>
            <w:r w:rsidR="00C7088B">
              <w:rPr>
                <w:rFonts w:asciiTheme="majorHAnsi" w:hAnsiTheme="majorHAnsi" w:cstheme="majorHAnsi"/>
                <w:b/>
                <w:i/>
                <w:noProof w:val="0"/>
              </w:rPr>
              <w:t>română</w:t>
            </w:r>
          </w:p>
        </w:tc>
      </w:tr>
      <w:tr w:rsidR="002870C3" w:rsidRPr="002870C3" w:rsidTr="004A283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544"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588"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C86F3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544" w:type="dxa"/>
            <w:tcBorders>
              <w:left w:val="single" w:sz="4" w:space="0" w:color="auto"/>
            </w:tcBorders>
            <w:shd w:val="clear" w:color="auto" w:fill="FFFFFF" w:themeFill="background1"/>
            <w:vAlign w:val="center"/>
          </w:tcPr>
          <w:p w:rsidR="002870C3" w:rsidRPr="002870C3" w:rsidRDefault="00C86F39" w:rsidP="00C7088B">
            <w:pPr>
              <w:jc w:val="both"/>
              <w:rPr>
                <w:rFonts w:asciiTheme="majorHAnsi" w:hAnsiTheme="majorHAnsi" w:cstheme="majorHAnsi"/>
                <w:b/>
                <w:i/>
                <w:noProof w:val="0"/>
              </w:rPr>
            </w:pPr>
            <w:r>
              <w:rPr>
                <w:rFonts w:ascii="Calibri Light" w:hAnsi="Calibri Light" w:cs="Calibri Light"/>
                <w:b/>
                <w:i/>
                <w:noProof w:val="0"/>
              </w:rPr>
              <w:t>SIA RSAP</w:t>
            </w:r>
            <w:r w:rsidR="00C7088B">
              <w:rPr>
                <w:rFonts w:ascii="Calibri Light" w:hAnsi="Calibri Light" w:cs="Calibri Light"/>
                <w:b/>
                <w:i/>
                <w:noProof w:val="0"/>
              </w:rPr>
              <w:t>MTender</w:t>
            </w:r>
          </w:p>
        </w:tc>
        <w:tc>
          <w:tcPr>
            <w:tcW w:w="1588"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4A283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544"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588"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4A283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544"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588"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4A283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544"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588"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4A2839" w:rsidP="002870C3">
            <w:pPr>
              <w:tabs>
                <w:tab w:val="right" w:pos="4743"/>
              </w:tabs>
              <w:rPr>
                <w:rFonts w:asciiTheme="majorHAnsi" w:hAnsiTheme="majorHAnsi" w:cstheme="majorHAnsi"/>
                <w:b/>
                <w:i/>
                <w:noProof w:val="0"/>
              </w:rPr>
            </w:pPr>
            <w:r>
              <w:rPr>
                <w:rFonts w:asciiTheme="majorHAnsi" w:hAnsiTheme="majorHAnsi" w:cstheme="majorHAnsi"/>
                <w:b/>
                <w:i/>
                <w:noProof w:val="0"/>
              </w:rPr>
              <w:t>Nu se aplică</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de ant</w:t>
            </w:r>
            <w:r w:rsidR="00D22051">
              <w:rPr>
                <w:rFonts w:asciiTheme="majorHAnsi" w:hAnsiTheme="majorHAnsi" w:cstheme="majorHAnsi"/>
                <w:b/>
                <w:i/>
                <w:noProof w:val="0"/>
              </w:rPr>
              <w:t xml:space="preserve">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693"/>
        <w:gridCol w:w="992"/>
        <w:gridCol w:w="992"/>
        <w:gridCol w:w="3402"/>
      </w:tblGrid>
      <w:tr w:rsidR="005E57E4" w:rsidRPr="005E57E4" w:rsidTr="004A2839">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4A2839">
        <w:trPr>
          <w:trHeight w:val="397"/>
        </w:trPr>
        <w:tc>
          <w:tcPr>
            <w:tcW w:w="534" w:type="dxa"/>
            <w:shd w:val="clear" w:color="auto" w:fill="auto"/>
            <w:vAlign w:val="center"/>
          </w:tcPr>
          <w:p w:rsidR="005E57E4" w:rsidRPr="004A2839" w:rsidRDefault="005E57E4" w:rsidP="005E57E4">
            <w:pPr>
              <w:ind w:left="-57" w:right="-57"/>
              <w:jc w:val="center"/>
              <w:rPr>
                <w:rFonts w:asciiTheme="majorHAnsi" w:hAnsiTheme="majorHAnsi" w:cstheme="majorHAnsi"/>
                <w:sz w:val="20"/>
                <w:szCs w:val="20"/>
              </w:rPr>
            </w:pPr>
          </w:p>
        </w:tc>
        <w:tc>
          <w:tcPr>
            <w:tcW w:w="1134" w:type="dxa"/>
            <w:shd w:val="clear" w:color="auto" w:fill="auto"/>
            <w:vAlign w:val="center"/>
          </w:tcPr>
          <w:p w:rsidR="005E57E4" w:rsidRPr="004A2839" w:rsidRDefault="005E57E4" w:rsidP="005E57E4">
            <w:pPr>
              <w:ind w:left="-57" w:right="-57"/>
              <w:jc w:val="center"/>
              <w:rPr>
                <w:rFonts w:asciiTheme="majorHAnsi" w:hAnsiTheme="majorHAnsi" w:cstheme="majorHAnsi"/>
                <w:sz w:val="20"/>
                <w:szCs w:val="20"/>
              </w:rPr>
            </w:pPr>
          </w:p>
        </w:tc>
        <w:tc>
          <w:tcPr>
            <w:tcW w:w="2693" w:type="dxa"/>
            <w:shd w:val="clear" w:color="auto" w:fill="auto"/>
            <w:vAlign w:val="center"/>
          </w:tcPr>
          <w:p w:rsidR="005E57E4" w:rsidRPr="004A2839" w:rsidRDefault="004A2839" w:rsidP="005E57E4">
            <w:pPr>
              <w:ind w:left="-57" w:right="-57"/>
              <w:jc w:val="center"/>
              <w:rPr>
                <w:rFonts w:asciiTheme="majorHAnsi" w:hAnsiTheme="majorHAnsi" w:cstheme="majorHAnsi"/>
                <w:b/>
                <w:sz w:val="20"/>
                <w:szCs w:val="20"/>
              </w:rPr>
            </w:pPr>
            <w:r w:rsidRPr="004A2839">
              <w:rPr>
                <w:rFonts w:asciiTheme="majorHAnsi" w:hAnsiTheme="majorHAnsi" w:cstheme="majorHAnsi"/>
                <w:b/>
                <w:i/>
                <w:sz w:val="20"/>
                <w:szCs w:val="20"/>
              </w:rPr>
              <w:t xml:space="preserve">Lot </w:t>
            </w:r>
            <w:r w:rsidR="00F679FF">
              <w:rPr>
                <w:rFonts w:asciiTheme="majorHAnsi" w:hAnsiTheme="majorHAnsi" w:cstheme="majorHAnsi"/>
                <w:b/>
                <w:i/>
                <w:sz w:val="20"/>
                <w:szCs w:val="20"/>
              </w:rPr>
              <w:t>1</w:t>
            </w:r>
          </w:p>
        </w:tc>
        <w:tc>
          <w:tcPr>
            <w:tcW w:w="992" w:type="dxa"/>
            <w:shd w:val="clear" w:color="auto" w:fill="auto"/>
            <w:vAlign w:val="center"/>
          </w:tcPr>
          <w:p w:rsidR="005E57E4" w:rsidRPr="004A2839" w:rsidRDefault="005E57E4" w:rsidP="005E57E4">
            <w:pPr>
              <w:ind w:left="-57" w:right="-57"/>
              <w:jc w:val="center"/>
              <w:rPr>
                <w:rFonts w:asciiTheme="majorHAnsi" w:hAnsiTheme="majorHAnsi" w:cstheme="majorHAnsi"/>
                <w:sz w:val="20"/>
                <w:szCs w:val="20"/>
              </w:rPr>
            </w:pPr>
          </w:p>
        </w:tc>
        <w:tc>
          <w:tcPr>
            <w:tcW w:w="992" w:type="dxa"/>
            <w:shd w:val="clear" w:color="auto" w:fill="auto"/>
            <w:vAlign w:val="center"/>
          </w:tcPr>
          <w:p w:rsidR="005E57E4" w:rsidRPr="004A2839" w:rsidRDefault="005E57E4" w:rsidP="005E57E4">
            <w:pPr>
              <w:ind w:left="-57" w:right="-57"/>
              <w:jc w:val="center"/>
              <w:rPr>
                <w:rFonts w:asciiTheme="majorHAnsi" w:hAnsiTheme="majorHAnsi" w:cstheme="majorHAnsi"/>
                <w:sz w:val="20"/>
                <w:szCs w:val="20"/>
              </w:rPr>
            </w:pPr>
          </w:p>
        </w:tc>
        <w:tc>
          <w:tcPr>
            <w:tcW w:w="3402" w:type="dxa"/>
            <w:shd w:val="clear" w:color="auto" w:fill="auto"/>
            <w:vAlign w:val="center"/>
          </w:tcPr>
          <w:p w:rsidR="005E57E4" w:rsidRPr="004A2839" w:rsidRDefault="005E57E4" w:rsidP="005E57E4">
            <w:pPr>
              <w:ind w:left="-57" w:right="-57"/>
              <w:jc w:val="center"/>
              <w:rPr>
                <w:rFonts w:asciiTheme="majorHAnsi" w:hAnsiTheme="majorHAnsi" w:cstheme="majorHAnsi"/>
                <w:sz w:val="20"/>
                <w:szCs w:val="20"/>
              </w:rPr>
            </w:pPr>
          </w:p>
        </w:tc>
      </w:tr>
      <w:tr w:rsidR="004A2839" w:rsidRPr="005E57E4" w:rsidTr="004A2839">
        <w:trPr>
          <w:trHeight w:val="397"/>
        </w:trPr>
        <w:tc>
          <w:tcPr>
            <w:tcW w:w="534" w:type="dxa"/>
            <w:shd w:val="clear" w:color="auto" w:fill="auto"/>
            <w:vAlign w:val="center"/>
          </w:tcPr>
          <w:p w:rsidR="004A2839" w:rsidRPr="004A2839" w:rsidRDefault="004A2839" w:rsidP="005E57E4">
            <w:pPr>
              <w:ind w:left="-57" w:right="-57"/>
              <w:jc w:val="center"/>
              <w:rPr>
                <w:rFonts w:asciiTheme="majorHAnsi" w:hAnsiTheme="majorHAnsi" w:cstheme="majorHAnsi"/>
                <w:sz w:val="20"/>
                <w:szCs w:val="20"/>
              </w:rPr>
            </w:pPr>
          </w:p>
        </w:tc>
        <w:tc>
          <w:tcPr>
            <w:tcW w:w="1134"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45247130-0</w:t>
            </w:r>
          </w:p>
        </w:tc>
        <w:tc>
          <w:tcPr>
            <w:tcW w:w="2693" w:type="dxa"/>
            <w:shd w:val="clear" w:color="auto" w:fill="auto"/>
            <w:vAlign w:val="center"/>
          </w:tcPr>
          <w:p w:rsidR="004A2839" w:rsidRPr="004A2839" w:rsidRDefault="004A2839"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Construirea rețelei de apeduct și a platformei turnului de apă în s.Mircești</w:t>
            </w:r>
          </w:p>
        </w:tc>
        <w:tc>
          <w:tcPr>
            <w:tcW w:w="99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Proiect</w:t>
            </w:r>
          </w:p>
        </w:tc>
        <w:tc>
          <w:tcPr>
            <w:tcW w:w="99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1</w:t>
            </w:r>
          </w:p>
        </w:tc>
        <w:tc>
          <w:tcPr>
            <w:tcW w:w="340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Conform caietului de sarcini</w:t>
            </w:r>
          </w:p>
        </w:tc>
      </w:tr>
      <w:tr w:rsidR="004A2839" w:rsidRPr="005E57E4" w:rsidTr="004A2839">
        <w:trPr>
          <w:trHeight w:val="397"/>
        </w:trPr>
        <w:tc>
          <w:tcPr>
            <w:tcW w:w="534" w:type="dxa"/>
            <w:shd w:val="clear" w:color="auto" w:fill="auto"/>
            <w:vAlign w:val="center"/>
          </w:tcPr>
          <w:p w:rsidR="004A2839" w:rsidRPr="004A2839" w:rsidRDefault="004A2839" w:rsidP="005E57E4">
            <w:pPr>
              <w:ind w:left="-57" w:right="-57"/>
              <w:jc w:val="center"/>
              <w:rPr>
                <w:rFonts w:asciiTheme="majorHAnsi" w:hAnsiTheme="majorHAnsi" w:cstheme="majorHAnsi"/>
                <w:sz w:val="20"/>
                <w:szCs w:val="20"/>
              </w:rPr>
            </w:pPr>
          </w:p>
        </w:tc>
        <w:tc>
          <w:tcPr>
            <w:tcW w:w="1134"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p>
        </w:tc>
        <w:tc>
          <w:tcPr>
            <w:tcW w:w="2693" w:type="dxa"/>
            <w:shd w:val="clear" w:color="auto" w:fill="auto"/>
            <w:vAlign w:val="center"/>
          </w:tcPr>
          <w:p w:rsidR="004A2839" w:rsidRDefault="004A2839"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 xml:space="preserve">Lot </w:t>
            </w:r>
            <w:r w:rsidR="00F679FF">
              <w:rPr>
                <w:rFonts w:asciiTheme="majorHAnsi" w:hAnsiTheme="majorHAnsi" w:cstheme="majorHAnsi"/>
                <w:b/>
                <w:i/>
                <w:sz w:val="20"/>
                <w:szCs w:val="20"/>
              </w:rPr>
              <w:t>2</w:t>
            </w:r>
          </w:p>
        </w:tc>
        <w:tc>
          <w:tcPr>
            <w:tcW w:w="99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p>
        </w:tc>
        <w:tc>
          <w:tcPr>
            <w:tcW w:w="99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p>
        </w:tc>
        <w:tc>
          <w:tcPr>
            <w:tcW w:w="340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p>
        </w:tc>
      </w:tr>
      <w:tr w:rsidR="004A2839" w:rsidRPr="005E57E4" w:rsidTr="004A2839">
        <w:trPr>
          <w:trHeight w:val="397"/>
        </w:trPr>
        <w:tc>
          <w:tcPr>
            <w:tcW w:w="534" w:type="dxa"/>
            <w:shd w:val="clear" w:color="auto" w:fill="auto"/>
            <w:vAlign w:val="center"/>
          </w:tcPr>
          <w:p w:rsidR="004A2839" w:rsidRPr="004A2839" w:rsidRDefault="004A2839" w:rsidP="005E57E4">
            <w:pPr>
              <w:ind w:left="-57" w:right="-57"/>
              <w:jc w:val="center"/>
              <w:rPr>
                <w:rFonts w:asciiTheme="majorHAnsi" w:hAnsiTheme="majorHAnsi" w:cstheme="majorHAnsi"/>
                <w:sz w:val="20"/>
                <w:szCs w:val="20"/>
              </w:rPr>
            </w:pPr>
          </w:p>
        </w:tc>
        <w:tc>
          <w:tcPr>
            <w:tcW w:w="1134"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45247130-0</w:t>
            </w:r>
          </w:p>
        </w:tc>
        <w:tc>
          <w:tcPr>
            <w:tcW w:w="2693" w:type="dxa"/>
            <w:shd w:val="clear" w:color="auto" w:fill="auto"/>
            <w:vAlign w:val="center"/>
          </w:tcPr>
          <w:p w:rsidR="004A2839" w:rsidRDefault="004A2839"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Construirea rețelei de apeduct  magistral și a platformei turnului de apă s.Mircești comuna Boghenii Noi</w:t>
            </w:r>
          </w:p>
        </w:tc>
        <w:tc>
          <w:tcPr>
            <w:tcW w:w="99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Proiect</w:t>
            </w:r>
          </w:p>
        </w:tc>
        <w:tc>
          <w:tcPr>
            <w:tcW w:w="99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1</w:t>
            </w:r>
          </w:p>
        </w:tc>
        <w:tc>
          <w:tcPr>
            <w:tcW w:w="340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Conform caietului de sarcini</w:t>
            </w:r>
          </w:p>
        </w:tc>
      </w:tr>
      <w:tr w:rsidR="004A2839" w:rsidRPr="005E57E4" w:rsidTr="004A2839">
        <w:trPr>
          <w:trHeight w:val="397"/>
        </w:trPr>
        <w:tc>
          <w:tcPr>
            <w:tcW w:w="534" w:type="dxa"/>
            <w:shd w:val="clear" w:color="auto" w:fill="auto"/>
            <w:vAlign w:val="center"/>
          </w:tcPr>
          <w:p w:rsidR="004A2839" w:rsidRDefault="004A2839" w:rsidP="005E57E4">
            <w:pPr>
              <w:ind w:left="-57" w:right="-57"/>
              <w:jc w:val="center"/>
              <w:rPr>
                <w:rFonts w:asciiTheme="majorHAnsi" w:hAnsiTheme="majorHAnsi" w:cstheme="majorHAnsi"/>
                <w:sz w:val="20"/>
                <w:szCs w:val="20"/>
              </w:rPr>
            </w:pPr>
          </w:p>
        </w:tc>
        <w:tc>
          <w:tcPr>
            <w:tcW w:w="1134"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2693" w:type="dxa"/>
            <w:shd w:val="clear" w:color="auto" w:fill="auto"/>
            <w:vAlign w:val="center"/>
          </w:tcPr>
          <w:p w:rsidR="004A2839" w:rsidRDefault="004A2839"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 xml:space="preserve">Lot </w:t>
            </w:r>
            <w:r w:rsidR="00F679FF">
              <w:rPr>
                <w:rFonts w:asciiTheme="majorHAnsi" w:hAnsiTheme="majorHAnsi" w:cstheme="majorHAnsi"/>
                <w:b/>
                <w:i/>
                <w:sz w:val="20"/>
                <w:szCs w:val="20"/>
              </w:rPr>
              <w:t>3</w:t>
            </w:r>
          </w:p>
        </w:tc>
        <w:tc>
          <w:tcPr>
            <w:tcW w:w="992"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992"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340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p>
        </w:tc>
      </w:tr>
      <w:tr w:rsidR="004A2839" w:rsidRPr="005E57E4" w:rsidTr="004A2839">
        <w:trPr>
          <w:trHeight w:val="397"/>
        </w:trPr>
        <w:tc>
          <w:tcPr>
            <w:tcW w:w="534" w:type="dxa"/>
            <w:shd w:val="clear" w:color="auto" w:fill="auto"/>
            <w:vAlign w:val="center"/>
          </w:tcPr>
          <w:p w:rsidR="004A2839" w:rsidRDefault="004A2839" w:rsidP="005E57E4">
            <w:pPr>
              <w:ind w:left="-57" w:right="-57"/>
              <w:jc w:val="center"/>
              <w:rPr>
                <w:rFonts w:asciiTheme="majorHAnsi" w:hAnsiTheme="majorHAnsi" w:cstheme="majorHAnsi"/>
                <w:sz w:val="20"/>
                <w:szCs w:val="20"/>
              </w:rPr>
            </w:pPr>
          </w:p>
        </w:tc>
        <w:tc>
          <w:tcPr>
            <w:tcW w:w="1134" w:type="dxa"/>
            <w:shd w:val="clear" w:color="auto" w:fill="auto"/>
            <w:vAlign w:val="center"/>
          </w:tcPr>
          <w:p w:rsidR="004A2839"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45247130-0</w:t>
            </w:r>
          </w:p>
        </w:tc>
        <w:tc>
          <w:tcPr>
            <w:tcW w:w="2693" w:type="dxa"/>
            <w:shd w:val="clear" w:color="auto" w:fill="auto"/>
            <w:vAlign w:val="center"/>
          </w:tcPr>
          <w:p w:rsidR="004A2839" w:rsidRDefault="00F679FF"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Construirea rețelei de apeduct s.Poiana Comuna Boghenii Noi</w:t>
            </w:r>
          </w:p>
        </w:tc>
        <w:tc>
          <w:tcPr>
            <w:tcW w:w="992" w:type="dxa"/>
            <w:shd w:val="clear" w:color="auto" w:fill="auto"/>
            <w:vAlign w:val="center"/>
          </w:tcPr>
          <w:p w:rsidR="004A2839"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Proiect</w:t>
            </w:r>
          </w:p>
        </w:tc>
        <w:tc>
          <w:tcPr>
            <w:tcW w:w="992" w:type="dxa"/>
            <w:shd w:val="clear" w:color="auto" w:fill="auto"/>
            <w:vAlign w:val="center"/>
          </w:tcPr>
          <w:p w:rsidR="004A2839"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1</w:t>
            </w:r>
          </w:p>
        </w:tc>
        <w:tc>
          <w:tcPr>
            <w:tcW w:w="340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Conform caietului de sarcini</w:t>
            </w:r>
          </w:p>
        </w:tc>
      </w:tr>
      <w:tr w:rsidR="004A2839" w:rsidRPr="005E57E4" w:rsidTr="004A2839">
        <w:trPr>
          <w:trHeight w:val="397"/>
        </w:trPr>
        <w:tc>
          <w:tcPr>
            <w:tcW w:w="534" w:type="dxa"/>
            <w:shd w:val="clear" w:color="auto" w:fill="auto"/>
            <w:vAlign w:val="center"/>
          </w:tcPr>
          <w:p w:rsidR="004A2839" w:rsidRDefault="004A2839" w:rsidP="005E57E4">
            <w:pPr>
              <w:ind w:left="-57" w:right="-57"/>
              <w:jc w:val="center"/>
              <w:rPr>
                <w:rFonts w:asciiTheme="majorHAnsi" w:hAnsiTheme="majorHAnsi" w:cstheme="majorHAnsi"/>
                <w:sz w:val="20"/>
                <w:szCs w:val="20"/>
              </w:rPr>
            </w:pPr>
          </w:p>
        </w:tc>
        <w:tc>
          <w:tcPr>
            <w:tcW w:w="1134"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2693" w:type="dxa"/>
            <w:shd w:val="clear" w:color="auto" w:fill="auto"/>
            <w:vAlign w:val="center"/>
          </w:tcPr>
          <w:p w:rsidR="004A2839" w:rsidRDefault="004A2839"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 xml:space="preserve">Lot </w:t>
            </w:r>
            <w:r w:rsidR="00F679FF">
              <w:rPr>
                <w:rFonts w:asciiTheme="majorHAnsi" w:hAnsiTheme="majorHAnsi" w:cstheme="majorHAnsi"/>
                <w:b/>
                <w:i/>
                <w:sz w:val="20"/>
                <w:szCs w:val="20"/>
              </w:rPr>
              <w:t>4</w:t>
            </w:r>
          </w:p>
        </w:tc>
        <w:tc>
          <w:tcPr>
            <w:tcW w:w="992"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992"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340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p>
        </w:tc>
      </w:tr>
      <w:tr w:rsidR="004A2839" w:rsidRPr="005E57E4" w:rsidTr="004A2839">
        <w:trPr>
          <w:trHeight w:val="397"/>
        </w:trPr>
        <w:tc>
          <w:tcPr>
            <w:tcW w:w="534" w:type="dxa"/>
            <w:shd w:val="clear" w:color="auto" w:fill="auto"/>
            <w:vAlign w:val="center"/>
          </w:tcPr>
          <w:p w:rsidR="004A2839" w:rsidRDefault="004A2839" w:rsidP="005E57E4">
            <w:pPr>
              <w:ind w:left="-57" w:right="-57"/>
              <w:jc w:val="center"/>
              <w:rPr>
                <w:rFonts w:asciiTheme="majorHAnsi" w:hAnsiTheme="majorHAnsi" w:cstheme="majorHAnsi"/>
                <w:sz w:val="20"/>
                <w:szCs w:val="20"/>
              </w:rPr>
            </w:pPr>
          </w:p>
        </w:tc>
        <w:tc>
          <w:tcPr>
            <w:tcW w:w="1134" w:type="dxa"/>
            <w:shd w:val="clear" w:color="auto" w:fill="auto"/>
            <w:vAlign w:val="center"/>
          </w:tcPr>
          <w:p w:rsidR="004A2839"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45247130-0</w:t>
            </w:r>
          </w:p>
        </w:tc>
        <w:tc>
          <w:tcPr>
            <w:tcW w:w="2693" w:type="dxa"/>
            <w:shd w:val="clear" w:color="auto" w:fill="auto"/>
            <w:vAlign w:val="center"/>
          </w:tcPr>
          <w:p w:rsidR="004A2839" w:rsidRDefault="00F679FF"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Construirea rețelei de apeduct s.Bumbăta</w:t>
            </w:r>
          </w:p>
        </w:tc>
        <w:tc>
          <w:tcPr>
            <w:tcW w:w="992" w:type="dxa"/>
            <w:shd w:val="clear" w:color="auto" w:fill="auto"/>
            <w:vAlign w:val="center"/>
          </w:tcPr>
          <w:p w:rsidR="004A2839"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Proiect</w:t>
            </w:r>
          </w:p>
        </w:tc>
        <w:tc>
          <w:tcPr>
            <w:tcW w:w="992" w:type="dxa"/>
            <w:shd w:val="clear" w:color="auto" w:fill="auto"/>
            <w:vAlign w:val="center"/>
          </w:tcPr>
          <w:p w:rsidR="004A2839"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1</w:t>
            </w:r>
          </w:p>
        </w:tc>
        <w:tc>
          <w:tcPr>
            <w:tcW w:w="340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Conform caietului de sarcini</w:t>
            </w:r>
          </w:p>
        </w:tc>
      </w:tr>
      <w:tr w:rsidR="004A2839" w:rsidRPr="005E57E4" w:rsidTr="004A2839">
        <w:trPr>
          <w:trHeight w:val="397"/>
        </w:trPr>
        <w:tc>
          <w:tcPr>
            <w:tcW w:w="534" w:type="dxa"/>
            <w:shd w:val="clear" w:color="auto" w:fill="auto"/>
            <w:vAlign w:val="center"/>
          </w:tcPr>
          <w:p w:rsidR="004A2839" w:rsidRDefault="004A2839" w:rsidP="005E57E4">
            <w:pPr>
              <w:ind w:left="-57" w:right="-57"/>
              <w:jc w:val="center"/>
              <w:rPr>
                <w:rFonts w:asciiTheme="majorHAnsi" w:hAnsiTheme="majorHAnsi" w:cstheme="majorHAnsi"/>
                <w:sz w:val="20"/>
                <w:szCs w:val="20"/>
              </w:rPr>
            </w:pPr>
          </w:p>
        </w:tc>
        <w:tc>
          <w:tcPr>
            <w:tcW w:w="1134"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2693" w:type="dxa"/>
            <w:shd w:val="clear" w:color="auto" w:fill="auto"/>
            <w:vAlign w:val="center"/>
          </w:tcPr>
          <w:p w:rsidR="004A2839" w:rsidRDefault="00F679FF"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Lot 5</w:t>
            </w:r>
          </w:p>
        </w:tc>
        <w:tc>
          <w:tcPr>
            <w:tcW w:w="992"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992" w:type="dxa"/>
            <w:shd w:val="clear" w:color="auto" w:fill="auto"/>
            <w:vAlign w:val="center"/>
          </w:tcPr>
          <w:p w:rsidR="004A2839" w:rsidRDefault="004A2839" w:rsidP="005E57E4">
            <w:pPr>
              <w:ind w:left="-57" w:right="-57"/>
              <w:jc w:val="center"/>
              <w:rPr>
                <w:rFonts w:asciiTheme="majorHAnsi" w:hAnsiTheme="majorHAnsi" w:cstheme="majorHAnsi"/>
                <w:b/>
                <w:sz w:val="20"/>
                <w:szCs w:val="20"/>
              </w:rPr>
            </w:pPr>
          </w:p>
        </w:tc>
        <w:tc>
          <w:tcPr>
            <w:tcW w:w="3402" w:type="dxa"/>
            <w:shd w:val="clear" w:color="auto" w:fill="auto"/>
            <w:vAlign w:val="center"/>
          </w:tcPr>
          <w:p w:rsidR="004A2839" w:rsidRPr="004A2839" w:rsidRDefault="004A2839" w:rsidP="005E57E4">
            <w:pPr>
              <w:ind w:left="-57" w:right="-57"/>
              <w:jc w:val="center"/>
              <w:rPr>
                <w:rFonts w:asciiTheme="majorHAnsi" w:hAnsiTheme="majorHAnsi" w:cstheme="majorHAnsi"/>
                <w:b/>
                <w:sz w:val="20"/>
                <w:szCs w:val="20"/>
              </w:rPr>
            </w:pPr>
          </w:p>
        </w:tc>
      </w:tr>
      <w:tr w:rsidR="00F679FF" w:rsidRPr="005E57E4" w:rsidTr="004A2839">
        <w:trPr>
          <w:trHeight w:val="397"/>
        </w:trPr>
        <w:tc>
          <w:tcPr>
            <w:tcW w:w="534" w:type="dxa"/>
            <w:shd w:val="clear" w:color="auto" w:fill="auto"/>
            <w:vAlign w:val="center"/>
          </w:tcPr>
          <w:p w:rsidR="00F679FF" w:rsidRDefault="00F679FF" w:rsidP="005E57E4">
            <w:pPr>
              <w:ind w:left="-57" w:right="-57"/>
              <w:jc w:val="center"/>
              <w:rPr>
                <w:rFonts w:asciiTheme="majorHAnsi" w:hAnsiTheme="majorHAnsi" w:cstheme="majorHAnsi"/>
                <w:sz w:val="20"/>
                <w:szCs w:val="20"/>
              </w:rPr>
            </w:pPr>
          </w:p>
        </w:tc>
        <w:tc>
          <w:tcPr>
            <w:tcW w:w="1134"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45247130-0</w:t>
            </w:r>
          </w:p>
        </w:tc>
        <w:tc>
          <w:tcPr>
            <w:tcW w:w="2693" w:type="dxa"/>
            <w:shd w:val="clear" w:color="auto" w:fill="auto"/>
            <w:vAlign w:val="center"/>
          </w:tcPr>
          <w:p w:rsidR="00F679FF" w:rsidRDefault="00F679FF"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Construirea rețelei de apeduct s.Teșcureni</w:t>
            </w: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Proiect</w:t>
            </w: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1</w:t>
            </w:r>
          </w:p>
        </w:tc>
        <w:tc>
          <w:tcPr>
            <w:tcW w:w="3402" w:type="dxa"/>
            <w:shd w:val="clear" w:color="auto" w:fill="auto"/>
            <w:vAlign w:val="center"/>
          </w:tcPr>
          <w:p w:rsidR="00F679FF" w:rsidRPr="004A2839" w:rsidRDefault="00F679FF"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Conform caietului de sarcini</w:t>
            </w:r>
          </w:p>
        </w:tc>
      </w:tr>
      <w:tr w:rsidR="00F679FF" w:rsidRPr="005E57E4" w:rsidTr="004A2839">
        <w:trPr>
          <w:trHeight w:val="397"/>
        </w:trPr>
        <w:tc>
          <w:tcPr>
            <w:tcW w:w="534" w:type="dxa"/>
            <w:shd w:val="clear" w:color="auto" w:fill="auto"/>
            <w:vAlign w:val="center"/>
          </w:tcPr>
          <w:p w:rsidR="00F679FF" w:rsidRDefault="00F679FF" w:rsidP="005E57E4">
            <w:pPr>
              <w:ind w:left="-57" w:right="-57"/>
              <w:jc w:val="center"/>
              <w:rPr>
                <w:rFonts w:asciiTheme="majorHAnsi" w:hAnsiTheme="majorHAnsi" w:cstheme="majorHAnsi"/>
                <w:sz w:val="20"/>
                <w:szCs w:val="20"/>
              </w:rPr>
            </w:pPr>
          </w:p>
        </w:tc>
        <w:tc>
          <w:tcPr>
            <w:tcW w:w="1134"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p>
        </w:tc>
        <w:tc>
          <w:tcPr>
            <w:tcW w:w="2693" w:type="dxa"/>
            <w:shd w:val="clear" w:color="auto" w:fill="auto"/>
            <w:vAlign w:val="center"/>
          </w:tcPr>
          <w:p w:rsidR="00F679FF" w:rsidRDefault="00F679FF"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Lot 6</w:t>
            </w: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p>
        </w:tc>
        <w:tc>
          <w:tcPr>
            <w:tcW w:w="3402" w:type="dxa"/>
            <w:shd w:val="clear" w:color="auto" w:fill="auto"/>
            <w:vAlign w:val="center"/>
          </w:tcPr>
          <w:p w:rsidR="00F679FF" w:rsidRPr="004A2839" w:rsidRDefault="00F679FF" w:rsidP="005E57E4">
            <w:pPr>
              <w:ind w:left="-57" w:right="-57"/>
              <w:jc w:val="center"/>
              <w:rPr>
                <w:rFonts w:asciiTheme="majorHAnsi" w:hAnsiTheme="majorHAnsi" w:cstheme="majorHAnsi"/>
                <w:b/>
                <w:sz w:val="20"/>
                <w:szCs w:val="20"/>
              </w:rPr>
            </w:pPr>
          </w:p>
        </w:tc>
      </w:tr>
      <w:tr w:rsidR="00F679FF" w:rsidRPr="005E57E4" w:rsidTr="004A2839">
        <w:trPr>
          <w:trHeight w:val="397"/>
        </w:trPr>
        <w:tc>
          <w:tcPr>
            <w:tcW w:w="534" w:type="dxa"/>
            <w:shd w:val="clear" w:color="auto" w:fill="auto"/>
            <w:vAlign w:val="center"/>
          </w:tcPr>
          <w:p w:rsidR="00F679FF" w:rsidRDefault="00F679FF" w:rsidP="005E57E4">
            <w:pPr>
              <w:ind w:left="-57" w:right="-57"/>
              <w:jc w:val="center"/>
              <w:rPr>
                <w:rFonts w:asciiTheme="majorHAnsi" w:hAnsiTheme="majorHAnsi" w:cstheme="majorHAnsi"/>
                <w:sz w:val="20"/>
                <w:szCs w:val="20"/>
              </w:rPr>
            </w:pPr>
          </w:p>
        </w:tc>
        <w:tc>
          <w:tcPr>
            <w:tcW w:w="1134"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45247130-0</w:t>
            </w:r>
          </w:p>
        </w:tc>
        <w:tc>
          <w:tcPr>
            <w:tcW w:w="2693" w:type="dxa"/>
            <w:shd w:val="clear" w:color="auto" w:fill="auto"/>
            <w:vAlign w:val="center"/>
          </w:tcPr>
          <w:p w:rsidR="00F679FF" w:rsidRDefault="00F679FF"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Construirea rețelei de apeduct s.Rădenii Vechi</w:t>
            </w: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Proiect</w:t>
            </w: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1</w:t>
            </w:r>
          </w:p>
        </w:tc>
        <w:tc>
          <w:tcPr>
            <w:tcW w:w="3402" w:type="dxa"/>
            <w:shd w:val="clear" w:color="auto" w:fill="auto"/>
            <w:vAlign w:val="center"/>
          </w:tcPr>
          <w:p w:rsidR="00F679FF" w:rsidRPr="004A2839" w:rsidRDefault="00F679FF"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Conform caietului de sarcini</w:t>
            </w:r>
          </w:p>
        </w:tc>
      </w:tr>
      <w:tr w:rsidR="00F679FF" w:rsidRPr="005E57E4" w:rsidTr="004A2839">
        <w:trPr>
          <w:trHeight w:val="397"/>
        </w:trPr>
        <w:tc>
          <w:tcPr>
            <w:tcW w:w="534" w:type="dxa"/>
            <w:shd w:val="clear" w:color="auto" w:fill="auto"/>
            <w:vAlign w:val="center"/>
          </w:tcPr>
          <w:p w:rsidR="00F679FF" w:rsidRDefault="00F679FF" w:rsidP="005E57E4">
            <w:pPr>
              <w:ind w:left="-57" w:right="-57"/>
              <w:jc w:val="center"/>
              <w:rPr>
                <w:rFonts w:asciiTheme="majorHAnsi" w:hAnsiTheme="majorHAnsi" w:cstheme="majorHAnsi"/>
                <w:sz w:val="20"/>
                <w:szCs w:val="20"/>
              </w:rPr>
            </w:pPr>
          </w:p>
        </w:tc>
        <w:tc>
          <w:tcPr>
            <w:tcW w:w="1134"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p>
        </w:tc>
        <w:tc>
          <w:tcPr>
            <w:tcW w:w="2693" w:type="dxa"/>
            <w:shd w:val="clear" w:color="auto" w:fill="auto"/>
            <w:vAlign w:val="center"/>
          </w:tcPr>
          <w:p w:rsidR="00F679FF" w:rsidRDefault="00F679FF"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Lot 7</w:t>
            </w: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p>
        </w:tc>
        <w:tc>
          <w:tcPr>
            <w:tcW w:w="3402" w:type="dxa"/>
            <w:shd w:val="clear" w:color="auto" w:fill="auto"/>
            <w:vAlign w:val="center"/>
          </w:tcPr>
          <w:p w:rsidR="00F679FF" w:rsidRPr="004A2839" w:rsidRDefault="00F679FF" w:rsidP="005E57E4">
            <w:pPr>
              <w:ind w:left="-57" w:right="-57"/>
              <w:jc w:val="center"/>
              <w:rPr>
                <w:rFonts w:asciiTheme="majorHAnsi" w:hAnsiTheme="majorHAnsi" w:cstheme="majorHAnsi"/>
                <w:b/>
                <w:sz w:val="20"/>
                <w:szCs w:val="20"/>
              </w:rPr>
            </w:pPr>
          </w:p>
        </w:tc>
      </w:tr>
      <w:tr w:rsidR="00F679FF" w:rsidRPr="005E57E4" w:rsidTr="004A2839">
        <w:trPr>
          <w:trHeight w:val="397"/>
        </w:trPr>
        <w:tc>
          <w:tcPr>
            <w:tcW w:w="534" w:type="dxa"/>
            <w:shd w:val="clear" w:color="auto" w:fill="auto"/>
            <w:vAlign w:val="center"/>
          </w:tcPr>
          <w:p w:rsidR="00F679FF" w:rsidRDefault="00F679FF" w:rsidP="005E57E4">
            <w:pPr>
              <w:ind w:left="-57" w:right="-57"/>
              <w:jc w:val="center"/>
              <w:rPr>
                <w:rFonts w:asciiTheme="majorHAnsi" w:hAnsiTheme="majorHAnsi" w:cstheme="majorHAnsi"/>
                <w:sz w:val="20"/>
                <w:szCs w:val="20"/>
              </w:rPr>
            </w:pPr>
          </w:p>
        </w:tc>
        <w:tc>
          <w:tcPr>
            <w:tcW w:w="1134"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45247130-0</w:t>
            </w:r>
          </w:p>
        </w:tc>
        <w:tc>
          <w:tcPr>
            <w:tcW w:w="2693" w:type="dxa"/>
            <w:shd w:val="clear" w:color="auto" w:fill="auto"/>
            <w:vAlign w:val="center"/>
          </w:tcPr>
          <w:p w:rsidR="00F679FF" w:rsidRDefault="00F679FF" w:rsidP="005E57E4">
            <w:pPr>
              <w:ind w:left="-57" w:right="-57"/>
              <w:jc w:val="center"/>
              <w:rPr>
                <w:rFonts w:asciiTheme="majorHAnsi" w:hAnsiTheme="majorHAnsi" w:cstheme="majorHAnsi"/>
                <w:b/>
                <w:i/>
                <w:sz w:val="20"/>
                <w:szCs w:val="20"/>
              </w:rPr>
            </w:pPr>
            <w:r>
              <w:rPr>
                <w:rFonts w:asciiTheme="majorHAnsi" w:hAnsiTheme="majorHAnsi" w:cstheme="majorHAnsi"/>
                <w:b/>
                <w:i/>
                <w:sz w:val="20"/>
                <w:szCs w:val="20"/>
              </w:rPr>
              <w:t>Construirea rețelei de apeduct s.Cornesti</w:t>
            </w: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Proiect</w:t>
            </w:r>
          </w:p>
        </w:tc>
        <w:tc>
          <w:tcPr>
            <w:tcW w:w="992" w:type="dxa"/>
            <w:shd w:val="clear" w:color="auto" w:fill="auto"/>
            <w:vAlign w:val="center"/>
          </w:tcPr>
          <w:p w:rsidR="00F679FF" w:rsidRDefault="00F679FF" w:rsidP="005E57E4">
            <w:pPr>
              <w:ind w:left="-57" w:right="-57"/>
              <w:jc w:val="center"/>
              <w:rPr>
                <w:rFonts w:asciiTheme="majorHAnsi" w:hAnsiTheme="majorHAnsi" w:cstheme="majorHAnsi"/>
                <w:b/>
                <w:sz w:val="20"/>
                <w:szCs w:val="20"/>
              </w:rPr>
            </w:pPr>
            <w:r>
              <w:rPr>
                <w:rFonts w:asciiTheme="majorHAnsi" w:hAnsiTheme="majorHAnsi" w:cstheme="majorHAnsi"/>
                <w:b/>
                <w:sz w:val="20"/>
                <w:szCs w:val="20"/>
              </w:rPr>
              <w:t>1</w:t>
            </w:r>
          </w:p>
        </w:tc>
        <w:tc>
          <w:tcPr>
            <w:tcW w:w="3402" w:type="dxa"/>
            <w:shd w:val="clear" w:color="auto" w:fill="auto"/>
            <w:vAlign w:val="center"/>
          </w:tcPr>
          <w:p w:rsidR="00F679FF" w:rsidRPr="004A2839" w:rsidRDefault="00F679FF" w:rsidP="005E57E4">
            <w:pPr>
              <w:ind w:left="-57" w:right="-57"/>
              <w:jc w:val="center"/>
              <w:rPr>
                <w:rFonts w:asciiTheme="majorHAnsi" w:hAnsiTheme="majorHAnsi" w:cstheme="majorHAnsi"/>
                <w:b/>
                <w:sz w:val="20"/>
                <w:szCs w:val="20"/>
              </w:rPr>
            </w:pPr>
            <w:r w:rsidRPr="004A2839">
              <w:rPr>
                <w:rFonts w:asciiTheme="majorHAnsi" w:hAnsiTheme="majorHAnsi" w:cstheme="majorHAnsi"/>
                <w:b/>
                <w:sz w:val="20"/>
                <w:szCs w:val="20"/>
              </w:rPr>
              <w:t>Conform caietului de sarcini</w:t>
            </w:r>
          </w:p>
        </w:tc>
      </w:tr>
    </w:tbl>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531004" w:rsidRPr="005D708F" w:rsidTr="0077101F">
        <w:tc>
          <w:tcPr>
            <w:tcW w:w="704" w:type="dxa"/>
          </w:tcPr>
          <w:p w:rsidR="00531004" w:rsidRPr="004225A2" w:rsidRDefault="00531004" w:rsidP="00944FF5">
            <w:pPr>
              <w:tabs>
                <w:tab w:val="left" w:pos="612"/>
              </w:tabs>
              <w:spacing w:before="120" w:after="120"/>
              <w:rPr>
                <w:iCs/>
              </w:rPr>
            </w:pPr>
            <w:r>
              <w:rPr>
                <w:iCs/>
              </w:rPr>
              <w:t>1</w:t>
            </w:r>
          </w:p>
        </w:tc>
        <w:tc>
          <w:tcPr>
            <w:tcW w:w="3968" w:type="dxa"/>
          </w:tcPr>
          <w:p w:rsidR="00531004" w:rsidRPr="00796D08" w:rsidRDefault="00531004" w:rsidP="00944FF5">
            <w:pPr>
              <w:tabs>
                <w:tab w:val="left" w:pos="612"/>
              </w:tabs>
              <w:spacing w:before="120" w:after="120"/>
              <w:rPr>
                <w:iCs/>
              </w:rPr>
            </w:pPr>
            <w:r>
              <w:rPr>
                <w:iCs/>
              </w:rPr>
              <w:t>Formularul Ofertei</w:t>
            </w:r>
          </w:p>
        </w:tc>
        <w:tc>
          <w:tcPr>
            <w:tcW w:w="3687" w:type="dxa"/>
          </w:tcPr>
          <w:p w:rsidR="00531004" w:rsidRPr="00796D08" w:rsidRDefault="00531004" w:rsidP="00944FF5">
            <w:pPr>
              <w:tabs>
                <w:tab w:val="left" w:pos="612"/>
              </w:tabs>
              <w:spacing w:before="120" w:after="120"/>
              <w:rPr>
                <w:iCs/>
                <w:lang w:val="en-US"/>
              </w:rPr>
            </w:pPr>
            <w:r>
              <w:rPr>
                <w:iCs/>
              </w:rPr>
              <w:t xml:space="preserve">Original. </w:t>
            </w:r>
            <w:r w:rsidRPr="00796D08">
              <w:rPr>
                <w:iCs/>
                <w:lang w:val="en-US"/>
              </w:rPr>
              <w:t>Formularul ofertei F3.1</w:t>
            </w:r>
            <w:r w:rsidRPr="00410DDD">
              <w:rPr>
                <w:iCs/>
                <w:lang w:val="en-US"/>
              </w:rPr>
              <w:t xml:space="preserve"> Confirmat</w:t>
            </w:r>
            <w:r>
              <w:rPr>
                <w:iCs/>
                <w:lang w:val="en-US"/>
              </w:rPr>
              <w:t xml:space="preserve"> </w:t>
            </w:r>
            <w:r w:rsidRPr="00410DDD">
              <w:rPr>
                <w:iCs/>
                <w:lang w:val="en-US"/>
              </w:rPr>
              <w:t xml:space="preserve"> prin semnătura și ștampila ofertantului</w:t>
            </w:r>
          </w:p>
        </w:tc>
        <w:tc>
          <w:tcPr>
            <w:tcW w:w="1417" w:type="dxa"/>
          </w:tcPr>
          <w:p w:rsidR="00531004" w:rsidRPr="00796D08" w:rsidRDefault="00531004" w:rsidP="00944FF5">
            <w:pPr>
              <w:tabs>
                <w:tab w:val="left" w:pos="612"/>
              </w:tabs>
              <w:spacing w:before="120" w:after="120"/>
              <w:rPr>
                <w:iCs/>
                <w:lang w:val="en-US"/>
              </w:rPr>
            </w:pPr>
            <w:r w:rsidRPr="00796D08">
              <w:rPr>
                <w:iCs/>
                <w:lang w:val="en-US"/>
              </w:rPr>
              <w:t>Da</w:t>
            </w:r>
          </w:p>
        </w:tc>
      </w:tr>
      <w:tr w:rsidR="00531004" w:rsidRPr="005D708F" w:rsidTr="0077101F">
        <w:tc>
          <w:tcPr>
            <w:tcW w:w="704" w:type="dxa"/>
          </w:tcPr>
          <w:p w:rsidR="00531004" w:rsidRPr="00796D08" w:rsidRDefault="00531004" w:rsidP="00944FF5">
            <w:pPr>
              <w:tabs>
                <w:tab w:val="left" w:pos="612"/>
              </w:tabs>
              <w:spacing w:before="120" w:after="120"/>
              <w:rPr>
                <w:iCs/>
                <w:lang w:val="en-US"/>
              </w:rPr>
            </w:pPr>
            <w:r w:rsidRPr="00796D08">
              <w:rPr>
                <w:iCs/>
                <w:lang w:val="en-US"/>
              </w:rPr>
              <w:t>2</w:t>
            </w:r>
          </w:p>
        </w:tc>
        <w:tc>
          <w:tcPr>
            <w:tcW w:w="3968" w:type="dxa"/>
          </w:tcPr>
          <w:p w:rsidR="00531004" w:rsidRPr="00410DDD" w:rsidRDefault="00531004" w:rsidP="00944FF5">
            <w:pPr>
              <w:tabs>
                <w:tab w:val="left" w:pos="612"/>
              </w:tabs>
              <w:spacing w:before="120" w:after="120"/>
              <w:rPr>
                <w:iCs/>
                <w:lang w:val="en-US"/>
              </w:rPr>
            </w:pPr>
            <w:r w:rsidRPr="00410DDD">
              <w:rPr>
                <w:iCs/>
                <w:lang w:val="en-US"/>
              </w:rPr>
              <w:t>Scrisoare de garantie bancara pentru ofertă 1%</w:t>
            </w:r>
          </w:p>
        </w:tc>
        <w:tc>
          <w:tcPr>
            <w:tcW w:w="3687" w:type="dxa"/>
          </w:tcPr>
          <w:p w:rsidR="00531004" w:rsidRPr="00796D08" w:rsidRDefault="00531004" w:rsidP="00944FF5">
            <w:pPr>
              <w:tabs>
                <w:tab w:val="left" w:pos="612"/>
              </w:tabs>
              <w:spacing w:before="120" w:after="120"/>
              <w:rPr>
                <w:iCs/>
                <w:lang w:val="en-US"/>
              </w:rPr>
            </w:pPr>
            <w:r w:rsidRPr="00796D08">
              <w:rPr>
                <w:iCs/>
                <w:lang w:val="en-US"/>
              </w:rPr>
              <w:t>Formularul F3.2 în original</w:t>
            </w:r>
            <w:r w:rsidRPr="00410DDD">
              <w:rPr>
                <w:iCs/>
                <w:lang w:val="en-US"/>
              </w:rPr>
              <w:t xml:space="preserve"> Confirmat</w:t>
            </w:r>
            <w:r>
              <w:rPr>
                <w:iCs/>
                <w:lang w:val="en-US"/>
              </w:rPr>
              <w:t xml:space="preserve"> </w:t>
            </w:r>
            <w:r w:rsidRPr="00410DDD">
              <w:rPr>
                <w:iCs/>
                <w:lang w:val="en-US"/>
              </w:rPr>
              <w:t xml:space="preserve"> prin semnătura și ștampila</w:t>
            </w:r>
            <w:r>
              <w:rPr>
                <w:iCs/>
                <w:lang w:val="en-US"/>
              </w:rPr>
              <w:t xml:space="preserve"> băncii</w:t>
            </w:r>
          </w:p>
        </w:tc>
        <w:tc>
          <w:tcPr>
            <w:tcW w:w="1417" w:type="dxa"/>
          </w:tcPr>
          <w:p w:rsidR="00531004" w:rsidRPr="00796D08" w:rsidRDefault="00531004" w:rsidP="00944FF5">
            <w:pPr>
              <w:tabs>
                <w:tab w:val="left" w:pos="612"/>
              </w:tabs>
              <w:spacing w:before="120" w:after="120"/>
              <w:rPr>
                <w:iCs/>
                <w:lang w:val="en-US"/>
              </w:rPr>
            </w:pPr>
            <w:r w:rsidRPr="00796D08">
              <w:rPr>
                <w:iCs/>
                <w:lang w:val="en-US"/>
              </w:rPr>
              <w:t>Da</w:t>
            </w:r>
          </w:p>
        </w:tc>
      </w:tr>
      <w:tr w:rsidR="00531004" w:rsidRPr="005D708F" w:rsidTr="0077101F">
        <w:tc>
          <w:tcPr>
            <w:tcW w:w="704" w:type="dxa"/>
          </w:tcPr>
          <w:p w:rsidR="00531004" w:rsidRPr="00796D08" w:rsidRDefault="00531004" w:rsidP="00944FF5">
            <w:pPr>
              <w:tabs>
                <w:tab w:val="left" w:pos="612"/>
              </w:tabs>
              <w:spacing w:before="120" w:after="120"/>
              <w:rPr>
                <w:iCs/>
              </w:rPr>
            </w:pPr>
            <w:r>
              <w:rPr>
                <w:iCs/>
              </w:rPr>
              <w:t>3</w:t>
            </w:r>
          </w:p>
        </w:tc>
        <w:tc>
          <w:tcPr>
            <w:tcW w:w="3968" w:type="dxa"/>
          </w:tcPr>
          <w:p w:rsidR="00531004" w:rsidRPr="00410DDD" w:rsidRDefault="00531004" w:rsidP="00944FF5">
            <w:pPr>
              <w:tabs>
                <w:tab w:val="left" w:pos="612"/>
              </w:tabs>
              <w:spacing w:before="120" w:after="120"/>
              <w:rPr>
                <w:iCs/>
              </w:rPr>
            </w:pPr>
            <w:r>
              <w:rPr>
                <w:iCs/>
              </w:rPr>
              <w:t>DUAE</w:t>
            </w:r>
          </w:p>
        </w:tc>
        <w:tc>
          <w:tcPr>
            <w:tcW w:w="3687" w:type="dxa"/>
          </w:tcPr>
          <w:p w:rsidR="00531004" w:rsidRPr="00410DDD" w:rsidRDefault="00531004" w:rsidP="00944FF5">
            <w:pPr>
              <w:tabs>
                <w:tab w:val="left" w:pos="612"/>
              </w:tabs>
              <w:spacing w:before="120" w:after="120"/>
              <w:rPr>
                <w:iCs/>
                <w:lang w:val="en-US"/>
              </w:rPr>
            </w:pPr>
            <w:r>
              <w:rPr>
                <w:iCs/>
                <w:lang w:val="en-US"/>
              </w:rPr>
              <w:t xml:space="preserve">Original. </w:t>
            </w:r>
            <w:r w:rsidRPr="00410DDD">
              <w:rPr>
                <w:iCs/>
                <w:lang w:val="en-US"/>
              </w:rPr>
              <w:t>Confirmat</w:t>
            </w:r>
            <w:r>
              <w:rPr>
                <w:iCs/>
                <w:lang w:val="en-US"/>
              </w:rPr>
              <w:t xml:space="preserve"> </w:t>
            </w:r>
            <w:r w:rsidRPr="00410DDD">
              <w:rPr>
                <w:iCs/>
                <w:lang w:val="en-US"/>
              </w:rPr>
              <w:t xml:space="preserve"> prin semnătura și ștampila ofertantului</w:t>
            </w:r>
          </w:p>
        </w:tc>
        <w:tc>
          <w:tcPr>
            <w:tcW w:w="1417" w:type="dxa"/>
          </w:tcPr>
          <w:p w:rsidR="00531004" w:rsidRPr="00796D08" w:rsidRDefault="00531004" w:rsidP="00944FF5">
            <w:pPr>
              <w:tabs>
                <w:tab w:val="left" w:pos="612"/>
              </w:tabs>
              <w:spacing w:before="120" w:after="120"/>
              <w:rPr>
                <w:iCs/>
                <w:lang w:val="en-US"/>
              </w:rPr>
            </w:pPr>
            <w:r w:rsidRPr="00796D08">
              <w:rPr>
                <w:iCs/>
                <w:lang w:val="en-US"/>
              </w:rPr>
              <w:t>Da</w:t>
            </w:r>
          </w:p>
        </w:tc>
      </w:tr>
      <w:tr w:rsidR="00531004" w:rsidRPr="00796D08" w:rsidTr="00C7088B">
        <w:tc>
          <w:tcPr>
            <w:tcW w:w="704" w:type="dxa"/>
          </w:tcPr>
          <w:p w:rsidR="00531004" w:rsidRPr="00796D08" w:rsidRDefault="00531004" w:rsidP="00944FF5">
            <w:pPr>
              <w:tabs>
                <w:tab w:val="left" w:pos="612"/>
              </w:tabs>
              <w:spacing w:before="120" w:after="120"/>
              <w:rPr>
                <w:iCs/>
                <w:lang w:val="en-US"/>
              </w:rPr>
            </w:pPr>
            <w:r>
              <w:rPr>
                <w:iCs/>
                <w:lang w:val="en-US"/>
              </w:rPr>
              <w:t>4</w:t>
            </w:r>
          </w:p>
        </w:tc>
        <w:tc>
          <w:tcPr>
            <w:tcW w:w="3968" w:type="dxa"/>
          </w:tcPr>
          <w:p w:rsidR="00531004" w:rsidRPr="00796D08" w:rsidRDefault="00531004" w:rsidP="00944FF5">
            <w:pPr>
              <w:tabs>
                <w:tab w:val="left" w:pos="612"/>
              </w:tabs>
              <w:spacing w:before="120" w:after="120"/>
              <w:rPr>
                <w:iCs/>
                <w:lang w:val="en-US"/>
              </w:rPr>
            </w:pPr>
            <w:r w:rsidRPr="00796D08">
              <w:rPr>
                <w:iCs/>
                <w:lang w:val="en-US"/>
              </w:rPr>
              <w:t>Deviz</w:t>
            </w:r>
            <w:r>
              <w:rPr>
                <w:iCs/>
                <w:lang w:val="en-US"/>
              </w:rPr>
              <w:t>e</w:t>
            </w:r>
            <w:r w:rsidRPr="00796D08">
              <w:rPr>
                <w:iCs/>
                <w:lang w:val="en-US"/>
              </w:rPr>
              <w:t xml:space="preserve"> de cheltueli</w:t>
            </w:r>
          </w:p>
        </w:tc>
        <w:tc>
          <w:tcPr>
            <w:tcW w:w="3687" w:type="dxa"/>
          </w:tcPr>
          <w:p w:rsidR="00531004" w:rsidRPr="00410DDD" w:rsidRDefault="00531004" w:rsidP="00944FF5">
            <w:pPr>
              <w:tabs>
                <w:tab w:val="left" w:pos="612"/>
              </w:tabs>
              <w:spacing w:before="120" w:after="120"/>
              <w:rPr>
                <w:iCs/>
                <w:lang w:val="en-US"/>
              </w:rPr>
            </w:pPr>
            <w:r w:rsidRPr="00410DDD">
              <w:rPr>
                <w:iCs/>
                <w:lang w:val="en-US"/>
              </w:rPr>
              <w:t>Original.Conform F3.F5,F7 confirmat prin semnătura și ștampila ofertantului</w:t>
            </w:r>
          </w:p>
        </w:tc>
        <w:tc>
          <w:tcPr>
            <w:tcW w:w="1417" w:type="dxa"/>
          </w:tcPr>
          <w:p w:rsidR="00531004" w:rsidRPr="00796D08" w:rsidRDefault="00531004" w:rsidP="00944FF5">
            <w:pPr>
              <w:tabs>
                <w:tab w:val="left" w:pos="612"/>
              </w:tabs>
              <w:spacing w:before="120" w:after="120"/>
              <w:rPr>
                <w:iCs/>
                <w:lang w:val="en-US"/>
              </w:rPr>
            </w:pPr>
            <w:r w:rsidRPr="00796D08">
              <w:rPr>
                <w:iCs/>
                <w:lang w:val="en-US"/>
              </w:rPr>
              <w:t>Da</w:t>
            </w:r>
          </w:p>
        </w:tc>
      </w:tr>
    </w:tbl>
    <w:p w:rsidR="0036679B" w:rsidRDefault="0036679B" w:rsidP="0036679B">
      <w:pPr>
        <w:pStyle w:val="2"/>
        <w:keepNext w:val="0"/>
        <w:keepLines w:val="0"/>
        <w:tabs>
          <w:tab w:val="left" w:pos="360"/>
        </w:tabs>
        <w:spacing w:before="0"/>
        <w:ind w:left="2520"/>
        <w:jc w:val="center"/>
        <w:rPr>
          <w:rFonts w:cstheme="majorHAnsi"/>
          <w:sz w:val="24"/>
          <w:szCs w:val="24"/>
        </w:rPr>
      </w:pPr>
      <w:bookmarkStart w:id="169" w:name="_Toc392180193"/>
      <w:bookmarkStart w:id="170" w:name="_Toc449539081"/>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r w:rsidRPr="005D708F">
        <w:rPr>
          <w:rFonts w:cstheme="majorHAnsi"/>
          <w:sz w:val="24"/>
          <w:szCs w:val="24"/>
        </w:rPr>
        <w:lastRenderedPageBreak/>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____</w:t>
            </w:r>
            <w:r w:rsidR="006E61A4">
              <w:rPr>
                <w:rFonts w:asciiTheme="majorHAnsi" w:hAnsiTheme="majorHAnsi" w:cstheme="majorHAnsi"/>
                <w:b/>
                <w:i/>
                <w:u w:val="single"/>
              </w:rPr>
              <w:t>1</w:t>
            </w:r>
            <w:r w:rsidRPr="005D708F">
              <w:rPr>
                <w:rFonts w:asciiTheme="majorHAnsi" w:hAnsiTheme="majorHAnsi" w:cstheme="majorHAnsi"/>
                <w:b/>
                <w:i/>
              </w:rPr>
              <w:t xml:space="preserve">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36679B" w:rsidP="0036679B">
            <w:pPr>
              <w:tabs>
                <w:tab w:val="left" w:pos="372"/>
              </w:tabs>
              <w:suppressAutoHyphens/>
              <w:rPr>
                <w:rFonts w:asciiTheme="majorHAnsi" w:hAnsiTheme="majorHAnsi" w:cstheme="majorHAnsi"/>
                <w:b/>
                <w:i/>
              </w:rPr>
            </w:pPr>
            <w:r>
              <w:rPr>
                <w:rFonts w:asciiTheme="majorHAnsi" w:hAnsiTheme="majorHAnsi" w:cstheme="majorHAnsi"/>
                <w:b/>
                <w:i/>
              </w:rPr>
              <w:t>Conform alocațiilor bugetare anuale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E61A4" w:rsidP="001F6E5A">
            <w:pPr>
              <w:tabs>
                <w:tab w:val="left" w:pos="372"/>
              </w:tabs>
              <w:suppressAutoHyphens/>
              <w:rPr>
                <w:rFonts w:asciiTheme="majorHAnsi" w:hAnsiTheme="majorHAnsi" w:cstheme="majorHAnsi"/>
                <w:b/>
                <w:i/>
              </w:rPr>
            </w:pPr>
            <w:r>
              <w:rPr>
                <w:rFonts w:asciiTheme="majorHAnsi" w:hAnsiTheme="majorHAnsi" w:cstheme="majorHAnsi"/>
                <w:b/>
                <w:i/>
              </w:rPr>
              <w:t>raionul Ungheni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6E61A4"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30 zile de la primirea facturilor fiscale si a proceselor verbale de</w:t>
            </w:r>
            <w:r w:rsidR="00531004">
              <w:rPr>
                <w:rFonts w:asciiTheme="majorHAnsi" w:hAnsiTheme="majorHAnsi" w:cstheme="majorHAnsi"/>
                <w:i/>
                <w:spacing w:val="-4"/>
              </w:rPr>
              <w:t xml:space="preserve"> </w:t>
            </w:r>
            <w:r>
              <w:rPr>
                <w:rFonts w:asciiTheme="majorHAnsi" w:hAnsiTheme="majorHAnsi" w:cstheme="majorHAnsi"/>
                <w:i/>
                <w:spacing w:val="-4"/>
              </w:rPr>
              <w:t>îndeplinire a lucrarilor</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___</w:t>
            </w:r>
            <w:r w:rsidR="006E61A4">
              <w:rPr>
                <w:rFonts w:asciiTheme="majorHAnsi" w:hAnsiTheme="majorHAnsi" w:cstheme="majorHAnsi"/>
                <w:i/>
                <w:spacing w:val="-4"/>
                <w:u w:val="single"/>
              </w:rPr>
              <w:t xml:space="preserve">60   </w:t>
            </w:r>
            <w:r w:rsidR="006E61A4">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 xml:space="preserve"> 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lastRenderedPageBreak/>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6E61A4" w:rsidP="001F6E5A">
            <w:pPr>
              <w:rPr>
                <w:rFonts w:asciiTheme="majorHAnsi" w:hAnsiTheme="majorHAnsi" w:cstheme="majorHAnsi"/>
                <w:i/>
              </w:rPr>
            </w:pPr>
            <w:r>
              <w:rPr>
                <w:rFonts w:asciiTheme="majorHAnsi" w:hAnsiTheme="majorHAnsi" w:cstheme="majorHAnsi"/>
                <w:i/>
                <w:spacing w:val="-4"/>
              </w:rPr>
              <w:t>SIA RSAP</w:t>
            </w:r>
            <w:r w:rsidR="00531004">
              <w:rPr>
                <w:rFonts w:asciiTheme="majorHAnsi" w:hAnsiTheme="majorHAnsi" w:cstheme="majorHAnsi"/>
                <w:i/>
                <w:spacing w:val="-4"/>
              </w:rPr>
              <w:t xml:space="preserve"> MTender</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6E61A4" w:rsidP="001F6E5A">
            <w:pPr>
              <w:jc w:val="both"/>
              <w:rPr>
                <w:rFonts w:asciiTheme="majorHAnsi" w:hAnsiTheme="majorHAnsi" w:cstheme="majorHAnsi"/>
                <w:i/>
              </w:rPr>
            </w:pPr>
            <w:r>
              <w:rPr>
                <w:rFonts w:asciiTheme="majorHAnsi" w:hAnsiTheme="majorHAnsi" w:cstheme="majorHAnsi"/>
                <w:i/>
                <w:spacing w:val="-4"/>
              </w:rPr>
              <w:t>Informația o găsiți în SIA RSAP</w:t>
            </w:r>
            <w:r w:rsidR="00531004">
              <w:rPr>
                <w:rFonts w:asciiTheme="majorHAnsi" w:hAnsiTheme="majorHAnsi" w:cstheme="majorHAnsi"/>
                <w:i/>
                <w:spacing w:val="-4"/>
              </w:rPr>
              <w:t xml:space="preserve"> MTender </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w:t>
            </w:r>
            <w:r w:rsidR="0036679B">
              <w:rPr>
                <w:rFonts w:asciiTheme="majorHAnsi" w:hAnsiTheme="majorHAnsi" w:cstheme="majorHAnsi"/>
                <w:i/>
                <w:spacing w:val="-4"/>
              </w:rPr>
              <w:t>RSAP MTender)</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Ofertanţii sau reprezentanţii acestora au dreptul să participe la deschiderea ofertelor, cu excepţia cazului cînd ofertele au fost depuse prin SIA </w:t>
            </w:r>
            <w:r w:rsidR="00531004">
              <w:rPr>
                <w:rFonts w:asciiTheme="majorHAnsi" w:hAnsiTheme="majorHAnsi" w:cstheme="majorHAnsi"/>
                <w:i/>
                <w:spacing w:val="-4"/>
              </w:rPr>
              <w:t>RSAP MTender</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E61A4"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E61A4"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E61A4" w:rsidP="001F6E5A">
            <w:pPr>
              <w:tabs>
                <w:tab w:val="right" w:pos="4743"/>
              </w:tabs>
              <w:jc w:val="both"/>
              <w:rPr>
                <w:rFonts w:asciiTheme="majorHAnsi" w:hAnsiTheme="majorHAnsi" w:cstheme="majorHAnsi"/>
                <w:i/>
                <w:iCs/>
              </w:rPr>
            </w:pPr>
            <w:r>
              <w:rPr>
                <w:rFonts w:asciiTheme="majorHAnsi" w:hAnsiTheme="majorHAnsi" w:cstheme="majorHAnsi"/>
                <w:b/>
                <w:i/>
                <w:iCs/>
              </w:rPr>
              <w:t>Data deschiderii Ofertelor</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E61A4" w:rsidP="001F6E5A">
            <w:pPr>
              <w:tabs>
                <w:tab w:val="right" w:pos="4743"/>
              </w:tabs>
              <w:jc w:val="both"/>
              <w:rPr>
                <w:rFonts w:asciiTheme="majorHAnsi" w:hAnsiTheme="majorHAnsi" w:cstheme="majorHAnsi"/>
                <w:b/>
                <w:i/>
                <w:iCs/>
              </w:rPr>
            </w:pPr>
            <w:r>
              <w:rPr>
                <w:rFonts w:asciiTheme="majorHAnsi" w:hAnsiTheme="majorHAnsi" w:cstheme="majorHAnsi"/>
                <w:b/>
                <w:i/>
                <w:iCs/>
              </w:rPr>
              <w:t>Pe loturi</w:t>
            </w:r>
            <w:r w:rsidR="00A20ACF"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E63C7" w:rsidP="001F6E5A">
            <w:pPr>
              <w:tabs>
                <w:tab w:val="right" w:pos="4743"/>
              </w:tabs>
              <w:jc w:val="both"/>
              <w:rPr>
                <w:rFonts w:asciiTheme="majorHAnsi" w:hAnsiTheme="majorHAnsi" w:cstheme="majorHAnsi"/>
                <w:b/>
                <w:i/>
                <w:iCs/>
              </w:rPr>
            </w:pPr>
            <w:r>
              <w:rPr>
                <w:rFonts w:asciiTheme="majorHAnsi" w:hAnsiTheme="majorHAnsi" w:cstheme="majorHAnsi"/>
                <w:b/>
                <w:i/>
                <w:iCs/>
              </w:rPr>
              <w:t>Nu se aplică</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E63C7"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 xml:space="preserve">Cel mai </w:t>
            </w:r>
            <w:r w:rsidR="0036679B">
              <w:rPr>
                <w:rFonts w:asciiTheme="majorHAnsi" w:hAnsiTheme="majorHAnsi" w:cstheme="majorHAnsi"/>
                <w:b/>
                <w:i/>
                <w:color w:val="000000" w:themeColor="text1"/>
              </w:rPr>
              <w:t>mic</w:t>
            </w:r>
            <w:r>
              <w:rPr>
                <w:rFonts w:asciiTheme="majorHAnsi" w:hAnsiTheme="majorHAnsi" w:cstheme="majorHAnsi"/>
                <w:b/>
                <w:i/>
                <w:color w:val="000000" w:themeColor="text1"/>
              </w:rPr>
              <w:t xml:space="preserve"> preț</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 xml:space="preserve">Suma Garanţiei de bună execuţie (se stabileşte procentual din preţul </w:t>
            </w:r>
            <w:r w:rsidRPr="005D708F">
              <w:rPr>
                <w:rFonts w:asciiTheme="majorHAnsi" w:hAnsiTheme="majorHAnsi" w:cstheme="majorHAnsi"/>
                <w:color w:val="000000" w:themeColor="text1"/>
                <w:szCs w:val="24"/>
                <w:lang w:val="ro-RO"/>
              </w:rPr>
              <w:lastRenderedPageBreak/>
              <w:t>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lastRenderedPageBreak/>
              <w:t>__</w:t>
            </w:r>
            <w:r w:rsidR="00AE63C7">
              <w:rPr>
                <w:rFonts w:asciiTheme="majorHAnsi" w:hAnsiTheme="majorHAnsi" w:cstheme="majorHAnsi"/>
                <w:b/>
                <w:i/>
                <w:color w:val="000000" w:themeColor="text1"/>
                <w:u w:val="single"/>
              </w:rPr>
              <w:t>5</w:t>
            </w:r>
            <w:r w:rsidRPr="005D708F">
              <w:rPr>
                <w:rFonts w:asciiTheme="majorHAnsi" w:hAnsiTheme="majorHAnsi" w:cstheme="majorHAnsi"/>
                <w:b/>
                <w:i/>
                <w:color w:val="000000" w:themeColor="text1"/>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E63C7" w:rsidP="001F6E5A">
            <w:pPr>
              <w:tabs>
                <w:tab w:val="right" w:pos="4743"/>
              </w:tabs>
              <w:jc w:val="both"/>
              <w:rPr>
                <w:rFonts w:asciiTheme="majorHAnsi" w:hAnsiTheme="majorHAnsi" w:cstheme="majorHAnsi"/>
                <w:b/>
                <w:i/>
                <w:iCs/>
                <w:color w:val="FF0000"/>
              </w:rPr>
            </w:pPr>
            <w:r>
              <w:rPr>
                <w:rFonts w:asciiTheme="majorHAnsi" w:hAnsiTheme="majorHAnsi" w:cstheme="majorHAnsi"/>
                <w:b/>
                <w:i/>
                <w:spacing w:val="-2"/>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i/>
              </w:rPr>
              <w:t>____</w:t>
            </w:r>
            <w:r w:rsidR="00AE63C7">
              <w:rPr>
                <w:rFonts w:asciiTheme="majorHAnsi" w:hAnsiTheme="majorHAnsi" w:cstheme="majorHAnsi"/>
                <w:i/>
                <w:u w:val="single"/>
              </w:rPr>
              <w:t>10</w:t>
            </w:r>
            <w:r w:rsidRPr="005D708F">
              <w:rPr>
                <w:rFonts w:asciiTheme="majorHAnsi" w:hAnsiTheme="majorHAnsi" w:cstheme="majorHAnsi"/>
                <w:i/>
              </w:rPr>
              <w:t>_________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30652C" w:rsidRDefault="00A20ACF" w:rsidP="0036679B">
      <w:pPr>
        <w:tabs>
          <w:tab w:val="decimal" w:pos="8364"/>
        </w:tabs>
        <w:spacing w:line="276" w:lineRule="auto"/>
        <w:ind w:left="-142" w:right="-144"/>
      </w:pPr>
      <w:r w:rsidRPr="005D708F">
        <w:rPr>
          <w:rFonts w:asciiTheme="majorHAnsi" w:hAnsiTheme="majorHAnsi" w:cstheme="majorHAnsi"/>
          <w:b/>
          <w:bCs/>
          <w:color w:val="000000"/>
        </w:rPr>
        <w:t>Conducătorul grupului de lucru: _________________________</w:t>
      </w:r>
      <w:r w:rsidR="0036679B">
        <w:rPr>
          <w:rFonts w:asciiTheme="majorHAnsi" w:hAnsiTheme="majorHAnsi" w:cstheme="majorHAnsi"/>
          <w:b/>
          <w:bCs/>
          <w:color w:val="000000"/>
        </w:rPr>
        <w:t xml:space="preserve"> Gheorghe FILIPOVICI</w:t>
      </w: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lastRenderedPageBreak/>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563C31" w:rsidP="00460653">
                  <w:pPr>
                    <w:pStyle w:val="ab"/>
                    <w:ind w:left="1134"/>
                    <w:rPr>
                      <w:b w:val="0"/>
                      <w:lang w:val="ro-RO"/>
                    </w:rPr>
                  </w:pPr>
                  <w:r w:rsidRPr="00563C31">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C7088B" w:rsidRDefault="00C7088B"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9" o:title=""/>
                                  </v:shape>
                                  <o:OLEObject Type="Embed" ProgID="Word.Picture.8" ShapeID="_x0000_i1025" DrawAspect="Content" ObjectID="_1634643442"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3300CD">
              <w:rPr>
                <w:b/>
                <w:lang w:val="ro-RO"/>
              </w:rPr>
              <w:t xml:space="preserve">10 </w:t>
            </w:r>
            <w:r w:rsidRPr="0030652C">
              <w:rPr>
                <w:lang w:val="ro-RO"/>
              </w:rPr>
              <w:t xml:space="preserve">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bookmarkStart w:id="228" w:name="_GoBack"/>
            <w:bookmarkEnd w:id="228"/>
          </w:p>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04" w:rsidRDefault="00EF2204" w:rsidP="00A20ACF">
      <w:r>
        <w:separator/>
      </w:r>
    </w:p>
  </w:endnote>
  <w:endnote w:type="continuationSeparator" w:id="0">
    <w:p w:rsidR="00EF2204" w:rsidRDefault="00EF2204"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8B" w:rsidRDefault="00C7088B" w:rsidP="001F6E5A">
    <w:pPr>
      <w:pStyle w:val="a4"/>
      <w:jc w:val="center"/>
    </w:pPr>
    <w:fldSimple w:instr=" PAGE   \* MERGEFORMAT ">
      <w:r w:rsidR="00513A71">
        <w:t>47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8B" w:rsidRDefault="00C7088B" w:rsidP="001F6E5A">
    <w:pPr>
      <w:pStyle w:val="a4"/>
      <w:jc w:val="center"/>
    </w:pPr>
    <w:fldSimple w:instr=" PAGE   \* MERGEFORMAT ">
      <w: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8B" w:rsidRDefault="00C708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04" w:rsidRDefault="00EF2204" w:rsidP="00A20ACF">
      <w:r>
        <w:separator/>
      </w:r>
    </w:p>
  </w:footnote>
  <w:footnote w:type="continuationSeparator" w:id="0">
    <w:p w:rsidR="00EF2204" w:rsidRDefault="00EF2204"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C60A8"/>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00CD"/>
    <w:rsid w:val="003317BE"/>
    <w:rsid w:val="00341210"/>
    <w:rsid w:val="0035258F"/>
    <w:rsid w:val="0036679B"/>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2839"/>
    <w:rsid w:val="004A7FEE"/>
    <w:rsid w:val="004B0F2F"/>
    <w:rsid w:val="004B349A"/>
    <w:rsid w:val="004B36EF"/>
    <w:rsid w:val="004C2956"/>
    <w:rsid w:val="004C30A2"/>
    <w:rsid w:val="004D2738"/>
    <w:rsid w:val="004D4433"/>
    <w:rsid w:val="004E1B4E"/>
    <w:rsid w:val="004E625D"/>
    <w:rsid w:val="004F7FF9"/>
    <w:rsid w:val="005024AB"/>
    <w:rsid w:val="00513A71"/>
    <w:rsid w:val="00523447"/>
    <w:rsid w:val="00531004"/>
    <w:rsid w:val="00546E60"/>
    <w:rsid w:val="00563C31"/>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6F69"/>
    <w:rsid w:val="006D7CD2"/>
    <w:rsid w:val="006E61A4"/>
    <w:rsid w:val="006F24A8"/>
    <w:rsid w:val="00706AD6"/>
    <w:rsid w:val="007075E8"/>
    <w:rsid w:val="0071288B"/>
    <w:rsid w:val="007208DC"/>
    <w:rsid w:val="007230BF"/>
    <w:rsid w:val="0072606E"/>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84342"/>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AE63C7"/>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7088B"/>
    <w:rsid w:val="00C810A8"/>
    <w:rsid w:val="00C84FEC"/>
    <w:rsid w:val="00C86F39"/>
    <w:rsid w:val="00C94014"/>
    <w:rsid w:val="00CB4A20"/>
    <w:rsid w:val="00CE1192"/>
    <w:rsid w:val="00CE11D6"/>
    <w:rsid w:val="00CF39BF"/>
    <w:rsid w:val="00D01642"/>
    <w:rsid w:val="00D15B26"/>
    <w:rsid w:val="00D22051"/>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24097"/>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EF2204"/>
    <w:rsid w:val="00F02902"/>
    <w:rsid w:val="00F029BB"/>
    <w:rsid w:val="00F26D37"/>
    <w:rsid w:val="00F34609"/>
    <w:rsid w:val="00F42A2A"/>
    <w:rsid w:val="00F43C82"/>
    <w:rsid w:val="00F5232B"/>
    <w:rsid w:val="00F52757"/>
    <w:rsid w:val="00F679FF"/>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59</Pages>
  <Words>18282</Words>
  <Characters>104210</Characters>
  <Application>Microsoft Office Word</Application>
  <DocSecurity>0</DocSecurity>
  <Lines>868</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55</cp:revision>
  <cp:lastPrinted>2018-10-09T16:43:00Z</cp:lastPrinted>
  <dcterms:created xsi:type="dcterms:W3CDTF">2018-10-09T18:26:00Z</dcterms:created>
  <dcterms:modified xsi:type="dcterms:W3CDTF">2019-11-07T12:51:00Z</dcterms:modified>
</cp:coreProperties>
</file>