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 xml:space="preserve">ANUNȚ DE PARTICIPARE </w:t>
      </w:r>
      <w:bookmarkEnd w:id="0"/>
    </w:p>
    <w:p>
      <w:pPr>
        <w:rPr>
          <w:sz w:val="16"/>
          <w:szCs w:val="16"/>
          <w:lang w:eastAsia="ru-RU"/>
        </w:rPr>
      </w:pPr>
    </w:p>
    <w:p>
      <w:pPr>
        <w:shd w:val="clear" w:color="auto" w:fill="FFFFFF" w:themeFill="background1"/>
        <w:jc w:val="center"/>
        <w:rPr>
          <w:rFonts w:hint="default"/>
          <w:b/>
          <w:u w:val="single"/>
          <w:shd w:val="clear" w:color="auto" w:fill="FFFFFF" w:themeFill="background1"/>
          <w:lang w:eastAsia="ru-RU"/>
        </w:rPr>
      </w:pPr>
      <w:r>
        <w:rPr>
          <w:b/>
          <w:lang w:eastAsia="ru-RU"/>
        </w:rPr>
        <w:t xml:space="preserve">privind achiziționarea </w:t>
      </w:r>
      <w:r>
        <w:rPr>
          <w:b/>
          <w:u w:val="single"/>
        </w:rPr>
        <w:t>„Servicii de spălătorie auto”</w:t>
      </w:r>
      <w:r>
        <w:rPr>
          <w:rFonts w:hint="default"/>
          <w:b/>
          <w:u w:val="single"/>
          <w:lang/>
        </w:rPr>
        <w:t>(repetat</w:t>
      </w:r>
      <w:bookmarkStart w:id="2" w:name="_GoBack"/>
      <w:bookmarkEnd w:id="2"/>
      <w:r>
        <w:rPr>
          <w:rFonts w:hint="default"/>
          <w:b/>
          <w:u w:val="single"/>
          <w:lang/>
        </w:rPr>
        <w:t>)</w:t>
      </w:r>
    </w:p>
    <w:p>
      <w:pPr>
        <w:shd w:val="clear" w:color="auto" w:fill="FFFFFF" w:themeFill="background1"/>
        <w:jc w:val="center"/>
        <w:rPr>
          <w:b/>
          <w:sz w:val="10"/>
          <w:szCs w:val="10"/>
          <w:u w:val="single"/>
          <w:shd w:val="clear" w:color="auto" w:fill="FFFFFF" w:themeFill="background1"/>
          <w:lang w:eastAsia="ru-RU"/>
        </w:rPr>
      </w:pPr>
    </w:p>
    <w:p>
      <w:pPr>
        <w:shd w:val="clear" w:color="auto" w:fill="FFFFFF" w:themeFill="background1"/>
        <w:jc w:val="center"/>
        <w:rPr>
          <w:b/>
          <w:lang w:eastAsia="ru-RU"/>
        </w:rPr>
      </w:pPr>
      <w:r>
        <w:rPr>
          <w:b/>
          <w:lang w:eastAsia="ru-RU"/>
        </w:rPr>
        <w:t xml:space="preserve">prin procedura de achiziție </w:t>
      </w:r>
      <w:r>
        <w:rPr>
          <w:b/>
          <w:u w:val="single"/>
        </w:rPr>
        <w:t>Achiziție de valoare mică</w:t>
      </w:r>
    </w:p>
    <w:p>
      <w:pPr>
        <w:shd w:val="clear" w:color="auto" w:fill="FFFFFF" w:themeFill="background1"/>
        <w:jc w:val="center"/>
        <w:rPr>
          <w:b/>
          <w:sz w:val="16"/>
          <w:szCs w:val="16"/>
          <w:shd w:val="clear" w:color="auto" w:fill="FFFFFF" w:themeFill="background1"/>
          <w:lang w:eastAsia="ru-RU"/>
        </w:rPr>
      </w:pP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Denumirea autorității contractante: </w:t>
      </w:r>
      <w:r>
        <w:rPr>
          <w:sz w:val="24"/>
          <w:szCs w:val="24"/>
        </w:rPr>
        <w:t>Administrația Națională a Penitenciarelor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IDNO: </w:t>
      </w:r>
      <w:r>
        <w:rPr>
          <w:sz w:val="24"/>
          <w:szCs w:val="24"/>
        </w:rPr>
        <w:t>1006601001012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Adresa: </w:t>
      </w:r>
      <w:r>
        <w:rPr>
          <w:sz w:val="24"/>
          <w:szCs w:val="24"/>
        </w:rPr>
        <w:t>mun. Chișinău, str. N. Titulescu 35</w:t>
      </w:r>
      <w:r>
        <w:rPr>
          <w:b/>
          <w:sz w:val="24"/>
          <w:szCs w:val="24"/>
          <w:lang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Numărul de telefon/fax: </w:t>
      </w:r>
      <w:r>
        <w:rPr>
          <w:sz w:val="24"/>
          <w:szCs w:val="24"/>
        </w:rPr>
        <w:t>022 - 409 -713 / 022 - 409 -748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Adresa de e-mail și pagina web oficială ale autorității contractante: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"mailto:anp@anp.gov.md" </w:instrText>
      </w:r>
      <w:r>
        <w:rPr>
          <w:sz w:val="24"/>
          <w:szCs w:val="24"/>
        </w:rPr>
        <w:fldChar w:fldCharType="separate"/>
      </w:r>
      <w:r>
        <w:rPr>
          <w:rStyle w:val="6"/>
          <w:sz w:val="24"/>
          <w:szCs w:val="24"/>
        </w:rPr>
        <w:t>anp@anp.gov.md</w:t>
      </w:r>
      <w:r>
        <w:rPr>
          <w:rStyle w:val="6"/>
          <w:sz w:val="24"/>
          <w:szCs w:val="24"/>
        </w:rPr>
        <w:fldChar w:fldCharType="end"/>
      </w:r>
      <w:r>
        <w:rPr>
          <w:rStyle w:val="6"/>
          <w:sz w:val="24"/>
          <w:szCs w:val="24"/>
          <w:u w:val="none"/>
        </w:rPr>
        <w:t>/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"http://anp.gov.md/" </w:instrText>
      </w:r>
      <w:r>
        <w:rPr>
          <w:sz w:val="24"/>
          <w:szCs w:val="24"/>
        </w:rPr>
        <w:fldChar w:fldCharType="separate"/>
      </w:r>
      <w:r>
        <w:rPr>
          <w:rStyle w:val="6"/>
          <w:sz w:val="24"/>
          <w:szCs w:val="24"/>
        </w:rPr>
        <w:t>http://anp.gov.md</w:t>
      </w:r>
      <w:r>
        <w:rPr>
          <w:rStyle w:val="6"/>
          <w:sz w:val="24"/>
          <w:szCs w:val="24"/>
        </w:rPr>
        <w:fldChar w:fldCharType="end"/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sz w:val="24"/>
          <w:szCs w:val="24"/>
          <w:lang w:eastAsia="ru-RU"/>
        </w:rPr>
        <w:t xml:space="preserve">documentația de atribuire este anexată în cadrul procedurii în SIA RSAP –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"mailto:mariana.leu@anp.gov.md" </w:instrText>
      </w:r>
      <w:r>
        <w:rPr>
          <w:sz w:val="24"/>
          <w:szCs w:val="24"/>
        </w:rPr>
        <w:fldChar w:fldCharType="separate"/>
      </w:r>
      <w:r>
        <w:rPr>
          <w:rStyle w:val="6"/>
          <w:sz w:val="24"/>
          <w:szCs w:val="24"/>
        </w:rPr>
        <w:t>mariana.leu@anp.gov.md</w:t>
      </w:r>
      <w:r>
        <w:rPr>
          <w:rStyle w:val="6"/>
          <w:sz w:val="24"/>
          <w:szCs w:val="24"/>
        </w:rPr>
        <w:fldChar w:fldCharType="end"/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  <w:szCs w:val="24"/>
        </w:rPr>
        <w:t xml:space="preserve">Instituție de stat cu statut special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4"/>
        <w:tblW w:w="10055" w:type="dxa"/>
        <w:tblInd w:w="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5038"/>
        <w:gridCol w:w="1588"/>
        <w:gridCol w:w="1231"/>
        <w:gridCol w:w="1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10055" w:type="dxa"/>
            <w:gridSpan w:val="5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Servicii de spălătorie auto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708" w:type="dxa"/>
            <w:shd w:val="clear" w:color="auto" w:fill="BEBEBE" w:themeFill="background1" w:themeFillShade="BF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Cod CPV</w:t>
            </w:r>
          </w:p>
        </w:tc>
        <w:tc>
          <w:tcPr>
            <w:tcW w:w="5038" w:type="dxa"/>
            <w:shd w:val="clear" w:color="auto" w:fill="BEBEBE" w:themeFill="background1" w:themeFillShade="BF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Denumirea serviciului</w:t>
            </w:r>
          </w:p>
        </w:tc>
        <w:tc>
          <w:tcPr>
            <w:tcW w:w="1588" w:type="dxa"/>
            <w:shd w:val="clear" w:color="auto" w:fill="BEBEBE" w:themeFill="background1" w:themeFillShade="BF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ind w:right="-182" w:rightChars="-76"/>
              <w:jc w:val="center"/>
              <w:rPr>
                <w:rFonts w:hint="default"/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Cantitatea</w:t>
            </w:r>
            <w:r>
              <w:rPr>
                <w:rFonts w:hint="default"/>
                <w:b/>
                <w:sz w:val="22"/>
                <w:lang w:eastAsia="ru-RU"/>
              </w:rPr>
              <w:t xml:space="preserve"> </w:t>
            </w:r>
          </w:p>
          <w:p>
            <w:pPr>
              <w:tabs>
                <w:tab w:val="left" w:pos="284"/>
                <w:tab w:val="right" w:pos="9531"/>
              </w:tabs>
              <w:spacing w:before="120"/>
              <w:ind w:right="-182" w:rightChars="-76"/>
              <w:jc w:val="center"/>
              <w:rPr>
                <w:rFonts w:hint="default"/>
                <w:lang w:eastAsia="ru-RU"/>
              </w:rPr>
            </w:pPr>
            <w:r>
              <w:rPr>
                <w:rFonts w:hint="default"/>
                <w:lang w:eastAsia="ru-RU"/>
              </w:rPr>
              <w:t>(nr. de spălări)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Termen de prestare</w:t>
            </w:r>
          </w:p>
        </w:tc>
        <w:tc>
          <w:tcPr>
            <w:tcW w:w="1490" w:type="dxa"/>
            <w:shd w:val="clear" w:color="auto" w:fill="BEBEBE" w:themeFill="background1" w:themeFillShade="BF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Suma estimativă, fără TVA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08" w:type="dxa"/>
            <w:vMerge w:val="restart"/>
            <w:textDirection w:val="btLr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ind w:left="113" w:right="113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98310000-9</w:t>
            </w:r>
          </w:p>
        </w:tc>
        <w:tc>
          <w:tcPr>
            <w:tcW w:w="5038" w:type="dxa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Spălarea auto exterior și interior autoturism</w:t>
            </w:r>
          </w:p>
        </w:tc>
        <w:tc>
          <w:tcPr>
            <w:tcW w:w="1588" w:type="dxa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1</w:t>
            </w:r>
            <w:r>
              <w:rPr>
                <w:rFonts w:hint="default"/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eastAsia="ru-RU"/>
              </w:rPr>
              <w:t>0</w:t>
            </w:r>
          </w:p>
        </w:tc>
        <w:tc>
          <w:tcPr>
            <w:tcW w:w="1231" w:type="dxa"/>
            <w:vMerge w:val="restart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rFonts w:hint="default"/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Februarie-Decembrie 202</w:t>
            </w:r>
            <w:r>
              <w:rPr>
                <w:rFonts w:hint="default"/>
                <w:b/>
                <w:sz w:val="22"/>
                <w:lang w:eastAsia="ru-RU"/>
              </w:rPr>
              <w:t>3</w:t>
            </w:r>
          </w:p>
        </w:tc>
        <w:tc>
          <w:tcPr>
            <w:tcW w:w="1490" w:type="dxa"/>
            <w:vMerge w:val="restart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rFonts w:hint="default"/>
                <w:b/>
                <w:sz w:val="22"/>
                <w:lang w:eastAsia="ru-RU"/>
              </w:rPr>
              <w:t>25</w:t>
            </w:r>
            <w:r>
              <w:rPr>
                <w:b/>
                <w:sz w:val="22"/>
                <w:lang w:eastAsia="ru-RU"/>
              </w:rPr>
              <w:t xml:space="preserve"> 000,00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08" w:type="dxa"/>
            <w:vMerge w:val="continue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</w:p>
        </w:tc>
        <w:tc>
          <w:tcPr>
            <w:tcW w:w="5038" w:type="dxa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Spălarea auto exterior și interior mașină de teren</w:t>
            </w:r>
          </w:p>
        </w:tc>
        <w:tc>
          <w:tcPr>
            <w:tcW w:w="1588" w:type="dxa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rFonts w:hint="default"/>
                <w:b/>
                <w:sz w:val="22"/>
                <w:lang w:eastAsia="ru-RU"/>
              </w:rPr>
              <w:t>5</w:t>
            </w:r>
            <w:r>
              <w:rPr>
                <w:b/>
                <w:sz w:val="22"/>
                <w:lang w:eastAsia="ru-RU"/>
              </w:rPr>
              <w:t>0</w:t>
            </w:r>
          </w:p>
        </w:tc>
        <w:tc>
          <w:tcPr>
            <w:tcW w:w="1231" w:type="dxa"/>
            <w:vMerge w:val="continue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</w:p>
        </w:tc>
        <w:tc>
          <w:tcPr>
            <w:tcW w:w="1490" w:type="dxa"/>
            <w:vMerge w:val="continue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708" w:type="dxa"/>
            <w:vMerge w:val="continue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</w:p>
        </w:tc>
        <w:tc>
          <w:tcPr>
            <w:tcW w:w="5038" w:type="dxa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>Spălarea auto exterior și interior microbuz</w:t>
            </w:r>
          </w:p>
        </w:tc>
        <w:tc>
          <w:tcPr>
            <w:tcW w:w="1588" w:type="dxa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rFonts w:hint="default"/>
                <w:b/>
                <w:sz w:val="22"/>
                <w:lang w:eastAsia="ru-RU"/>
              </w:rPr>
            </w:pPr>
            <w:r>
              <w:rPr>
                <w:rFonts w:hint="default"/>
                <w:b/>
                <w:sz w:val="22"/>
                <w:lang w:eastAsia="ru-RU"/>
              </w:rPr>
              <w:t>15</w:t>
            </w:r>
          </w:p>
        </w:tc>
        <w:tc>
          <w:tcPr>
            <w:tcW w:w="1231" w:type="dxa"/>
            <w:vMerge w:val="continue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</w:p>
        </w:tc>
        <w:tc>
          <w:tcPr>
            <w:tcW w:w="1490" w:type="dxa"/>
            <w:vMerge w:val="continue"/>
            <w:vAlign w:val="center"/>
          </w:tcPr>
          <w:p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sz w:val="22"/>
                <w:lang w:eastAsia="ru-RU"/>
              </w:rPr>
            </w:pPr>
          </w:p>
        </w:tc>
      </w:tr>
    </w:tbl>
    <w:p>
      <w:pPr>
        <w:tabs>
          <w:tab w:val="left" w:pos="284"/>
        </w:tabs>
        <w:ind w:right="-377"/>
        <w:jc w:val="both"/>
        <w:rPr>
          <w:b/>
        </w:rPr>
      </w:pPr>
    </w:p>
    <w:p>
      <w:pPr>
        <w:numPr>
          <w:ilvl w:val="0"/>
          <w:numId w:val="2"/>
        </w:numPr>
        <w:tabs>
          <w:tab w:val="left" w:pos="284"/>
        </w:tabs>
        <w:ind w:left="0" w:leftChars="0" w:right="-377" w:hanging="3" w:firstLineChars="0"/>
        <w:jc w:val="both"/>
        <w:rPr>
          <w:b/>
        </w:rPr>
      </w:pPr>
      <w:r>
        <w:rPr>
          <w:b/>
        </w:rPr>
        <w:t xml:space="preserve">Procedura a fost inclusă în planul de achiziții publice a autorității contractante (Da/Nu): </w:t>
      </w:r>
      <w:r>
        <w:rPr>
          <w:u w:val="single"/>
        </w:rPr>
        <w:t>Da</w:t>
      </w:r>
    </w:p>
    <w:p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0" w:leftChars="0" w:right="-305" w:rightChars="-127" w:hanging="3" w:firstLineChars="0"/>
        <w:jc w:val="left"/>
        <w:rPr>
          <w:sz w:val="20"/>
          <w:szCs w:val="20"/>
          <w:lang w:eastAsia="ru-RU"/>
        </w:rPr>
      </w:pPr>
      <w:r>
        <w:rPr>
          <w:rFonts w:hint="default"/>
          <w:b/>
        </w:rPr>
        <w:t xml:space="preserve"> </w:t>
      </w:r>
      <w:r>
        <w:rPr>
          <w:b/>
        </w:rPr>
        <w:t xml:space="preserve">Link-ul către planul de achiziții publice publicat: </w:t>
      </w:r>
      <w:r>
        <w:rPr>
          <w:rFonts w:hint="default"/>
        </w:rPr>
        <w:t>https://drive.google.com/drive/folders/1Zu0jV2k2REyOsy_5YDmGL4Z0OrJJ6CGp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leftChars="0" w:hanging="3" w:firstLineChars="0"/>
        <w:jc w:val="both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candidaților şi, dacă este cazul, numărul maxim al acestora: -</w:t>
      </w:r>
    </w:p>
    <w:p>
      <w:pPr>
        <w:shd w:val="clear" w:color="auto" w:fill="FFFFFF" w:themeFill="background1"/>
        <w:tabs>
          <w:tab w:val="right" w:pos="426"/>
        </w:tabs>
        <w:ind w:left="0" w:leftChars="0" w:hanging="3" w:firstLineChars="0"/>
        <w:rPr>
          <w:b/>
          <w:sz w:val="10"/>
          <w:szCs w:val="10"/>
          <w:lang w:eastAsia="ru-RU"/>
        </w:rPr>
      </w:pPr>
      <w:r>
        <w:rPr>
          <w:b/>
          <w:lang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leftChars="0" w:hanging="3" w:firstLineChars="0"/>
        <w:jc w:val="both"/>
        <w:rPr>
          <w:lang w:eastAsia="ru-RU"/>
        </w:rPr>
      </w:pPr>
      <w:r>
        <w:rPr>
          <w:b/>
          <w:lang w:eastAsia="ru-RU"/>
        </w:rPr>
        <w:t>În cazul în care contractul este împărțit pe loturi un operator economic poate depune oferta (se va selecta):</w:t>
      </w:r>
      <w:r>
        <w:rPr>
          <w:b/>
        </w:rPr>
        <w:t xml:space="preserve">  </w:t>
      </w:r>
      <w:r>
        <w:rPr>
          <w:b/>
        </w:rPr>
        <w:sym w:font="Wingdings 2" w:char="F052"/>
      </w:r>
      <w:r>
        <w:rPr>
          <w:b/>
        </w:rPr>
        <w:t xml:space="preserve"> </w:t>
      </w:r>
      <w:r>
        <w:t xml:space="preserve">Pentru </w:t>
      </w:r>
      <w:r>
        <w:rPr>
          <w:rFonts w:hint="default"/>
        </w:rPr>
        <w:t>mai multe</w:t>
      </w:r>
      <w:r>
        <w:t xml:space="preserve"> loturi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leftChars="0" w:hanging="3" w:firstLineChars="0"/>
        <w:rPr>
          <w:sz w:val="20"/>
          <w:lang w:eastAsia="ru-RU"/>
        </w:rPr>
      </w:pPr>
      <w:r>
        <w:rPr>
          <w:b/>
          <w:lang w:eastAsia="ru-RU"/>
        </w:rPr>
        <w:t xml:space="preserve">Admiterea sau interzicerea ofertelor alternative: </w:t>
      </w:r>
      <w:r>
        <w:t>Nu se admite</w:t>
      </w:r>
      <w:r>
        <w:rPr>
          <w:b/>
          <w:lang w:eastAsia="ru-RU"/>
        </w:rPr>
        <w:t xml:space="preserve"> 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426"/>
        </w:tabs>
        <w:spacing w:before="120" w:line="276" w:lineRule="auto"/>
        <w:ind w:left="0" w:leftChars="0" w:hanging="3" w:firstLineChars="0"/>
        <w:jc w:val="both"/>
        <w:rPr>
          <w:b/>
          <w:lang w:eastAsia="ru-RU"/>
        </w:rPr>
      </w:pPr>
      <w:r>
        <w:rPr>
          <w:b/>
          <w:lang w:eastAsia="ru-RU"/>
        </w:rPr>
        <w:t xml:space="preserve">Termenii și condițiile de livrare/prestare solicitați:  </w:t>
      </w:r>
      <w:r>
        <w:rPr>
          <w:lang w:eastAsia="ru-RU"/>
        </w:rPr>
        <w:t>Anul 202</w:t>
      </w:r>
      <w:r>
        <w:rPr>
          <w:rFonts w:hint="default"/>
          <w:lang w:eastAsia="ru-RU"/>
        </w:rPr>
        <w:t>3</w:t>
      </w:r>
      <w:r>
        <w:rPr>
          <w:bCs/>
          <w:color w:val="000000"/>
          <w:lang w:val="en-US" w:eastAsia="ru-RU"/>
        </w:rPr>
        <w:t>. Spălătoria auto</w:t>
      </w:r>
      <w:r>
        <w:rPr>
          <w:rFonts w:hint="default"/>
          <w:bCs/>
          <w:color w:val="000000"/>
          <w:lang w:eastAsia="ru-RU"/>
        </w:rPr>
        <w:t>.</w:t>
      </w:r>
      <w:r>
        <w:rPr>
          <w:bCs/>
          <w:color w:val="000000"/>
          <w:lang w:val="en-US"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426"/>
          <w:tab w:val="left" w:pos="567"/>
        </w:tabs>
        <w:spacing w:before="120"/>
        <w:ind w:left="0" w:leftChars="0" w:hanging="3" w:firstLineChars="0"/>
        <w:jc w:val="both"/>
        <w:rPr>
          <w:b/>
          <w:lang w:eastAsia="ru-RU"/>
        </w:rPr>
      </w:pPr>
      <w:r>
        <w:rPr>
          <w:b/>
          <w:lang w:eastAsia="ru-RU"/>
        </w:rPr>
        <w:t xml:space="preserve">Termenul de valabilitate a contractului: </w:t>
      </w:r>
      <w:r>
        <w:rPr>
          <w:lang w:eastAsia="ru-RU"/>
        </w:rPr>
        <w:t>31.12.202</w:t>
      </w:r>
      <w:r>
        <w:rPr>
          <w:rFonts w:hint="default"/>
          <w:lang w:eastAsia="ru-RU"/>
        </w:rPr>
        <w:t>3</w:t>
      </w:r>
    </w:p>
    <w:p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lang w:eastAsia="ru-RU"/>
        </w:rPr>
        <w:t>Nu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ab/>
      </w:r>
      <w:r>
        <w:rPr>
          <w:b/>
          <w:lang w:eastAsia="ru-RU"/>
        </w:rPr>
        <w:t xml:space="preserve">Prestarea serviciului este rezervată unei anumite profesii în temeiul unor legi sau al unor acte administrative (după caz): </w:t>
      </w:r>
      <w:r>
        <w:rPr>
          <w:lang w:eastAsia="ru-RU"/>
        </w:rPr>
        <w:t>Nu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15"/>
        <w:tblW w:w="103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3538"/>
        <w:gridCol w:w="4741"/>
        <w:gridCol w:w="1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68" w:type="dxa"/>
            <w:shd w:val="clear" w:color="auto" w:fill="D0CECE" w:themeFill="background2" w:themeFillShade="E6"/>
            <w:vAlign w:val="center"/>
          </w:tcPr>
          <w:p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538" w:type="dxa"/>
            <w:shd w:val="clear" w:color="auto" w:fill="D0CECE" w:themeFill="background2" w:themeFillShade="E6"/>
            <w:vAlign w:val="center"/>
          </w:tcPr>
          <w:p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Criteriile de calificare și de selecție</w:t>
            </w:r>
          </w:p>
        </w:tc>
        <w:tc>
          <w:tcPr>
            <w:tcW w:w="4741" w:type="dxa"/>
            <w:shd w:val="clear" w:color="auto" w:fill="D0CECE" w:themeFill="background2" w:themeFillShade="E6"/>
            <w:vAlign w:val="center"/>
          </w:tcPr>
          <w:p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10" w:type="dxa"/>
            <w:shd w:val="clear" w:color="auto" w:fill="D0CECE" w:themeFill="background2" w:themeFillShade="E6"/>
            <w:vAlign w:val="center"/>
          </w:tcPr>
          <w:p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sz w:val="20"/>
                <w:szCs w:val="20"/>
                <w:lang w:eastAsia="ru-RU"/>
              </w:rPr>
              <w:br w:type="textWrapping"/>
            </w:r>
            <w:r>
              <w:rPr>
                <w:b/>
                <w:sz w:val="20"/>
                <w:szCs w:val="20"/>
                <w:lang w:eastAsia="ru-RU"/>
              </w:rPr>
              <w:t>Obligativitatea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3538" w:type="dxa"/>
            <w:shd w:val="clear" w:color="auto" w:fill="auto"/>
            <w:vAlign w:val="center"/>
          </w:tcPr>
          <w:p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zh-CN"/>
              </w:rPr>
              <w:t>Specificații de preț și tehnică (Oferta)</w:t>
            </w:r>
          </w:p>
        </w:tc>
        <w:tc>
          <w:tcPr>
            <w:tcW w:w="4741" w:type="dxa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zh-CN"/>
              </w:rPr>
              <w:t xml:space="preserve">Original sau copie – conform anexei, </w:t>
            </w:r>
            <w:r>
              <w:rPr>
                <w:b/>
                <w:sz w:val="22"/>
                <w:szCs w:val="22"/>
                <w:lang w:eastAsia="zh-CN"/>
              </w:rPr>
              <w:t>confirmat prin semnătură electronică</w:t>
            </w:r>
            <w:r>
              <w:rPr>
                <w:sz w:val="22"/>
                <w:szCs w:val="22"/>
                <w:lang w:eastAsia="zh-CN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3538" w:type="dxa"/>
            <w:shd w:val="clear" w:color="auto" w:fill="auto"/>
            <w:vAlign w:val="center"/>
          </w:tcPr>
          <w:p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Certificat de atribuire al contului bancar</w:t>
            </w:r>
          </w:p>
        </w:tc>
        <w:tc>
          <w:tcPr>
            <w:tcW w:w="4741" w:type="dxa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Eliberat de banca deținătoare de cont - copie,  </w:t>
            </w:r>
            <w:r>
              <w:rPr>
                <w:b/>
                <w:sz w:val="22"/>
                <w:szCs w:val="22"/>
                <w:lang w:eastAsia="ro-RO"/>
              </w:rPr>
              <w:t xml:space="preserve">confirmată prin </w:t>
            </w:r>
            <w:r>
              <w:rPr>
                <w:b/>
                <w:sz w:val="22"/>
                <w:szCs w:val="22"/>
                <w:lang w:eastAsia="zh-CN"/>
              </w:rPr>
              <w:t>semnătură electronică</w:t>
            </w:r>
            <w:r>
              <w:rPr>
                <w:sz w:val="22"/>
                <w:szCs w:val="22"/>
                <w:lang w:eastAsia="zh-CN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rFonts w:hint="default"/>
                <w:iCs/>
                <w:sz w:val="22"/>
                <w:szCs w:val="22"/>
                <w:lang w:eastAsia="zh-CN"/>
              </w:rPr>
              <w:t>3</w:t>
            </w:r>
            <w:r>
              <w:rPr>
                <w:i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3538" w:type="dxa"/>
            <w:shd w:val="clear" w:color="auto" w:fill="auto"/>
            <w:vAlign w:val="center"/>
          </w:tcPr>
          <w:p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4741" w:type="dxa"/>
            <w:shd w:val="clear" w:color="auto" w:fill="auto"/>
            <w:vAlign w:val="center"/>
          </w:tcPr>
          <w:p>
            <w:pPr>
              <w:jc w:val="both"/>
              <w:rPr>
                <w:b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Format liber, </w:t>
            </w:r>
            <w:r>
              <w:rPr>
                <w:b/>
                <w:sz w:val="22"/>
                <w:szCs w:val="22"/>
                <w:lang w:eastAsia="ro-RO"/>
              </w:rPr>
              <w:t>confirmat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>
              <w:rPr>
                <w:b/>
                <w:sz w:val="22"/>
                <w:szCs w:val="22"/>
                <w:lang w:eastAsia="ro-RO"/>
              </w:rPr>
              <w:t xml:space="preserve">prin </w:t>
            </w:r>
            <w:r>
              <w:rPr>
                <w:b/>
                <w:sz w:val="22"/>
                <w:szCs w:val="22"/>
                <w:lang w:eastAsia="zh-CN"/>
              </w:rPr>
              <w:t>semnătură electronică</w:t>
            </w:r>
            <w:r>
              <w:rPr>
                <w:sz w:val="22"/>
                <w:szCs w:val="22"/>
                <w:lang w:eastAsia="zh-CN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rFonts w:hint="default"/>
                <w:iCs/>
                <w:sz w:val="22"/>
                <w:szCs w:val="22"/>
                <w:lang w:eastAsia="zh-CN"/>
              </w:rPr>
              <w:t>4</w:t>
            </w:r>
            <w:r>
              <w:rPr>
                <w:i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3538" w:type="dxa"/>
            <w:shd w:val="clear" w:color="auto" w:fill="auto"/>
            <w:vAlign w:val="center"/>
          </w:tcPr>
          <w:p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Spălătoria se va afla în raza de maxim </w:t>
            </w:r>
            <w:r>
              <w:rPr>
                <w:rFonts w:hint="default"/>
                <w:sz w:val="22"/>
                <w:szCs w:val="22"/>
                <w:lang w:eastAsia="ro-RO"/>
              </w:rPr>
              <w:t>5</w:t>
            </w:r>
            <w:r>
              <w:rPr>
                <w:sz w:val="22"/>
                <w:szCs w:val="22"/>
                <w:lang w:eastAsia="ro-RO"/>
              </w:rPr>
              <w:t xml:space="preserve"> km de la sediul autorității contractante (str. N. Titulescu, 35)</w:t>
            </w:r>
          </w:p>
        </w:tc>
        <w:tc>
          <w:tcPr>
            <w:tcW w:w="4741" w:type="dxa"/>
            <w:shd w:val="clear" w:color="auto" w:fill="auto"/>
            <w:vAlign w:val="center"/>
          </w:tcPr>
          <w:p>
            <w:pPr>
              <w:jc w:val="both"/>
              <w:rPr>
                <w:b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Format liber,</w:t>
            </w:r>
            <w:r>
              <w:rPr>
                <w:b/>
                <w:sz w:val="22"/>
                <w:szCs w:val="22"/>
                <w:lang w:eastAsia="ro-RO"/>
              </w:rPr>
              <w:t xml:space="preserve"> confirmat prin semnătură electronică;</w:t>
            </w:r>
            <w:r>
              <w:rPr>
                <w:b/>
                <w:sz w:val="22"/>
                <w:szCs w:val="22"/>
                <w:lang w:eastAsia="ro-RO"/>
              </w:rPr>
              <w:tab/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zh-CN"/>
              </w:rPr>
            </w:pPr>
            <w:r>
              <w:rPr>
                <w:sz w:val="22"/>
                <w:szCs w:val="22"/>
                <w:lang w:eastAsia="ro-RO"/>
              </w:rPr>
              <w:t>Obligatoriu</w:t>
            </w:r>
          </w:p>
        </w:tc>
      </w:tr>
    </w:tbl>
    <w:p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sz w:val="10"/>
          <w:szCs w:val="10"/>
        </w:rPr>
      </w:pPr>
    </w:p>
    <w:p>
      <w:pPr>
        <w:tabs>
          <w:tab w:val="right" w:pos="-284"/>
        </w:tabs>
        <w:spacing w:before="120" w:line="276" w:lineRule="auto"/>
        <w:ind w:right="-2" w:firstLine="284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  <w:u w:val="single"/>
        </w:rPr>
        <w:t>Preţurile pentru bunurile/serviciile solicitate se indică</w:t>
      </w:r>
      <w:r>
        <w:rPr>
          <w:b/>
          <w:i/>
          <w:sz w:val="24"/>
          <w:szCs w:val="24"/>
        </w:rPr>
        <w:t xml:space="preserve"> în lei moldovenești, </w:t>
      </w:r>
      <w:r>
        <w:rPr>
          <w:b/>
          <w:i/>
          <w:sz w:val="24"/>
          <w:szCs w:val="24"/>
          <w:u w:val="single"/>
        </w:rPr>
        <w:t>cu două cifre după virgulă</w:t>
      </w:r>
      <w:r>
        <w:rPr>
          <w:b/>
          <w:i/>
          <w:sz w:val="24"/>
          <w:szCs w:val="24"/>
        </w:rPr>
        <w:t xml:space="preserve">. </w:t>
      </w:r>
    </w:p>
    <w:p>
      <w:pPr>
        <w:tabs>
          <w:tab w:val="right" w:pos="-284"/>
        </w:tabs>
        <w:spacing w:before="120" w:line="276" w:lineRule="auto"/>
        <w:ind w:right="-2" w:firstLine="28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În situația identificării de către ANP a </w:t>
      </w:r>
      <w:r>
        <w:rPr>
          <w:b/>
          <w:i/>
          <w:sz w:val="24"/>
          <w:szCs w:val="24"/>
          <w:u w:val="single"/>
        </w:rPr>
        <w:t>diferenței între suma prețurilor unitare și prețul total din ofertă</w:t>
      </w:r>
      <w:r>
        <w:rPr>
          <w:i/>
          <w:sz w:val="24"/>
          <w:szCs w:val="24"/>
        </w:rPr>
        <w:t xml:space="preserve">, urmează </w:t>
      </w:r>
      <w:r>
        <w:rPr>
          <w:b/>
          <w:i/>
          <w:sz w:val="24"/>
          <w:szCs w:val="24"/>
          <w:u w:val="single"/>
        </w:rPr>
        <w:t>a fi luat în calcul prețul unitar fără TVA</w:t>
      </w:r>
      <w:r>
        <w:rPr>
          <w:i/>
          <w:sz w:val="24"/>
          <w:szCs w:val="24"/>
        </w:rPr>
        <w:t>, iar suma totală va fi corectată corespunzător, fiind coordonată în prealabil cu operatorul economic. Dacă ofertantul nu va accepta corecția acestor erori, oferta, în consecință, va fi respinsă.</w:t>
      </w:r>
    </w:p>
    <w:p>
      <w:pPr>
        <w:tabs>
          <w:tab w:val="right" w:pos="-284"/>
        </w:tabs>
        <w:spacing w:before="120" w:line="276" w:lineRule="auto"/>
        <w:ind w:right="-2" w:firstLine="28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În temeiul art.</w:t>
      </w:r>
      <w:r>
        <w:rPr>
          <w:rFonts w:hint="default"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19 alin. 3  lit. d) din   Legea nr. 131/ 2015, privind achizițiile publice, ANP va exclude din procedura de atribuire a contractului de achiziții publice orice ofertant </w:t>
      </w:r>
      <w:r>
        <w:rPr>
          <w:i/>
          <w:sz w:val="24"/>
          <w:szCs w:val="24"/>
          <w:u w:val="single"/>
        </w:rPr>
        <w:t>în cazul prezentării informațiilor false sau neprezentării informațiilor solicitate de ANP</w:t>
      </w:r>
      <w:r>
        <w:rPr>
          <w:i/>
          <w:sz w:val="24"/>
          <w:szCs w:val="24"/>
        </w:rPr>
        <w:t>, în scopul demonstrării îndeplinirii criteriilor de calificare și selecție.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Garanția pentru ofertă: </w:t>
      </w:r>
      <w:r>
        <w:t>-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Garanția de bună execuție a contractului: </w:t>
      </w:r>
      <w:r>
        <w:t>-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lang w:eastAsia="ru-RU"/>
        </w:rPr>
      </w:pPr>
      <w:r>
        <w:rPr>
          <w:b/>
          <w:lang w:eastAsia="ru-RU"/>
        </w:rPr>
        <w:t xml:space="preserve">Motivul recurgerii la procedura accelerată (în cazul licitației deschise, restrânse și a procedurii negociate), după caz – </w:t>
      </w:r>
    </w:p>
    <w:p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6" w:leftChars="0" w:hanging="6" w:firstLineChars="0"/>
        <w:jc w:val="both"/>
        <w:rPr>
          <w:b/>
        </w:rPr>
      </w:pPr>
      <w:r>
        <w:rPr>
          <w:b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u w:val="single"/>
        </w:rPr>
        <w:t>licitație electronică în 3 runde cu pasul minim 1%</w:t>
      </w:r>
    </w:p>
    <w:p>
      <w:pPr>
        <w:numPr>
          <w:ilvl w:val="0"/>
          <w:numId w:val="2"/>
        </w:numPr>
        <w:shd w:val="clear" w:color="auto" w:fill="FFFFFF" w:themeFill="background1"/>
        <w:spacing w:before="120" w:line="276" w:lineRule="auto"/>
        <w:ind w:left="426" w:hanging="426"/>
        <w:jc w:val="both"/>
        <w:rPr>
          <w:u w:val="single"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>):</w:t>
      </w:r>
      <w:r>
        <w:t xml:space="preserve"> </w:t>
      </w:r>
      <w:r>
        <w:rPr>
          <w:lang w:eastAsia="ro-RO"/>
        </w:rPr>
        <w:t xml:space="preserve">Spălătoria se va afla în raza de maxim </w:t>
      </w:r>
      <w:r>
        <w:rPr>
          <w:rFonts w:hint="default"/>
          <w:lang w:eastAsia="ro-RO"/>
        </w:rPr>
        <w:t>5</w:t>
      </w:r>
      <w:r>
        <w:rPr>
          <w:lang w:eastAsia="ro-RO"/>
        </w:rPr>
        <w:t xml:space="preserve"> km de la sediul autorității contractante (str. N. Titulescu, 35)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 xml:space="preserve">Ofertele se prezintă în valuta: </w:t>
      </w:r>
      <w:r>
        <w:rPr>
          <w:u w:val="single"/>
          <w:lang w:eastAsia="ru-RU"/>
        </w:rPr>
        <w:t>Lei MD</w:t>
      </w:r>
      <w:bookmarkEnd w:id="1"/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 xml:space="preserve">Criteriul de evaluare aplicat pentru atribuirea contractului: </w:t>
      </w:r>
      <w:r>
        <w:rPr>
          <w:u w:val="single"/>
        </w:rPr>
        <w:t>cel mai mic preț fără TVA și corespunderea specificației tehnice solicitate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 xml:space="preserve">Termenul limită de depunere/deschidere a ofertelor: </w:t>
      </w:r>
      <w:r>
        <w:t>conform</w:t>
      </w:r>
      <w:r>
        <w:rPr>
          <w:b/>
        </w:rPr>
        <w:t xml:space="preserve"> </w:t>
      </w:r>
      <w:r>
        <w:t>SIA RSAP MTender (achizitii.md)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>
      <w:pPr>
        <w:shd w:val="clear" w:color="auto" w:fill="FFFFFF" w:themeFill="background1"/>
        <w:tabs>
          <w:tab w:val="right" w:pos="426"/>
        </w:tabs>
        <w:spacing w:before="120"/>
        <w:ind w:left="450"/>
        <w:rPr>
          <w:lang w:eastAsia="ru-RU"/>
        </w:rPr>
      </w:pPr>
      <w:r>
        <w:rPr>
          <w:i/>
          <w:lang w:eastAsia="ru-RU"/>
        </w:rPr>
        <w:t>Ofertele sau cererile de participare vor fi depuse electronic prin intermediul SIA RSAP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>Termenul de valabilitate a ofertelor:</w:t>
      </w:r>
      <w:r>
        <w:t xml:space="preserve"> 30 zile din data deschiderii ofertelor</w:t>
      </w:r>
      <w:r>
        <w:rPr>
          <w:b/>
        </w:rPr>
        <w:t xml:space="preserve">  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lang w:eastAsia="ru-RU"/>
        </w:rPr>
      </w:pPr>
      <w:r>
        <w:rPr>
          <w:b/>
          <w:lang w:eastAsia="ru-RU"/>
        </w:rPr>
        <w:t xml:space="preserve">Locul deschiderii ofertelor: </w:t>
      </w:r>
      <w:r>
        <w:t>SIA RSAP</w:t>
      </w:r>
      <w:r>
        <w:rPr>
          <w:rFonts w:hint="default"/>
        </w:rPr>
        <w:t>.</w:t>
      </w:r>
      <w:r>
        <w:rPr>
          <w:sz w:val="20"/>
          <w:lang w:eastAsia="ru-RU"/>
        </w:rPr>
        <w:t xml:space="preserve">  </w:t>
      </w:r>
      <w:r>
        <w:rPr>
          <w:i/>
          <w:lang w:eastAsia="ru-RU"/>
        </w:rPr>
        <w:t xml:space="preserve">Ofertele întârziate vor fi respinse.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</w:p>
    <w:p>
      <w:pPr>
        <w:shd w:val="clear" w:color="auto" w:fill="FFFFFF" w:themeFill="background1"/>
        <w:tabs>
          <w:tab w:val="right" w:pos="426"/>
        </w:tabs>
        <w:ind w:left="450"/>
        <w:jc w:val="both"/>
        <w:rPr>
          <w:lang w:eastAsia="ru-RU"/>
        </w:rPr>
      </w:pPr>
      <w:r>
        <w:rPr>
          <w:b/>
          <w:sz w:val="4"/>
          <w:szCs w:val="4"/>
          <w:lang w:eastAsia="ru-RU"/>
        </w:rPr>
        <w:br w:type="textWrapping"/>
      </w:r>
      <w:r>
        <w:rPr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lang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>
        <w:rPr>
          <w:b/>
          <w:lang w:eastAsia="ru-RU"/>
        </w:rPr>
        <w:t xml:space="preserve">Limba sau limbile în care trebuie redactate ofertele sau cererile de participare: </w:t>
      </w:r>
      <w:r>
        <w:rPr>
          <w:lang w:eastAsia="ru-RU"/>
        </w:rPr>
        <w:t>Română</w:t>
      </w:r>
      <w:r>
        <w:rPr>
          <w:b/>
          <w:lang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Respectivul contract se referă la un proiect și/sau program finanțat din fonduri ale Uniunii Europene: </w:t>
      </w:r>
      <w:r>
        <w:rPr>
          <w:lang w:eastAsia="ru-RU"/>
        </w:rPr>
        <w:t xml:space="preserve">Nu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26" w:hanging="426"/>
        <w:jc w:val="both"/>
        <w:rPr>
          <w:b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 -</w:t>
      </w:r>
      <w:r>
        <w:t xml:space="preserve"> </w:t>
      </w:r>
      <w:r>
        <w:rPr>
          <w:color w:val="000000" w:themeColor="text1"/>
          <w:lang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t xml:space="preserve"> 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spacing w:before="120"/>
        <w:ind w:left="360"/>
        <w:jc w:val="both"/>
        <w:rPr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 xml:space="preserve">: </w:t>
      </w:r>
      <w:r>
        <w:rPr>
          <w:shd w:val="clear" w:color="auto" w:fill="FFFFFF" w:themeFill="background1"/>
          <w:lang w:eastAsia="ru-RU"/>
        </w:rPr>
        <w:t>-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26" w:hanging="426"/>
        <w:jc w:val="both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 xml:space="preserve">anunț: </w:t>
      </w:r>
      <w:r>
        <w:rPr>
          <w:shd w:val="clear" w:color="auto" w:fill="FFFFFF" w:themeFill="background1"/>
          <w:lang w:eastAsia="ru-RU"/>
        </w:rPr>
        <w:t>-</w:t>
      </w:r>
      <w:r>
        <w:rPr>
          <w:b/>
          <w:shd w:val="clear" w:color="auto" w:fill="FFFFFF" w:themeFill="background1"/>
          <w:lang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 xml:space="preserve">e: </w:t>
      </w:r>
      <w:r>
        <w:rPr>
          <w:shd w:val="clear" w:color="auto" w:fill="FFFFFF" w:themeFill="background1"/>
          <w:lang w:eastAsia="ru-RU"/>
        </w:rPr>
        <w:t>2</w:t>
      </w:r>
      <w:r>
        <w:rPr>
          <w:rFonts w:hint="default"/>
          <w:shd w:val="clear" w:color="auto" w:fill="FFFFFF" w:themeFill="background1"/>
          <w:lang w:eastAsia="ru-RU"/>
        </w:rPr>
        <w:t>5</w:t>
      </w:r>
      <w:r>
        <w:rPr>
          <w:shd w:val="clear" w:color="auto" w:fill="FFFFFF" w:themeFill="background1"/>
          <w:lang w:eastAsia="ru-RU"/>
        </w:rPr>
        <w:t>.01.202</w:t>
      </w:r>
      <w:r>
        <w:rPr>
          <w:rFonts w:hint="default"/>
          <w:shd w:val="clear" w:color="auto" w:fill="FFFFFF" w:themeFill="background1"/>
          <w:lang w:eastAsia="ru-RU"/>
        </w:rPr>
        <w:t>3</w:t>
      </w:r>
      <w:r>
        <w:rPr>
          <w:b/>
          <w:shd w:val="clear" w:color="auto" w:fill="FFFFFF" w:themeFill="background1"/>
          <w:lang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tbl>
      <w:tblPr>
        <w:tblStyle w:val="15"/>
        <w:tblW w:w="9898" w:type="dxa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3"/>
        <w:gridCol w:w="3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</w:tblPrEx>
        <w:tc>
          <w:tcPr>
            <w:tcW w:w="0" w:type="auto"/>
            <w:shd w:val="clear" w:color="auto" w:fill="FFFFFF" w:themeFill="background1"/>
            <w:vAlign w:val="center"/>
          </w:tcPr>
          <w:p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  <w:vAlign w:val="center"/>
          </w:tcPr>
          <w:p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pPr>
              <w:tabs>
                <w:tab w:val="right" w:pos="426"/>
              </w:tabs>
              <w:spacing w:line="276" w:lineRule="auto"/>
              <w:rPr>
                <w:lang w:eastAsia="zh-CN"/>
              </w:rPr>
            </w:pPr>
            <w:r>
              <w:rPr>
                <w:lang w:eastAsia="zh-CN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  <w:vAlign w:val="center"/>
          </w:tcPr>
          <w:p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pPr>
              <w:tabs>
                <w:tab w:val="right" w:pos="426"/>
              </w:tabs>
              <w:spacing w:line="276" w:lineRule="auto"/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  <w:vAlign w:val="center"/>
          </w:tcPr>
          <w:p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pPr>
              <w:tabs>
                <w:tab w:val="right" w:pos="426"/>
              </w:tabs>
              <w:spacing w:line="276" w:lineRule="auto"/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0" w:type="auto"/>
            <w:shd w:val="clear" w:color="auto" w:fill="FFFFFF" w:themeFill="background1"/>
            <w:vAlign w:val="center"/>
          </w:tcPr>
          <w:p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pPr>
              <w:tabs>
                <w:tab w:val="right" w:pos="426"/>
              </w:tabs>
              <w:spacing w:line="276" w:lineRule="auto"/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</w:tr>
    </w:tbl>
    <w:p>
      <w:p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lang w:eastAsia="ru-RU"/>
        </w:rPr>
        <w:t>Nu</w:t>
      </w:r>
      <w:r>
        <w:rPr>
          <w:b/>
          <w:lang w:eastAsia="ru-RU"/>
        </w:rPr>
        <w:t xml:space="preserve"> 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  <w:r>
        <w:rPr>
          <w:lang w:eastAsia="ru-RU"/>
        </w:rPr>
        <w:t>Nu</w:t>
      </w:r>
      <w:r>
        <w:rPr>
          <w:b/>
          <w:lang w:eastAsia="ru-RU"/>
        </w:rPr>
        <w:t xml:space="preserve">  </w:t>
      </w:r>
    </w:p>
    <w:p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eastAsia="ru-RU"/>
        </w:rPr>
      </w:pPr>
    </w:p>
    <w:p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eastAsia="ru-RU"/>
        </w:rPr>
      </w:pPr>
    </w:p>
    <w:p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eastAsia="ru-RU"/>
        </w:rPr>
      </w:pPr>
    </w:p>
    <w:p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Președintele  grupului de lucru:   Alexandru ADAM                             </w:t>
      </w:r>
      <w:r>
        <w:rPr>
          <w:b/>
          <w:shd w:val="clear" w:color="auto" w:fill="FFFFFF" w:themeFill="background1"/>
          <w:lang w:eastAsia="ru-RU"/>
        </w:rPr>
        <w:t xml:space="preserve">_________________________ </w:t>
      </w:r>
    </w:p>
    <w:p/>
    <w:p/>
    <w:p/>
    <w:p/>
    <w:p/>
    <w:p/>
    <w:p/>
    <w:p/>
    <w:p/>
    <w:p/>
    <w:p/>
    <w:p/>
    <w:p/>
    <w:p/>
    <w:p>
      <w:pPr>
        <w:jc w:val="right"/>
        <w:rPr>
          <w:b/>
          <w:color w:val="4472C4" w:themeColor="accent1"/>
          <w:sz w:val="22"/>
          <w:szCs w:val="22"/>
          <w14:textFill>
            <w14:solidFill>
              <w14:schemeClr w14:val="accent1"/>
            </w14:solidFill>
          </w14:textFill>
        </w:rPr>
      </w:pPr>
      <w:r>
        <w:rPr>
          <w:rFonts w:hint="default"/>
          <w:sz w:val="22"/>
          <w:szCs w:val="22"/>
        </w:rPr>
        <w:t xml:space="preserve">  </w:t>
      </w:r>
      <w:r>
        <w:rPr>
          <w:sz w:val="22"/>
          <w:szCs w:val="22"/>
        </w:rPr>
        <w:t xml:space="preserve">Anexa nr. 1 </w:t>
      </w:r>
    </w:p>
    <w:p>
      <w:pPr>
        <w:jc w:val="center"/>
        <w:rPr>
          <w:b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Oferta 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tbl>
      <w:tblPr>
        <w:tblStyle w:val="4"/>
        <w:tblW w:w="1074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599"/>
        <w:gridCol w:w="945"/>
        <w:gridCol w:w="992"/>
        <w:gridCol w:w="851"/>
        <w:gridCol w:w="992"/>
        <w:gridCol w:w="851"/>
        <w:gridCol w:w="1842"/>
        <w:gridCol w:w="9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bunurilor şi/sau a serviciilor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</w:t>
            </w:r>
          </w:p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 unitar </w:t>
            </w:r>
          </w:p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 TVA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</w:t>
            </w:r>
          </w:p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 TVA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 cu TVA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Specificaţia tehnică</w:t>
            </w:r>
          </w:p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deplină propusă de ofertant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Termenul de </w:t>
            </w:r>
          </w:p>
          <w:p>
            <w:pPr>
              <w:ind w:left="-108" w:right="-108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prestare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ind w:left="-107" w:right="-108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74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 xml:space="preserve"> Servicii de spălătorie auto</w:t>
            </w:r>
          </w:p>
        </w:tc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februarie - decembrie 2023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6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98310000-9</w:t>
            </w:r>
          </w:p>
        </w:tc>
        <w:tc>
          <w:tcPr>
            <w:tcW w:w="2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Spălarea auto exterior și interior autoturism (inclusiv mirositor)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140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6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Spălarea auto exterior și interior mașină de teren (inclusiv mirositor)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6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Spălarea auto exterior și interior microbuz (inclusiv mirositor)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/>
              </w:rPr>
            </w:pPr>
            <w:r>
              <w:rPr>
                <w:rFonts w:hint="default" w:eastAsia="Calibri" w:cs="Times New Roman"/>
                <w:sz w:val="24"/>
                <w:szCs w:val="24"/>
                <w:lang/>
              </w:rPr>
              <w:t>15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tabs>
          <w:tab w:val="left" w:pos="9266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16"/>
          <w:szCs w:val="16"/>
        </w:rPr>
      </w:pPr>
    </w:p>
    <w:p/>
    <w:p/>
    <w:p>
      <w:pPr>
        <w:spacing w:line="360" w:lineRule="auto"/>
      </w:pPr>
      <w:r>
        <w:t>Semnat:______________ Numele, Prenumele:________________________ În calitate de: ____________</w:t>
      </w:r>
    </w:p>
    <w:p>
      <w:pPr>
        <w:spacing w:line="360" w:lineRule="auto"/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>
      <w:pPr>
        <w:spacing w:before="120" w:after="120"/>
      </w:pPr>
    </w:p>
    <w:p/>
    <w:sectPr>
      <w:pgSz w:w="12240" w:h="15840"/>
      <w:pgMar w:top="851" w:right="851" w:bottom="851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12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2E05"/>
    <w:rsid w:val="000352C3"/>
    <w:rsid w:val="00052C72"/>
    <w:rsid w:val="00053A3A"/>
    <w:rsid w:val="00054455"/>
    <w:rsid w:val="000925B9"/>
    <w:rsid w:val="000C4FB7"/>
    <w:rsid w:val="000D233F"/>
    <w:rsid w:val="00132D87"/>
    <w:rsid w:val="00140F3A"/>
    <w:rsid w:val="00145871"/>
    <w:rsid w:val="001C7885"/>
    <w:rsid w:val="001D3568"/>
    <w:rsid w:val="002015FB"/>
    <w:rsid w:val="0021791E"/>
    <w:rsid w:val="00262591"/>
    <w:rsid w:val="0028339D"/>
    <w:rsid w:val="002904B3"/>
    <w:rsid w:val="002A3670"/>
    <w:rsid w:val="002D047F"/>
    <w:rsid w:val="002D1D68"/>
    <w:rsid w:val="002F7908"/>
    <w:rsid w:val="00350161"/>
    <w:rsid w:val="00354C6D"/>
    <w:rsid w:val="0036577D"/>
    <w:rsid w:val="003C7764"/>
    <w:rsid w:val="004415C2"/>
    <w:rsid w:val="00450D8D"/>
    <w:rsid w:val="00457EA9"/>
    <w:rsid w:val="004758B8"/>
    <w:rsid w:val="0048524C"/>
    <w:rsid w:val="00491150"/>
    <w:rsid w:val="004B776D"/>
    <w:rsid w:val="00513B7C"/>
    <w:rsid w:val="0055526B"/>
    <w:rsid w:val="00573B5E"/>
    <w:rsid w:val="005806E9"/>
    <w:rsid w:val="005B0A1B"/>
    <w:rsid w:val="005B4109"/>
    <w:rsid w:val="005B5C18"/>
    <w:rsid w:val="005F0613"/>
    <w:rsid w:val="00635D3A"/>
    <w:rsid w:val="006372B6"/>
    <w:rsid w:val="00685259"/>
    <w:rsid w:val="006D1DD4"/>
    <w:rsid w:val="006F46E8"/>
    <w:rsid w:val="007277ED"/>
    <w:rsid w:val="00744597"/>
    <w:rsid w:val="00754377"/>
    <w:rsid w:val="00773FBC"/>
    <w:rsid w:val="00791940"/>
    <w:rsid w:val="007B66E1"/>
    <w:rsid w:val="007F0BA8"/>
    <w:rsid w:val="0081314E"/>
    <w:rsid w:val="00897485"/>
    <w:rsid w:val="008A1A75"/>
    <w:rsid w:val="008A33FE"/>
    <w:rsid w:val="008C304A"/>
    <w:rsid w:val="008F2B63"/>
    <w:rsid w:val="0090383F"/>
    <w:rsid w:val="0093022E"/>
    <w:rsid w:val="00937B05"/>
    <w:rsid w:val="00951C22"/>
    <w:rsid w:val="009C0484"/>
    <w:rsid w:val="00A35F88"/>
    <w:rsid w:val="00A67305"/>
    <w:rsid w:val="00A957FC"/>
    <w:rsid w:val="00AA6010"/>
    <w:rsid w:val="00AD0EAD"/>
    <w:rsid w:val="00AD1498"/>
    <w:rsid w:val="00B37F94"/>
    <w:rsid w:val="00B41581"/>
    <w:rsid w:val="00B478B7"/>
    <w:rsid w:val="00BC3960"/>
    <w:rsid w:val="00C27B17"/>
    <w:rsid w:val="00C42A3C"/>
    <w:rsid w:val="00C50AA8"/>
    <w:rsid w:val="00C77829"/>
    <w:rsid w:val="00C97383"/>
    <w:rsid w:val="00CA0292"/>
    <w:rsid w:val="00CA5235"/>
    <w:rsid w:val="00D37165"/>
    <w:rsid w:val="00D44A73"/>
    <w:rsid w:val="00D908F4"/>
    <w:rsid w:val="00DB38F2"/>
    <w:rsid w:val="00E101FF"/>
    <w:rsid w:val="00E25E30"/>
    <w:rsid w:val="00E27602"/>
    <w:rsid w:val="00E60AD9"/>
    <w:rsid w:val="00E82244"/>
    <w:rsid w:val="00EA165B"/>
    <w:rsid w:val="00EA2ECB"/>
    <w:rsid w:val="00EB236D"/>
    <w:rsid w:val="00EB6F61"/>
    <w:rsid w:val="00EB75CC"/>
    <w:rsid w:val="00EC663A"/>
    <w:rsid w:val="00ED72BF"/>
    <w:rsid w:val="00F50B4E"/>
    <w:rsid w:val="00FB2F3E"/>
    <w:rsid w:val="1F9053A6"/>
    <w:rsid w:val="40C02481"/>
    <w:rsid w:val="7974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annotation reference"/>
    <w:basedOn w:val="3"/>
    <w:semiHidden/>
    <w:unhideWhenUsed/>
    <w:qFormat/>
    <w:uiPriority w:val="99"/>
    <w:rPr>
      <w:sz w:val="16"/>
      <w:szCs w:val="16"/>
    </w:rPr>
  </w:style>
  <w:style w:type="character" w:styleId="6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Balloon Text"/>
    <w:basedOn w:val="1"/>
    <w:link w:val="20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annotation text"/>
    <w:basedOn w:val="1"/>
    <w:link w:val="21"/>
    <w:semiHidden/>
    <w:unhideWhenUsed/>
    <w:qFormat/>
    <w:uiPriority w:val="99"/>
    <w:rPr>
      <w:sz w:val="20"/>
      <w:szCs w:val="20"/>
    </w:rPr>
  </w:style>
  <w:style w:type="paragraph" w:styleId="9">
    <w:name w:val="annotation subject"/>
    <w:basedOn w:val="8"/>
    <w:next w:val="8"/>
    <w:link w:val="22"/>
    <w:semiHidden/>
    <w:unhideWhenUsed/>
    <w:qFormat/>
    <w:uiPriority w:val="99"/>
    <w:rPr>
      <w:b/>
      <w:bCs/>
    </w:rPr>
  </w:style>
  <w:style w:type="paragraph" w:styleId="10">
    <w:name w:val="Body Text"/>
    <w:basedOn w:val="1"/>
    <w:link w:val="19"/>
    <w:qFormat/>
    <w:uiPriority w:val="99"/>
    <w:rPr>
      <w:rFonts w:ascii="Baltica RR" w:hAnsi="Baltica RR"/>
      <w:szCs w:val="20"/>
    </w:rPr>
  </w:style>
  <w:style w:type="table" w:styleId="11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List Paragraph"/>
    <w:basedOn w:val="1"/>
    <w:link w:val="16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13">
    <w:name w:val="Style3"/>
    <w:basedOn w:val="2"/>
    <w:link w:val="14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/>
      <w:color w:val="auto"/>
      <w:lang w:val="en-US" w:eastAsia="ru-RU"/>
    </w:rPr>
  </w:style>
  <w:style w:type="character" w:customStyle="1" w:styleId="14">
    <w:name w:val="Style3 Char"/>
    <w:link w:val="13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table" w:customStyle="1" w:styleId="15">
    <w:name w:val="Griglia tabella2"/>
    <w:basedOn w:val="4"/>
    <w:uiPriority w:val="39"/>
    <w:pPr>
      <w:spacing w:after="0" w:line="240" w:lineRule="auto"/>
    </w:pPr>
    <w:rPr>
      <w:rFonts w:eastAsia="SimSun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Абзац списка Знак"/>
    <w:link w:val="12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7">
    <w:name w:val="Заголовок 3 Знак"/>
    <w:basedOn w:val="3"/>
    <w:link w:val="2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customStyle="1" w:styleId="18">
    <w:name w:val="Fără spațiere"/>
    <w:qFormat/>
    <w:uiPriority w:val="1"/>
    <w:pPr>
      <w:spacing w:after="0" w:line="240" w:lineRule="auto"/>
    </w:pPr>
    <w:rPr>
      <w:rFonts w:ascii="Calibri" w:hAnsi="Calibri" w:eastAsia="PMingLiU" w:cs="Times New Roman"/>
      <w:sz w:val="22"/>
      <w:szCs w:val="22"/>
      <w:lang w:val="en-US" w:eastAsia="zh-CN" w:bidi="ar-SA"/>
    </w:rPr>
  </w:style>
  <w:style w:type="character" w:customStyle="1" w:styleId="19">
    <w:name w:val="Основной текст Знак"/>
    <w:basedOn w:val="3"/>
    <w:link w:val="10"/>
    <w:qFormat/>
    <w:uiPriority w:val="99"/>
    <w:rPr>
      <w:rFonts w:ascii="Baltica RR" w:hAnsi="Baltica RR" w:eastAsia="Times New Roman" w:cs="Times New Roman"/>
      <w:sz w:val="24"/>
      <w:szCs w:val="20"/>
    </w:rPr>
  </w:style>
  <w:style w:type="character" w:customStyle="1" w:styleId="20">
    <w:name w:val="Текст выноски Знак"/>
    <w:basedOn w:val="3"/>
    <w:link w:val="7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character" w:customStyle="1" w:styleId="21">
    <w:name w:val="Текст примечания Знак"/>
    <w:basedOn w:val="3"/>
    <w:link w:val="8"/>
    <w:semiHidden/>
    <w:qFormat/>
    <w:uiPriority w:val="99"/>
    <w:rPr>
      <w:rFonts w:ascii="Times New Roman" w:hAnsi="Times New Roman" w:eastAsia="Times New Roman" w:cs="Times New Roman"/>
      <w:sz w:val="20"/>
      <w:szCs w:val="20"/>
    </w:rPr>
  </w:style>
  <w:style w:type="character" w:customStyle="1" w:styleId="22">
    <w:name w:val="Тема примечания Знак"/>
    <w:basedOn w:val="21"/>
    <w:link w:val="9"/>
    <w:semiHidden/>
    <w:qFormat/>
    <w:uiPriority w:val="99"/>
    <w:rPr>
      <w:rFonts w:ascii="Times New Roman" w:hAnsi="Times New Roman" w:eastAsia="Times New Roman" w:cs="Times New Roman"/>
      <w:b/>
      <w:bCs/>
      <w:sz w:val="20"/>
      <w:szCs w:val="20"/>
    </w:rPr>
  </w:style>
  <w:style w:type="character" w:customStyle="1" w:styleId="23">
    <w:name w:val="tree__list__item__title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0890F-D9D7-486E-BF30-06105F7683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1242</Words>
  <Characters>7086</Characters>
  <Lines>59</Lines>
  <Paragraphs>16</Paragraphs>
  <TotalTime>4</TotalTime>
  <ScaleCrop>false</ScaleCrop>
  <LinksUpToDate>false</LinksUpToDate>
  <CharactersWithSpaces>8312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2022-01-25T08:47:00Z</dcterms:created>
  <dc:creator>Postolache Natalia</dc:creator>
  <cp:lastModifiedBy>Mariana Chetrean</cp:lastModifiedBy>
  <cp:lastPrinted>2023-01-25T10:01:38Z</cp:lastPrinted>
  <dcterms:modified xsi:type="dcterms:W3CDTF">2023-01-25T10:03:06Z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574FF47A1060402591496EA9ABF7E5E7</vt:lpwstr>
  </property>
</Properties>
</file>