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r>
        <w:rPr>
          <w:rFonts w:hint="default" w:ascii="Times New Roman" w:hAnsi="Times New Roman" w:cs="Times New Roman"/>
          <w:b/>
          <w:caps/>
          <w:sz w:val="60"/>
          <w:szCs w:val="60"/>
        </w:rPr>
        <w:t>DOCUMENTAŢIA STANDARD</w:t>
      </w:r>
    </w:p>
    <w:p>
      <w:pPr>
        <w:jc w:val="center"/>
        <w:rPr>
          <w:rFonts w:hint="default" w:ascii="Times New Roman" w:hAnsi="Times New Roman" w:cs="Times New Roman"/>
          <w:b/>
          <w:sz w:val="40"/>
          <w:szCs w:val="40"/>
        </w:rPr>
      </w:pPr>
      <w:r>
        <w:rPr>
          <w:rFonts w:hint="default" w:ascii="Times New Roman" w:hAnsi="Times New Roman" w:cs="Times New Roman"/>
          <w:b/>
          <w:sz w:val="40"/>
          <w:szCs w:val="40"/>
        </w:rPr>
        <w:t>pentru realizarea achiziţiilor</w:t>
      </w:r>
      <w:r>
        <w:rPr>
          <w:rFonts w:hint="default" w:ascii="Times New Roman" w:hAnsi="Times New Roman" w:cs="Times New Roman"/>
          <w:b/>
          <w:sz w:val="40"/>
          <w:szCs w:val="40"/>
          <w:lang w:val="ro-RO"/>
        </w:rPr>
        <w:t xml:space="preserve"> </w:t>
      </w:r>
      <w:r>
        <w:rPr>
          <w:rFonts w:hint="default" w:ascii="Times New Roman" w:hAnsi="Times New Roman" w:cs="Times New Roman"/>
          <w:b/>
          <w:sz w:val="40"/>
          <w:szCs w:val="40"/>
        </w:rPr>
        <w:t>de bunuri</w:t>
      </w:r>
    </w:p>
    <w:p>
      <w:pPr>
        <w:jc w:val="center"/>
        <w:rPr>
          <w:rFonts w:hint="default" w:ascii="Times New Roman" w:hAnsi="Times New Roman" w:cs="Times New Roman"/>
          <w:b/>
          <w:sz w:val="40"/>
          <w:szCs w:val="40"/>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sz w:val="48"/>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32"/>
          <w:szCs w:val="32"/>
          <w:lang/>
        </w:rPr>
      </w:pPr>
      <w:r>
        <w:rPr>
          <w:rFonts w:hint="default" w:ascii="Times New Roman" w:hAnsi="Times New Roman" w:cs="Times New Roman"/>
          <w:sz w:val="32"/>
          <w:szCs w:val="32"/>
        </w:rPr>
        <w:t>Obiectul achiziţiei:</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cs="Times New Roman"/>
          <w:b/>
          <w:sz w:val="32"/>
          <w:szCs w:val="32"/>
          <w:lang/>
        </w:rPr>
        <w:t>Garnitură și plăcuțe de frână</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lang w:val="ro-RO"/>
        </w:rPr>
      </w:pPr>
      <w:r>
        <w:rPr>
          <w:rFonts w:hint="default" w:ascii="Times New Roman" w:hAnsi="Times New Roman" w:cs="Times New Roman"/>
          <w:sz w:val="32"/>
          <w:szCs w:val="32"/>
        </w:rPr>
        <w:t>Cod CPV:</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cs="Times New Roman"/>
          <w:b/>
          <w:sz w:val="32"/>
          <w:szCs w:val="32"/>
        </w:rPr>
        <w:t>3</w:t>
      </w:r>
      <w:r>
        <w:rPr>
          <w:rFonts w:hint="default" w:cs="Times New Roman"/>
          <w:b/>
          <w:sz w:val="32"/>
          <w:szCs w:val="32"/>
          <w:lang/>
        </w:rPr>
        <w:t>4900000</w:t>
      </w:r>
      <w:bookmarkStart w:id="140" w:name="_GoBack"/>
      <w:bookmarkEnd w:id="140"/>
      <w:r>
        <w:rPr>
          <w:rFonts w:hint="default" w:cs="Times New Roman"/>
          <w:b/>
          <w:sz w:val="32"/>
          <w:szCs w:val="32"/>
        </w:rPr>
        <w:t>-6</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Autoritarea Contractantă:</w:t>
      </w:r>
      <w:r>
        <w:rPr>
          <w:rFonts w:hint="default" w:ascii="Times New Roman" w:hAnsi="Times New Roman" w:cs="Times New Roman"/>
          <w:sz w:val="32"/>
          <w:szCs w:val="32"/>
        </w:rPr>
        <w:tab/>
      </w:r>
      <w:r>
        <w:rPr>
          <w:rFonts w:hint="default" w:ascii="Times New Roman" w:hAnsi="Times New Roman" w:cs="Times New Roman"/>
          <w:b/>
          <w:bCs/>
          <w:sz w:val="32"/>
          <w:szCs w:val="32"/>
          <w:lang w:val="ro-RO"/>
        </w:rPr>
        <w:t>ÎM ”Regia transport electric”</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Procedura achiziţiei:</w:t>
      </w:r>
      <w:r>
        <w:rPr>
          <w:rFonts w:hint="default" w:ascii="Times New Roman" w:hAnsi="Times New Roman" w:cs="Times New Roman"/>
          <w:sz w:val="32"/>
          <w:szCs w:val="32"/>
        </w:rPr>
        <w:tab/>
      </w:r>
      <w:r>
        <w:rPr>
          <w:rFonts w:hint="default" w:ascii="Times New Roman" w:hAnsi="Times New Roman" w:cs="Times New Roman"/>
          <w:sz w:val="32"/>
          <w:szCs w:val="32"/>
        </w:rPr>
        <w:tab/>
      </w:r>
      <w:r>
        <w:rPr>
          <w:rFonts w:hint="default" w:ascii="Times New Roman" w:hAnsi="Times New Roman" w:cs="Times New Roman"/>
          <w:b/>
          <w:bCs/>
          <w:sz w:val="32"/>
          <w:szCs w:val="32"/>
          <w:lang w:val="ro-RO"/>
        </w:rPr>
        <w:t>Licitație deschisă</w:t>
      </w:r>
    </w:p>
    <w:p/>
    <w:p/>
    <w:p/>
    <w:p/>
    <w:p/>
    <w:p/>
    <w:p/>
    <w:p/>
    <w:p/>
    <w:p/>
    <w:p/>
    <w:p/>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lang w:val="ro-RO"/>
        </w:rPr>
        <w:t>CAPITOLUL I</w:t>
      </w:r>
      <w:bookmarkStart w:id="0" w:name="_Toc392180117"/>
      <w:bookmarkStart w:id="1" w:name="_Toc449539007"/>
      <w:r>
        <w:rPr>
          <w:rFonts w:hint="default" w:ascii="Times New Roman" w:hAnsi="Times New Roman" w:cs="Times New Roman"/>
          <w:color w:val="auto"/>
        </w:rPr>
        <w:t xml:space="preserve"> </w:t>
      </w:r>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rPr>
        <w:t>INSTRUCŢIUNI PENTRU OFERTANŢI (IPO)</w:t>
      </w:r>
      <w:bookmarkEnd w:id="0"/>
      <w:bookmarkEnd w:id="1"/>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hint="default" w:ascii="Times New Roman" w:hAnsi="Times New Roman" w:cs="Times New Roman"/>
          <w:i/>
          <w:color w:val="auto"/>
          <w:spacing w:val="-2"/>
        </w:rPr>
      </w:pPr>
      <w:r>
        <w:rPr>
          <w:rFonts w:hint="default" w:ascii="Times New Roman" w:hAnsi="Times New Roman" w:cs="Times New Roman"/>
          <w:i/>
          <w:color w:val="auto"/>
          <w:spacing w:val="-2"/>
        </w:rPr>
        <w:t>[Notă: nu se va modifica de către Autoritatea Contractantă]</w:t>
      </w:r>
    </w:p>
    <w:p>
      <w:pPr>
        <w:jc w:val="center"/>
        <w:rPr>
          <w:rFonts w:hint="default" w:ascii="Times New Roman" w:hAnsi="Times New Roman" w:cs="Times New Roman"/>
          <w:b/>
          <w:bCs/>
          <w:color w:val="auto"/>
        </w:rPr>
      </w:pPr>
      <w:bookmarkStart w:id="2" w:name="_Toc449539008"/>
      <w:bookmarkStart w:id="3" w:name="_Toc392180118"/>
      <w:r>
        <w:rPr>
          <w:rFonts w:hint="default" w:ascii="Times New Roman" w:hAnsi="Times New Roman" w:cs="Times New Roman"/>
          <w:b/>
          <w:bCs/>
          <w:color w:val="auto"/>
        </w:rPr>
        <w:t>Sec</w:t>
      </w:r>
      <w:r>
        <w:rPr>
          <w:rFonts w:hint="default" w:ascii="Times New Roman" w:hAnsi="Times New Roman" w:cs="Times New Roman"/>
          <w:b/>
          <w:bCs/>
          <w:color w:val="auto"/>
          <w:lang w:val="zh-CN"/>
        </w:rPr>
        <w:t xml:space="preserve">țiunea 1. </w:t>
      </w:r>
      <w:r>
        <w:rPr>
          <w:rFonts w:hint="default" w:ascii="Times New Roman" w:hAnsi="Times New Roman" w:cs="Times New Roman"/>
          <w:b/>
          <w:bCs/>
          <w:color w:val="auto"/>
        </w:rPr>
        <w:t>Dispoziții generale</w:t>
      </w:r>
      <w:bookmarkEnd w:id="2"/>
      <w:bookmarkEnd w:id="3"/>
    </w:p>
    <w:p>
      <w:pPr>
        <w:jc w:val="center"/>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color w:val="auto"/>
        </w:rPr>
      </w:pPr>
      <w:bookmarkStart w:id="4" w:name="_Toc449539009"/>
      <w:bookmarkStart w:id="5" w:name="_Toc392180119"/>
      <w:r>
        <w:rPr>
          <w:rFonts w:hint="default" w:ascii="Times New Roman" w:hAnsi="Times New Roman" w:cs="Times New Roman"/>
          <w:color w:val="auto"/>
        </w:rPr>
        <w:t xml:space="preserve">Scopul procedurii de achiziție </w:t>
      </w:r>
      <w:bookmarkEnd w:id="4"/>
      <w:bookmarkEnd w:id="5"/>
    </w:p>
    <w:p>
      <w:pPr>
        <w:numPr>
          <w:ilvl w:val="1"/>
          <w:numId w:val="3"/>
        </w:numPr>
        <w:tabs>
          <w:tab w:val="left" w:pos="960"/>
          <w:tab w:val="left" w:pos="1080"/>
          <w:tab w:val="left" w:pos="1134"/>
        </w:tabs>
        <w:spacing w:after="120"/>
        <w:ind w:left="0" w:leftChars="0" w:firstLine="480" w:firstLineChars="0"/>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emite Documentele de atribuire în vederea achiziționării de bunuri, după cum este specificat în Fișa de Date a Achiziției (în continuare </w:t>
      </w:r>
      <w:r>
        <w:rPr>
          <w:rFonts w:hint="default" w:ascii="Times New Roman" w:hAnsi="Times New Roman" w:cs="Times New Roman"/>
          <w:b/>
          <w:color w:val="auto"/>
        </w:rPr>
        <w:t>FDA</w:t>
      </w:r>
      <w:r>
        <w:rPr>
          <w:rFonts w:hint="default" w:ascii="Times New Roman" w:hAnsi="Times New Roman" w:cs="Times New Roman"/>
          <w:color w:val="auto"/>
        </w:rPr>
        <w:t xml:space="preserve">). </w:t>
      </w: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b w:val="0"/>
          <w:color w:val="auto"/>
        </w:rPr>
      </w:pPr>
      <w:bookmarkStart w:id="6" w:name="_Toc392180120"/>
      <w:bookmarkStart w:id="7" w:name="_Toc449539010"/>
      <w:r>
        <w:rPr>
          <w:rFonts w:hint="default" w:ascii="Times New Roman" w:hAnsi="Times New Roman" w:cs="Times New Roman"/>
          <w:color w:val="auto"/>
        </w:rPr>
        <w:t>Principiile care stau la baza atribuirii contractului de achiziţie</w:t>
      </w:r>
      <w:bookmarkEnd w:id="6"/>
      <w:bookmarkEnd w:id="7"/>
      <w:r>
        <w:rPr>
          <w:rFonts w:hint="default" w:ascii="Times New Roman" w:hAnsi="Times New Roman" w:cs="Times New Roman"/>
          <w:b w:val="0"/>
          <w:color w:val="auto"/>
        </w:rPr>
        <w:t xml:space="preserve"> </w:t>
      </w:r>
    </w:p>
    <w:p>
      <w:pPr>
        <w:tabs>
          <w:tab w:val="left" w:pos="1134"/>
        </w:tabs>
        <w:ind w:left="0" w:leftChars="0" w:firstLine="480" w:firstLineChars="0"/>
        <w:rPr>
          <w:rFonts w:hint="default" w:ascii="Times New Roman" w:hAnsi="Times New Roman" w:cs="Times New Roman"/>
          <w:color w:val="auto"/>
        </w:rPr>
      </w:pPr>
      <w:r>
        <w:rPr>
          <w:rFonts w:hint="default" w:ascii="Times New Roman" w:hAnsi="Times New Roman" w:cs="Times New Roman"/>
          <w:color w:val="auto"/>
          <w:szCs w:val="28"/>
        </w:rPr>
        <w:t>2.1.</w:t>
      </w:r>
      <w:r>
        <w:rPr>
          <w:rFonts w:hint="default" w:ascii="Times New Roman" w:hAnsi="Times New Roman" w:cs="Times New Roman"/>
          <w:color w:val="auto"/>
          <w:sz w:val="18"/>
        </w:rPr>
        <w:t xml:space="preserve"> </w:t>
      </w:r>
      <w:r>
        <w:rPr>
          <w:rFonts w:hint="default" w:ascii="Times New Roman" w:hAnsi="Times New Roman" w:cs="Times New Roman"/>
          <w:color w:val="auto"/>
        </w:rPr>
        <w:t>Principiile care stau la baza atribuirii contractului de achiziţie  sînt: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8" w:name="_Toc392180121"/>
      <w:bookmarkStart w:id="9" w:name="_Toc449539011"/>
      <w:bookmarkStart w:id="10" w:name="_Toc392179950"/>
      <w:r>
        <w:rPr>
          <w:rFonts w:hint="default" w:ascii="Times New Roman" w:hAnsi="Times New Roman" w:cs="Times New Roman"/>
          <w:b w:val="0"/>
          <w:color w:val="auto"/>
        </w:rPr>
        <w:t>libera  concurenţă;</w:t>
      </w:r>
      <w:bookmarkEnd w:id="8"/>
      <w:bookmarkEnd w:id="9"/>
      <w:bookmarkEnd w:id="10"/>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1" w:name="_Toc392180122"/>
      <w:bookmarkStart w:id="12" w:name="_Toc449539012"/>
      <w:bookmarkStart w:id="13" w:name="_Toc392179951"/>
      <w:r>
        <w:rPr>
          <w:rFonts w:hint="default" w:ascii="Times New Roman" w:hAnsi="Times New Roman" w:cs="Times New Roman"/>
          <w:b w:val="0"/>
          <w:color w:val="auto"/>
        </w:rPr>
        <w:t>eficienţa utilizării fondurilor publice și minimizarea riscurilor autorităților/entițălilor contractante;</w:t>
      </w:r>
      <w:bookmarkEnd w:id="11"/>
      <w:bookmarkEnd w:id="12"/>
      <w:bookmarkEnd w:id="13"/>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14" w:name="_Toc449539013"/>
      <w:bookmarkStart w:id="15" w:name="_Toc392180123"/>
      <w:bookmarkStart w:id="16" w:name="_Toc392179952"/>
      <w:r>
        <w:rPr>
          <w:rFonts w:hint="default" w:ascii="Times New Roman" w:hAnsi="Times New Roman" w:cs="Times New Roman"/>
          <w:b w:val="0"/>
          <w:color w:val="auto"/>
        </w:rPr>
        <w:t>transparenţa;</w:t>
      </w:r>
      <w:bookmarkEnd w:id="14"/>
      <w:bookmarkEnd w:id="15"/>
      <w:bookmarkEnd w:id="16"/>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7" w:name="_Toc392179953"/>
      <w:bookmarkStart w:id="18" w:name="_Toc392180124"/>
      <w:bookmarkStart w:id="19" w:name="_Toc449539014"/>
      <w:r>
        <w:rPr>
          <w:rFonts w:hint="default" w:ascii="Times New Roman" w:hAnsi="Times New Roman" w:cs="Times New Roman"/>
          <w:b w:val="0"/>
          <w:color w:val="auto"/>
        </w:rPr>
        <w:t>tratamentul egal, imparțial și nedescriminatoriu în privința tuturor ofertanților și operatorilor economici;</w:t>
      </w:r>
      <w:bookmarkEnd w:id="17"/>
      <w:bookmarkEnd w:id="18"/>
      <w:bookmarkEnd w:id="19"/>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20" w:name="_Toc392179954"/>
      <w:bookmarkStart w:id="21" w:name="_Toc449539015"/>
      <w:bookmarkStart w:id="22" w:name="_Toc392180125"/>
      <w:r>
        <w:rPr>
          <w:rFonts w:hint="default" w:ascii="Times New Roman" w:hAnsi="Times New Roman" w:cs="Times New Roman"/>
          <w:b w:val="0"/>
          <w:color w:val="auto"/>
        </w:rPr>
        <w:t>protecția mediului;</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respectarea ordinii de drept;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confidenţialitatea</w:t>
      </w:r>
      <w:bookmarkEnd w:id="20"/>
      <w:bookmarkEnd w:id="21"/>
      <w:bookmarkEnd w:id="22"/>
      <w:r>
        <w:rPr>
          <w:rFonts w:hint="default" w:ascii="Times New Roman" w:hAnsi="Times New Roman" w:cs="Times New Roman"/>
          <w:b w:val="0"/>
          <w:color w:val="auto"/>
        </w:rPr>
        <w: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 xml:space="preserve">asumarea răspunderii în cadrul procedurilor de achiziţie </w:t>
      </w:r>
    </w:p>
    <w:p>
      <w:pPr>
        <w:ind w:left="0" w:leftChars="0" w:firstLine="480" w:firstLineChars="200"/>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firstLine="567"/>
        <w:rPr>
          <w:rFonts w:hint="default" w:ascii="Times New Roman" w:hAnsi="Times New Roman" w:cs="Times New Roman"/>
          <w:color w:val="auto"/>
        </w:rPr>
      </w:pPr>
      <w:bookmarkStart w:id="23" w:name="_Toc449539017"/>
      <w:bookmarkStart w:id="24" w:name="_Toc392180127"/>
      <w:r>
        <w:rPr>
          <w:rFonts w:hint="default" w:ascii="Times New Roman" w:hAnsi="Times New Roman" w:cs="Times New Roman"/>
          <w:color w:val="auto"/>
        </w:rPr>
        <w:t>Sursa de finanţare</w:t>
      </w:r>
      <w:bookmarkEnd w:id="23"/>
      <w:bookmarkEnd w:id="24"/>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 În </w:t>
      </w:r>
      <w:r>
        <w:rPr>
          <w:rFonts w:hint="default" w:ascii="Times New Roman" w:hAnsi="Times New Roman" w:cs="Times New Roman"/>
          <w:b/>
          <w:color w:val="auto"/>
        </w:rPr>
        <w:t>FDA</w:t>
      </w:r>
      <w:r>
        <w:rPr>
          <w:rFonts w:hint="default" w:ascii="Times New Roman" w:hAnsi="Times New Roman" w:cs="Times New Roman"/>
          <w:color w:val="auto"/>
        </w:rPr>
        <w:t xml:space="preserve"> va fi specificată sursa de finanțare pentru plăţile contractului ce urmează a fi atribuit.  </w:t>
      </w: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5" w:name="_Toc449539018"/>
      <w:bookmarkStart w:id="26" w:name="_Toc392180128"/>
      <w:r>
        <w:rPr>
          <w:rFonts w:hint="default" w:ascii="Times New Roman" w:hAnsi="Times New Roman" w:cs="Times New Roman"/>
          <w:color w:val="auto"/>
        </w:rPr>
        <w:t>Participanţii la licitaţie</w:t>
      </w:r>
      <w:bookmarkEnd w:id="25"/>
      <w:bookmarkEnd w:id="2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Participant la licitaţie poate fi orice operator economic rezident sau nerezident, persoană fizică sau juridică  de drept public sau privat ori asociație de astfel de persoane, care are dreptul de a participa la procedura de atribuire a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Dreptul de participare la procedurile de atribuire a contractelor de achiziţii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Pr>
          <w:rFonts w:hint="default" w:ascii="Times New Roman" w:hAnsi="Times New Roman" w:cs="Times New Roman"/>
          <w:color w:val="auto"/>
        </w:rPr>
        <w:br w:type="textWrapping"/>
      </w:r>
      <w:bookmarkStart w:id="27" w:name="_Toc392180129"/>
      <w:bookmarkStart w:id="28" w:name="_Toc449539019"/>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 xml:space="preserve">Cheltuielile de participare la </w:t>
      </w:r>
      <w:bookmarkEnd w:id="27"/>
      <w:bookmarkEnd w:id="28"/>
      <w:r>
        <w:rPr>
          <w:rFonts w:hint="default" w:ascii="Times New Roman" w:hAnsi="Times New Roman" w:cs="Times New Roman"/>
          <w:color w:val="auto"/>
        </w:rPr>
        <w:t>procedura de achiziție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suportă toate costurile legate de pregătirea şi înaintarea ofertei, iar autoritatea contractantă nu poartă nici o responsabilitate pentru aceste costuri, indiferent de desfăşurarea sau rezultatul procedurii de licitaţie.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ofertelor, operatorul economic, după caz, va achita o taxă. Modul de achitare a taxei menţionate, precum şi cuantumul acesteia sînt stabilite de Guvern.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Achitarea taxei pentru depunerea ofertei se va efectua prin intermediul platformei de achiziții electronice prin care se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9" w:name="_Toc392180130"/>
      <w:bookmarkStart w:id="30" w:name="_Toc449539020"/>
      <w:r>
        <w:rPr>
          <w:rFonts w:hint="default" w:ascii="Times New Roman" w:hAnsi="Times New Roman" w:cs="Times New Roman"/>
          <w:color w:val="auto"/>
        </w:rPr>
        <w:t>Limba de comunicare în cadrul licitaţiei</w:t>
      </w:r>
      <w:bookmarkEnd w:id="29"/>
      <w:bookmarkEnd w:id="30"/>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Documentul Unic de Achiziții European (în continuare </w:t>
      </w:r>
      <w:r>
        <w:rPr>
          <w:rFonts w:hint="default" w:ascii="Times New Roman" w:hAnsi="Times New Roman" w:cs="Times New Roman"/>
          <w:b/>
          <w:color w:val="auto"/>
        </w:rPr>
        <w:t>DUAE</w:t>
      </w:r>
      <w:r>
        <w:rPr>
          <w:rFonts w:hint="default" w:ascii="Times New Roman" w:hAnsi="Times New Roman" w:cs="Times New Roman"/>
          <w:color w:val="auto"/>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poate specifica după caz, în </w:t>
      </w:r>
      <w:r>
        <w:rPr>
          <w:rFonts w:hint="default" w:ascii="Times New Roman" w:hAnsi="Times New Roman" w:cs="Times New Roman"/>
          <w:b/>
          <w:color w:val="auto"/>
        </w:rPr>
        <w:t>FDA</w:t>
      </w:r>
      <w:r>
        <w:rPr>
          <w:rFonts w:hint="default" w:ascii="Times New Roman" w:hAnsi="Times New Roman" w:cs="Times New Roman"/>
          <w:color w:val="auto"/>
        </w:rPr>
        <w:t xml:space="preserve"> posibilitatea depunerii ofertei și într-o altă limbă de circulație internațională.</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1" w:name="_Toc449539021"/>
      <w:bookmarkStart w:id="32" w:name="_Toc392180131"/>
      <w:r>
        <w:rPr>
          <w:rFonts w:hint="default" w:ascii="Times New Roman" w:hAnsi="Times New Roman" w:cs="Times New Roman"/>
          <w:color w:val="auto"/>
        </w:rPr>
        <w:t>Secţiunile Documentelor de atribuire</w:t>
      </w:r>
      <w:bookmarkEnd w:id="31"/>
      <w:bookmarkEnd w:id="32"/>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Documentele de atribuire includ toate secţiunile indicate în prezentul punct şi trebuie citite în conjuncţie cu orice modificare conform punctului</w:t>
      </w:r>
      <w:r>
        <w:rPr>
          <w:rFonts w:hint="default" w:ascii="Times New Roman" w:hAnsi="Times New Roman" w:cs="Times New Roman"/>
          <w:color w:val="auto"/>
          <w:shd w:val="clear" w:color="auto" w:fill="FFFFFF" w:themeFill="background1"/>
        </w:rPr>
        <w:t xml:space="preserve"> IPO8.</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 Instrucţiuni pentru ofertanţi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II. Fişa de date a achiziţiei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III. Formulare pentru depunerea ofertei</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IV. Specificații tehnice și de preț.</w:t>
      </w:r>
    </w:p>
    <w:p>
      <w:pPr>
        <w:tabs>
          <w:tab w:val="left" w:pos="1134"/>
          <w:tab w:val="left" w:pos="1602"/>
          <w:tab w:val="left" w:pos="2502"/>
        </w:tabs>
        <w:ind w:firstLine="567"/>
        <w:jc w:val="both"/>
        <w:rPr>
          <w:rFonts w:hint="default" w:ascii="Times New Roman" w:hAnsi="Times New Roman" w:cs="Times New Roman"/>
          <w:color w:val="auto"/>
        </w:rPr>
      </w:pPr>
      <w:r>
        <w:rPr>
          <w:rFonts w:hint="default" w:ascii="Times New Roman" w:hAnsi="Times New Roman" w:cs="Times New Roman"/>
          <w:color w:val="auto"/>
        </w:rPr>
        <w:t>CAPITOLUL V. Formularul de contract</w:t>
      </w:r>
    </w:p>
    <w:p>
      <w:pPr>
        <w:tabs>
          <w:tab w:val="left" w:pos="1134"/>
          <w:tab w:val="left" w:pos="1602"/>
          <w:tab w:val="left" w:pos="2502"/>
        </w:tabs>
        <w:ind w:firstLine="567"/>
        <w:jc w:val="both"/>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3" w:name="_Toc392180132"/>
      <w:bookmarkStart w:id="34" w:name="_Toc449539022"/>
      <w:r>
        <w:rPr>
          <w:rFonts w:hint="default" w:ascii="Times New Roman" w:hAnsi="Times New Roman" w:cs="Times New Roman"/>
          <w:color w:val="auto"/>
        </w:rPr>
        <w:t>Clarificarea şi modificarea documentelor de atribuire</w:t>
      </w:r>
      <w:bookmarkEnd w:id="33"/>
      <w:bookmarkEnd w:id="34"/>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Participantul care solicită clarificări asupra documentelor de atribuire va contacta autoritatea contractantă în scris, prin mijloace electronice de comunicare</w:t>
      </w:r>
      <w:r>
        <w:rPr>
          <w:rFonts w:hint="default" w:ascii="Times New Roman" w:hAnsi="Times New Roman" w:cs="Times New Roman"/>
          <w:b/>
          <w:color w:val="auto"/>
        </w:rPr>
        <w:t>.</w:t>
      </w:r>
      <w:r>
        <w:rPr>
          <w:rFonts w:hint="default" w:ascii="Times New Roman" w:hAnsi="Times New Roman" w:cs="Times New Roman"/>
          <w:color w:val="auto"/>
        </w:rPr>
        <w:t xml:space="preserve"> Autoritatea contractantă va răspunde în scris, prin mijloace electronice de comunicare la orice cerere de clarificare, înainte de termenul-limită pentru depunerea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În cazul în care operatorul economic nu a transmis solicitarea de clarificare în timp util, punînd astfel autoritatea contractantă în imposibilitate de a respecta termenele prevăzute </w:t>
      </w:r>
      <w:r>
        <w:rPr>
          <w:rFonts w:hint="default" w:ascii="Times New Roman" w:hAnsi="Times New Roman" w:cs="Times New Roman"/>
          <w:color w:val="auto"/>
        </w:rPr>
        <w:t>de legislație</w:t>
      </w:r>
      <w:r>
        <w:rPr>
          <w:rFonts w:hint="default" w:ascii="Times New Roman" w:hAnsi="Times New Roman" w:cs="Times New Roman"/>
          <w:color w:val="auto"/>
          <w:lang w:val="en-GB"/>
        </w:rPr>
        <w:t>, aceasta din urmă este în drept să nu răspundă.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Practicile de corupere şi alte practici interzise</w:t>
      </w:r>
      <w:bookmarkEnd w:id="35"/>
      <w:bookmarkEnd w:id="3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Autoritățile contractante şi participanţii la licitaţii vor respecta cele mai înalte standarde ale eticii de conduită în desfăşurarea şi implementarea proceselor de achiziţii, precum şi în executarea contractelor de achiziție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va depista că ofertantul a fost implicat în practicile menționate la punctul IPO9.4 în cadrul procesului de concurenţă pentru contractul de achiziţie  sau pe parcursul executării contractului, aceasta: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b w:val="0"/>
          <w:color w:val="auto"/>
        </w:rPr>
      </w:pPr>
      <w:bookmarkStart w:id="37" w:name="_Toc392180134"/>
      <w:bookmarkStart w:id="38" w:name="_Toc449539024"/>
      <w:bookmarkStart w:id="39" w:name="_Toc392179963"/>
      <w:r>
        <w:rPr>
          <w:rFonts w:hint="default"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hint="default" w:ascii="Times New Roman" w:hAnsi="Times New Roman" w:cs="Times New Roman"/>
          <w:b w:val="0"/>
          <w:color w:val="auto"/>
        </w:rPr>
        <w:t xml:space="preserve">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0" w:name="_Toc449539025"/>
      <w:bookmarkStart w:id="41" w:name="_Toc392180135"/>
      <w:bookmarkStart w:id="42" w:name="_Toc392179964"/>
      <w:r>
        <w:rPr>
          <w:rFonts w:hint="default" w:ascii="Times New Roman" w:hAnsi="Times New Roman" w:cs="Times New Roman"/>
          <w:b w:val="0"/>
          <w:color w:val="auto"/>
        </w:rPr>
        <w:t xml:space="preserve">va întreprinde orice alte măsuri prevăzute </w:t>
      </w:r>
      <w:bookmarkEnd w:id="40"/>
      <w:bookmarkEnd w:id="41"/>
      <w:bookmarkEnd w:id="42"/>
      <w:r>
        <w:rPr>
          <w:rFonts w:hint="default" w:ascii="Times New Roman" w:hAnsi="Times New Roman" w:cs="Times New Roman"/>
          <w:b w:val="0"/>
          <w:color w:val="auto"/>
        </w:rPr>
        <w:t>de legislație.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Agenția Achiziții Publice, în procesul de monitorizare a procedurilor de achiziții publice, constată că un operator economic a fost implicat în practicile menționate la punctul IPO9.4</w:t>
      </w:r>
      <w:r>
        <w:rPr>
          <w:rFonts w:hint="default" w:ascii="Times New Roman" w:hAnsi="Times New Roman" w:cs="Times New Roman"/>
          <w:b/>
          <w:color w:val="auto"/>
        </w:rPr>
        <w:t xml:space="preserve">, </w:t>
      </w:r>
      <w:r>
        <w:rPr>
          <w:rFonts w:hint="default" w:ascii="Times New Roman" w:hAnsi="Times New Roman" w:cs="Times New Roman"/>
          <w:color w:val="auto"/>
        </w:rPr>
        <w:t>va raporta imediat organelor competente fiecare caz de corupere sau de tentativă de corupere comis de operatorul economic respectiv.</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cadrul procedurilor de achiziție și executării contractului, nu se permit următoarele acţiuni:</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3" w:name="_Toc392180136"/>
      <w:bookmarkStart w:id="44" w:name="_Toc392179965"/>
      <w:bookmarkStart w:id="45" w:name="_Toc449539026"/>
      <w:r>
        <w:rPr>
          <w:rFonts w:hint="default"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6" w:name="_Toc392179966"/>
      <w:bookmarkStart w:id="47" w:name="_Toc392180137"/>
      <w:bookmarkStart w:id="48" w:name="_Toc449539027"/>
      <w:r>
        <w:rPr>
          <w:rFonts w:hint="default"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9" w:name="_Toc392179967"/>
      <w:bookmarkStart w:id="50" w:name="_Toc449539028"/>
      <w:bookmarkStart w:id="51" w:name="_Toc392180138"/>
      <w:r>
        <w:rPr>
          <w:rFonts w:hint="default" w:ascii="Times New Roman" w:hAnsi="Times New Roman" w:cs="Times New Roman"/>
          <w:b w:val="0"/>
          <w:color w:val="auto"/>
        </w:rPr>
        <w:t>înţelegerea interzisă de lege, între două sau mai multe părţi, realizată în scopul coordonării comportamentului lor la procedurile de achiziţii;</w:t>
      </w:r>
      <w:bookmarkEnd w:id="49"/>
      <w:bookmarkEnd w:id="50"/>
      <w:bookmarkEnd w:id="51"/>
    </w:p>
    <w:p>
      <w:pPr>
        <w:rPr>
          <w:rFonts w:hint="default" w:ascii="Times New Roman" w:hAnsi="Times New Roman" w:cs="Times New Roman"/>
          <w:color w:val="auto"/>
        </w:rPr>
      </w:pP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2" w:name="_Toc392180139"/>
      <w:bookmarkStart w:id="53" w:name="_Toc449539029"/>
      <w:bookmarkStart w:id="54" w:name="_Toc392179968"/>
      <w:r>
        <w:rPr>
          <w:rFonts w:hint="default"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5" w:name="_Toc392180140"/>
      <w:bookmarkStart w:id="56" w:name="_Toc449539030"/>
      <w:bookmarkStart w:id="57" w:name="_Toc392179969"/>
      <w:r>
        <w:rPr>
          <w:rFonts w:hint="default"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Personalul autorităţii contractante are obligația de a  exclude practicile de corupere  în vederea obţinerii beneficiilor personale în legătură cu desfăşurarea procedurii de achiziţii .</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58" w:name="_Toc449539031"/>
      <w:bookmarkStart w:id="59" w:name="_Toc392180141"/>
      <w:r>
        <w:rPr>
          <w:rFonts w:hint="default" w:ascii="Times New Roman" w:hAnsi="Times New Roman" w:cs="Times New Roman"/>
          <w:color w:val="auto"/>
        </w:rPr>
        <w:t>Secțiunea a-2-a. Criterii de calificare</w:t>
      </w:r>
      <w:bookmarkEnd w:id="58"/>
      <w:bookmarkEnd w:id="59"/>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0" w:name="_Toc392180142"/>
      <w:bookmarkStart w:id="61" w:name="_Toc449539032"/>
      <w:r>
        <w:rPr>
          <w:rFonts w:hint="default" w:ascii="Times New Roman" w:hAnsi="Times New Roman" w:cs="Times New Roman"/>
          <w:color w:val="auto"/>
        </w:rPr>
        <w:t>Criterii generale</w:t>
      </w:r>
      <w:bookmarkEnd w:id="60"/>
      <w:bookmarkEnd w:id="61"/>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Pentru confirmarea datelor de calificare în cadrul procedurii de achiziţii, operatorul economic va completa și va prezenta </w:t>
      </w:r>
      <w:r>
        <w:rPr>
          <w:rFonts w:hint="default" w:ascii="Times New Roman" w:hAnsi="Times New Roman" w:cs="Times New Roman"/>
          <w:b/>
          <w:color w:val="auto"/>
        </w:rPr>
        <w:t>DUAE</w:t>
      </w:r>
      <w:r>
        <w:rPr>
          <w:rFonts w:hint="default" w:ascii="Times New Roman" w:hAnsi="Times New Roman" w:cs="Times New Roman"/>
          <w:color w:val="auto"/>
        </w:rPr>
        <w:t xml:space="preserve">, în conformitate cu cerințele stabilite de autoritatea contractantă. </w:t>
      </w:r>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Prezentarea oricărui alt formular </w:t>
      </w:r>
      <w:r>
        <w:rPr>
          <w:rFonts w:hint="default" w:ascii="Times New Roman" w:hAnsi="Times New Roman" w:cs="Times New Roman"/>
          <w:b/>
          <w:color w:val="auto"/>
        </w:rPr>
        <w:t>DUAE</w:t>
      </w:r>
      <w:r>
        <w:rPr>
          <w:rFonts w:hint="default" w:ascii="Times New Roman" w:hAnsi="Times New Roman" w:cs="Times New Roman"/>
          <w:color w:val="auto"/>
        </w:rPr>
        <w:t xml:space="preserve"> decît cel solicitat de către autoritatea contractantă, va servi ca temei de descalificare de la procedura de achiziție .  </w:t>
      </w:r>
    </w:p>
    <w:p>
      <w:pPr>
        <w:keepNext w:val="0"/>
        <w:keepLines w:val="0"/>
        <w:pageBreakBefore w:val="0"/>
        <w:widowControl/>
        <w:tabs>
          <w:tab w:val="left" w:pos="960"/>
          <w:tab w:val="left" w:pos="1134"/>
        </w:tabs>
        <w:kinsoku/>
        <w:wordWrap/>
        <w:overflowPunct/>
        <w:topLinePunct w:val="0"/>
        <w:bidi w:val="0"/>
        <w:snapToGrid/>
        <w:spacing w:after="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Autoritatea contractantă va aplica criterii și cerințe de calificare numai referitoare la:</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eligibilitatea ofertantului sau candidatului;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capacitatea de exercitare a activității profesionale;</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economică şi financiară;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tehnică şi/sau profesională;  </w:t>
      </w:r>
    </w:p>
    <w:p>
      <w:pPr>
        <w:pStyle w:val="12"/>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standarde de asigurare a calității; </w:t>
      </w:r>
    </w:p>
    <w:p>
      <w:pPr>
        <w:pStyle w:val="3"/>
        <w:keepNext w:val="0"/>
        <w:keepLines w:val="0"/>
        <w:pageBreakBefore w:val="0"/>
        <w:widowControl/>
        <w:numPr>
          <w:ilvl w:val="0"/>
          <w:numId w:val="7"/>
        </w:numPr>
        <w:kinsoku/>
        <w:wordWrap/>
        <w:overflowPunct/>
        <w:topLinePunct w:val="0"/>
        <w:bidi w:val="0"/>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standarde de protecţie a mediului.</w:t>
      </w: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2" w:name="_Toc449539033"/>
      <w:bookmarkStart w:id="63" w:name="_Toc392180143"/>
      <w:r>
        <w:rPr>
          <w:rFonts w:hint="default" w:ascii="Times New Roman" w:hAnsi="Times New Roman" w:cs="Times New Roman"/>
          <w:color w:val="auto"/>
        </w:rPr>
        <w:t>Eligibilitatea ofertantului</w:t>
      </w:r>
      <w:bookmarkEnd w:id="62"/>
      <w:bookmarkEnd w:id="63"/>
      <w:r>
        <w:rPr>
          <w:rFonts w:hint="default" w:ascii="Times New Roman" w:hAnsi="Times New Roman" w:cs="Times New Roman"/>
          <w:color w:val="auto"/>
        </w:rPr>
        <w:t xml:space="preserve"> sau candidatului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rezident sau nerezident, persoană fizică sau juridică de drept public sau privat ori asociație de astfel de persoane are dreptul de a participa la procedura de atribuire a contractului de achiziţie  .</w:t>
      </w:r>
    </w:p>
    <w:p>
      <w:pPr>
        <w:keepNext w:val="0"/>
        <w:keepLines w:val="0"/>
        <w:pageBreakBefore w:val="0"/>
        <w:widowControl/>
        <w:numPr>
          <w:ilvl w:val="1"/>
          <w:numId w:val="3"/>
        </w:numPr>
        <w:tabs>
          <w:tab w:val="left" w:pos="0"/>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eastAsia="ro-RO"/>
        </w:rPr>
        <w:t>Va fi exclus de la procedura de atribuire a contractului de achiziții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Va fi exclus de la procedura pentru atribuire a contractului de achiziţie , şi respectiv nu este eligibil, orice ofertant care se află în oricare dintre următoarele situaţii:</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GB"/>
        </w:rPr>
        <w:t>se află în proces de insolvabilitate</w:t>
      </w:r>
      <w:r>
        <w:rPr>
          <w:rFonts w:hint="default" w:ascii="Times New Roman" w:hAnsi="Times New Roman" w:cs="Times New Roman"/>
          <w:color w:val="auto"/>
          <w:lang w:val="en-US"/>
        </w:rPr>
        <w:t xml:space="preserve"> ca urmare a hotărîrii judecătorești; </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 xml:space="preserve">nu şi-a îndeplinit obligaţiile de plată a impozitelor, taxelor şi contribuţiilor de asigurări sociale către bugetele componente ale bugetului general consolidat, în conformitate cu </w:t>
      </w:r>
      <w:r>
        <w:rPr>
          <w:rFonts w:hint="default" w:ascii="Times New Roman" w:hAnsi="Times New Roman" w:cs="Times New Roman"/>
          <w:color w:val="auto"/>
        </w:rPr>
        <w:t>prevederile legale în Republica Moldova sau în ţara în care este stabilit;</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fost condamnat, în ultimii trei ani, prin hotărîrea definitivă a unei instanţe judecătoreşti, pentru o faptă care a adus atingere eticii profesionale sau pentru comiterea unei greşeli în materie profesională;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prezintă informaţii false sau nu prezintă informaţiile solicitate de către autoritatea contractantă, în scopul demonstrării îndeplinirii criteriilor de calificare şi selecţie</w:t>
      </w:r>
      <w:r>
        <w:rPr>
          <w:rFonts w:hint="default" w:ascii="Times New Roman" w:hAnsi="Times New Roman" w:cs="Times New Roman"/>
          <w:color w:val="auto"/>
          <w:lang w:val="zh-CN"/>
        </w:rPr>
        <w: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încălcat obligaţiile aplicabile în domeniul mediului, muncii şi asigurărilor sociale, în cazul în care autoritatea contractantă demonstrează, prin orice mijloace adecvate, acest fapt;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face vinovat de o abatere profesională, care îi pune la îndoială integritatea, în cazul în care autoritatea contractantă demonstrează, prin orice mijloace adecvate, acest fapt;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încheiat cu alţi operatori economici acorduri care vizează denaturarea concurenţei, în cazul în care acest fapt se constată printr-o decizie a organului abilitat în acest sens;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află într-o situaţie de conflict de interese care nu poate fi remediată în mod efectiv prin măsurile  legale;</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este inclus în Lista de interdicţie a operatorilor economici.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Autoritatea contractantă extrage informaţia necesară pentru constatarea existenţei sau inexistenţei circumstanţelor </w:t>
      </w:r>
      <w:r>
        <w:rPr>
          <w:rFonts w:hint="default" w:ascii="Times New Roman" w:hAnsi="Times New Roman" w:cs="Times New Roman"/>
          <w:color w:val="auto"/>
        </w:rPr>
        <w:t xml:space="preserve">menționate la punctele IPO11.2 și IPO11.3 </w:t>
      </w:r>
      <w:r>
        <w:rPr>
          <w:rFonts w:hint="default" w:ascii="Times New Roman" w:hAnsi="Times New Roman" w:cs="Times New Roman"/>
          <w:color w:val="auto"/>
          <w:lang w:val="en-GB"/>
        </w:rPr>
        <w:t>din bazele de date disponibile ale autorităţilor publice sau ale părţilor terţe. Dacă acest lucru nu este posibil, a</w:t>
      </w:r>
      <w:r>
        <w:rPr>
          <w:rFonts w:hint="default" w:ascii="Times New Roman" w:hAnsi="Times New Roman" w:cs="Times New Roman"/>
          <w:color w:val="auto"/>
        </w:rP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aflat în oricare dintre situaţiile prevăzute la punctele IPO11.2 și IPO11.3</w:t>
      </w:r>
      <w:r>
        <w:rPr>
          <w:rFonts w:hint="default" w:ascii="Times New Roman" w:hAnsi="Times New Roman" w:cs="Times New Roman"/>
          <w:b/>
          <w:color w:val="auto"/>
        </w:rPr>
        <w:t xml:space="preserve"> </w:t>
      </w:r>
      <w:r>
        <w:rPr>
          <w:rFonts w:hint="default" w:ascii="Times New Roman" w:hAnsi="Times New Roman" w:cs="Times New Roman"/>
          <w:color w:val="auto"/>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5"/>
        <w:keepNext w:val="0"/>
        <w:keepLines w:val="0"/>
        <w:numPr>
          <w:ilvl w:val="0"/>
          <w:numId w:val="3"/>
        </w:numPr>
        <w:tabs>
          <w:tab w:val="left" w:pos="360"/>
          <w:tab w:val="left" w:pos="1134"/>
        </w:tabs>
        <w:spacing w:after="120"/>
        <w:ind w:left="0" w:firstLine="567"/>
        <w:rPr>
          <w:rFonts w:hint="default" w:ascii="Times New Roman" w:hAnsi="Times New Roman" w:cs="Times New Roman"/>
          <w:color w:val="auto"/>
        </w:rPr>
      </w:pPr>
      <w:bookmarkStart w:id="64" w:name="_Toc392180144"/>
      <w:bookmarkStart w:id="65" w:name="_Toc449539034"/>
      <w:r>
        <w:rPr>
          <w:rFonts w:hint="default" w:ascii="Times New Roman" w:hAnsi="Times New Roman" w:cs="Times New Roman"/>
          <w:color w:val="auto"/>
        </w:rPr>
        <w:t>Capacitatea de exercitare a activității profesionale</w:t>
      </w:r>
      <w:bookmarkEnd w:id="64"/>
      <w:bookmarkEnd w:id="6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solicită oricărui ofertant să prezinte  dovada din care să rezulte o formă de înregistrare ca persoană juridică, capacitatea legală de a furniza bunuri, în conformitate cu prevederile legale din țara în care este stabilit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66" w:name="_Toc392180145"/>
      <w:bookmarkStart w:id="67" w:name="_Toc449539035"/>
      <w:r>
        <w:rPr>
          <w:rFonts w:hint="default" w:ascii="Times New Roman" w:hAnsi="Times New Roman" w:cs="Times New Roman"/>
          <w:color w:val="auto"/>
        </w:rPr>
        <w:t>Capacitatea economică şi financiară</w:t>
      </w:r>
      <w:bookmarkEnd w:id="66"/>
      <w:bookmarkEnd w:id="67"/>
    </w:p>
    <w:p>
      <w:pPr>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cs="Times New Roman"/>
          <w:color w:val="auto"/>
          <w:sz w:val="24"/>
          <w:szCs w:val="24"/>
          <w:lang w:val="ro-RO"/>
        </w:rPr>
        <w:t>declarații bancare corespunzătoare sau, după caz, dovezi privind asigurarea riscului profesional</w:t>
      </w:r>
      <w:r>
        <w:rPr>
          <w:rFonts w:hint="default" w:ascii="Times New Roman" w:hAnsi="Times New Roman" w:eastAsia="Times New Roman" w:cs="Times New Roman"/>
          <w:color w:val="auto"/>
          <w:kern w:val="0"/>
          <w:sz w:val="24"/>
          <w:szCs w:val="24"/>
          <w:lang w:val="ro-RO"/>
        </w:rPr>
        <w:t xml:space="preserve">;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 xml:space="preserve">rapoarte financiare sau, în cazul în care publicarea acestor rapoarte este prevăzută de legislaţia ţării în care este stabilit ofertantul, extrase de rapoarte financiare; </w:t>
      </w:r>
    </w:p>
    <w:p>
      <w:pPr>
        <w:pStyle w:val="13"/>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449539036"/>
      <w:bookmarkStart w:id="69" w:name="_Toc392180146"/>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Ofertantul/candidatul poate să-și demonstreze capacitatea economică și financiară și prin susținerea acordata de către o altă persoană indiferent de natura relațiilor juridice existente între ofertant/candidat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susținerea financiară trebuie să îndeplinească criteriile de selecție relevante și nu trebuie să se afle în niciuna dintre situațiile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 asociație de operatori economici la fel are dreptul să se bazeze pe capacitățile membrilor asociației sau ale altor persoane.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eastAsia="Calibri" w:cs="Times New Roman"/>
          <w:color w:val="auto"/>
          <w:kern w:val="3"/>
        </w:rPr>
      </w:pPr>
    </w:p>
    <w:bookmarkEnd w:id="68"/>
    <w:bookmarkEnd w:id="69"/>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0" w:name="_Toc392180147"/>
      <w:bookmarkStart w:id="71" w:name="_Toc449539037"/>
      <w:r>
        <w:rPr>
          <w:rFonts w:hint="default" w:ascii="Times New Roman" w:hAnsi="Times New Roman" w:cs="Times New Roman"/>
          <w:color w:val="auto"/>
        </w:rPr>
        <w:t>Capacitate tehnică și/sau profesională</w:t>
      </w:r>
      <w:bookmarkEnd w:id="70"/>
      <w:bookmarkEnd w:id="71"/>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pStyle w:val="13"/>
        <w:keepNext w:val="0"/>
        <w:keepLines w:val="0"/>
        <w:pageBreakBefore w:val="0"/>
        <w:widowControl/>
        <w:numPr>
          <w:ilvl w:val="0"/>
          <w:numId w:val="10"/>
        </w:numPr>
        <w:tabs>
          <w:tab w:val="left" w:pos="960"/>
        </w:tabs>
        <w:kinsoku/>
        <w:wordWrap/>
        <w:overflowPunct/>
        <w:topLinePunct w:val="0"/>
        <w:autoSpaceDE/>
        <w:bidi w:val="0"/>
        <w:adjustRightInd/>
        <w:snapToGrid/>
        <w:spacing w:after="0" w:line="240" w:lineRule="auto"/>
        <w:ind w:left="0" w:firstLine="567"/>
        <w:jc w:val="both"/>
        <w:textAlignment w:val="auto"/>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declarație referitoare la echipamentele tehnice şi la măsurile aplicate în vederea asigurării calităţii, precum şi, dacă este cazul, la resursele de studiu şi cercetare;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certificate sau alte documente emise de organisme abilitate în acest sens, care să ateste conformitatea bunurilor, identificată clar prin referire la specificaţii sau standarde relevante; </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pPr>
        <w:pStyle w:val="13"/>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capacitate minimă de producere sau echipamentele și/sau capacitate minimă profesională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eastAsia="Calibri" w:cs="Times New Roman"/>
          <w:color w:val="auto"/>
          <w:kern w:val="3"/>
          <w:lang w:val="en-US"/>
        </w:rPr>
        <w:t>Capacitatea tehnică şi profesională a ofertantului poate fi susţinută, pentru îndeplinirea unui contract, şi de o altă persoană, indiferent de natura relaţiilor juridice existente între ofertant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susţinerea financiară trebuie să îndeplinească criteriile de selecție relevante și nu trebuie să se afle în niciuna dintre situaţiile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Ofertantul/candidatul are dreptul să recurgă la susținerea unor alte persoane doar atunci cînd acestea din urmă vor desfășura activitățile sau serviciile pentru îndeplinirea cărora este necesară capacitatea profesională respectivă.</w:t>
      </w:r>
    </w:p>
    <w:p>
      <w:pPr>
        <w:tabs>
          <w:tab w:val="left" w:pos="960"/>
          <w:tab w:val="left" w:pos="1134"/>
        </w:tabs>
        <w:spacing w:after="120"/>
        <w:ind w:left="567"/>
        <w:jc w:val="both"/>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2" w:name="_Toc392180149"/>
      <w:bookmarkStart w:id="73" w:name="_Toc449539039"/>
      <w:r>
        <w:rPr>
          <w:rFonts w:hint="default" w:ascii="Times New Roman" w:hAnsi="Times New Roman" w:cs="Times New Roman"/>
          <w:color w:val="auto"/>
        </w:rPr>
        <w:t>Standarde de asigurare a calităţii.</w:t>
      </w:r>
      <w:bookmarkEnd w:id="72"/>
      <w:bookmarkEnd w:id="7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
          <w:bCs/>
          <w:color w:val="auto"/>
        </w:rPr>
      </w:pPr>
      <w:r>
        <w:rPr>
          <w:rFonts w:hint="default" w:ascii="Times New Roman" w:hAnsi="Times New Roman" w:cs="Times New Roman"/>
          <w:color w:val="aut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Cs/>
          <w:color w:val="auto"/>
        </w:rPr>
      </w:pPr>
      <w:r>
        <w:rPr>
          <w:rFonts w:hint="default" w:ascii="Times New Roman" w:hAnsi="Times New Roman" w:cs="Times New Roman"/>
          <w:bCs/>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4" w:name="_Toc392180150"/>
      <w:bookmarkStart w:id="75" w:name="_Toc449539040"/>
      <w:r>
        <w:rPr>
          <w:rFonts w:hint="default" w:ascii="Times New Roman" w:hAnsi="Times New Roman" w:cs="Times New Roman"/>
          <w:color w:val="auto"/>
        </w:rPr>
        <w:t>Standarde de protecție a mediului.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solicită prezentarea unor certificate, emise de organisme independente, prin care se atestă faptul că operatorul economic respectă anumite standarde de protecţie a mediului, aceasta trebuie să se raporteze: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fie la Sistemul Comunitar de Management de Mediu şi Audit (EMAS);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fie la standarde de gestiune ecologică bazate pe seriile de standarde europene sau internaţionale în domeniu, certificate de organisme conforme cu legislaţia Uniunii Europene ori cu standardele europene sau internaţionale privind certificarea.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Calificarea</w:t>
      </w:r>
      <w:r>
        <w:rPr>
          <w:rFonts w:hint="default" w:ascii="Times New Roman" w:hAnsi="Times New Roman" w:cs="Times New Roman"/>
          <w:color w:val="auto"/>
          <w:lang w:val="it-IT"/>
        </w:rPr>
        <w:t xml:space="preserve"> candidaților în cazul asocierii</w:t>
      </w:r>
      <w:bookmarkEnd w:id="74"/>
      <w:bookmarkEnd w:id="7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76" w:name="_Toc392180151"/>
      <w:bookmarkStart w:id="77" w:name="_Toc449539041"/>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a-3-a. Pregătirea ofertelor</w:t>
      </w:r>
      <w:bookmarkEnd w:id="76"/>
      <w:bookmarkEnd w:id="77"/>
    </w:p>
    <w:p>
      <w:pPr>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78" w:name="_Toc449539042"/>
      <w:bookmarkStart w:id="79" w:name="_Toc392180152"/>
      <w:r>
        <w:rPr>
          <w:rFonts w:hint="default" w:ascii="Times New Roman" w:hAnsi="Times New Roman" w:cs="Times New Roman"/>
          <w:color w:val="auto"/>
        </w:rPr>
        <w:t>Documentele ce constituie oferta</w:t>
      </w:r>
      <w:bookmarkEnd w:id="78"/>
      <w:bookmarkEnd w:id="79"/>
    </w:p>
    <w:p>
      <w:pPr>
        <w:rPr>
          <w:rFonts w:hint="default"/>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 va cuprinde următoarele:</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propunerea financiară, care va include, după caz, și garanția pentru ofertă; </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propunerea tehnică, precum și documente suport și facultative solicitate de autoritatea contractantă;</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Documentul unic de achiziții european;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Operatorii economici vor pregăti ofertele într-o manieră structurată și securizată, ca răspuns la anunțul de participare publicat de către autoritatea contractantă în SIA „RSAP”, și vor depune ofertele în mod electronic, </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0" w:name="_Toc392180153"/>
      <w:bookmarkStart w:id="81" w:name="_Toc449539043"/>
      <w:r>
        <w:rPr>
          <w:rFonts w:hint="default" w:ascii="Times New Roman" w:hAnsi="Times New Roman" w:cs="Times New Roman"/>
          <w:color w:val="auto"/>
        </w:rPr>
        <w:t xml:space="preserve">Documente pentru demonstrarea conformităţii bunurilor </w:t>
      </w:r>
      <w:bookmarkEnd w:id="80"/>
      <w:bookmarkEnd w:id="8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demonstra conformitatea tehnică a bunurilor propuse, cantităţilor propuse şi a termenelor de livrare, ofertantul va completa Formularul Specificaţii tehnice</w:t>
      </w:r>
      <w:r>
        <w:rPr>
          <w:rFonts w:hint="default" w:ascii="Times New Roman" w:hAnsi="Times New Roman" w:cs="Times New Roman"/>
          <w:b/>
          <w:color w:val="auto"/>
        </w:rPr>
        <w:t xml:space="preserve">  </w:t>
      </w:r>
      <w:r>
        <w:rPr>
          <w:rFonts w:hint="default" w:ascii="Times New Roman" w:hAnsi="Times New Roman" w:cs="Times New Roman"/>
          <w:color w:val="auto"/>
        </w:rPr>
        <w:t>și Specificaţii de preț</w:t>
      </w:r>
      <w:r>
        <w:rPr>
          <w:rFonts w:hint="default" w:ascii="Times New Roman" w:hAnsi="Times New Roman" w:cs="Times New Roman"/>
          <w:b/>
          <w:color w:val="auto"/>
        </w:rPr>
        <w:t xml:space="preserve"> </w:t>
      </w:r>
      <w:r>
        <w:rPr>
          <w:rFonts w:hint="default" w:ascii="Times New Roman" w:hAnsi="Times New Roman" w:cs="Times New Roman"/>
          <w:color w:val="auto"/>
        </w:rPr>
        <w:t xml:space="preserve">. De asemenea, ofertantul va include documentație de specialitate, desene, extrase din cataloage şi alte date tehnice justificative, după caz.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2" w:name="_Toc392180154"/>
      <w:bookmarkStart w:id="83" w:name="_Toc449539044"/>
      <w:r>
        <w:rPr>
          <w:rFonts w:hint="default" w:ascii="Times New Roman" w:hAnsi="Times New Roman" w:cs="Times New Roman"/>
          <w:color w:val="auto"/>
        </w:rPr>
        <w:t>Oferte alternative</w:t>
      </w:r>
      <w:bookmarkEnd w:id="82"/>
      <w:bookmarkEnd w:id="8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Operatorul economic este în drept să depună oferte alternative numai în cazul în care autoritatea contractantă a precizat explicit în anunţul de participare </w:t>
      </w:r>
      <w:r>
        <w:rPr>
          <w:rFonts w:hint="default" w:ascii="Times New Roman" w:hAnsi="Times New Roman" w:cs="Times New Roman"/>
          <w:color w:val="auto"/>
          <w:lang w:val="zh-CN"/>
        </w:rPr>
        <w:t xml:space="preserve">și în </w:t>
      </w:r>
      <w:r>
        <w:rPr>
          <w:rFonts w:hint="default" w:ascii="Times New Roman" w:hAnsi="Times New Roman" w:cs="Times New Roman"/>
          <w:b/>
          <w:color w:val="auto"/>
          <w:lang w:val="zh-CN"/>
        </w:rPr>
        <w:t xml:space="preserve">FDA </w:t>
      </w:r>
      <w:r>
        <w:rPr>
          <w:rFonts w:hint="default" w:ascii="Times New Roman" w:hAnsi="Times New Roman" w:cs="Times New Roman"/>
          <w:color w:val="auto"/>
        </w:rPr>
        <w:t xml:space="preserve">că permite sau solicită depunerea de oferte alternative cu precizarea </w:t>
      </w:r>
      <w:r>
        <w:rPr>
          <w:rFonts w:hint="default" w:ascii="Times New Roman" w:hAnsi="Times New Roman" w:cs="Times New Roman"/>
          <w:color w:val="auto"/>
          <w:lang w:val="en-GB"/>
        </w:rPr>
        <w:t>în documentaţia de atribuire a cerinţelor minime obligatorii pe care operatorii economici trebuie să le respecte, precum şi orice alte cerinţe specifice pentru prezentarea ofertelor alternative</w:t>
      </w:r>
      <w:r>
        <w:rPr>
          <w:rFonts w:hint="default" w:ascii="Times New Roman" w:hAnsi="Times New Roman" w:cs="Times New Roman"/>
          <w:color w:val="auto"/>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4" w:name="_Toc449539045"/>
      <w:bookmarkStart w:id="85" w:name="_Toc392180155"/>
      <w:r>
        <w:rPr>
          <w:rFonts w:hint="default" w:ascii="Times New Roman" w:hAnsi="Times New Roman" w:cs="Times New Roman"/>
          <w:color w:val="auto"/>
        </w:rPr>
        <w:t>Garanţia pentru ofertă</w:t>
      </w:r>
      <w:bookmarkEnd w:id="84"/>
      <w:bookmarkEnd w:id="85"/>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va depune, ca parte a ofertei sale, o Garanţie pentru ofertă , după cum este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Garanţia pentru ofertă va fi </w:t>
      </w:r>
      <w:r>
        <w:rPr>
          <w:rFonts w:hint="default" w:ascii="Times New Roman" w:hAnsi="Times New Roman" w:cs="Times New Roman"/>
          <w:bCs/>
          <w:color w:val="auto"/>
          <w:lang w:val="zh-CN"/>
        </w:rPr>
        <w:t>corespunzător cuantumului specificat</w:t>
      </w:r>
      <w:r>
        <w:rPr>
          <w:rFonts w:hint="default" w:ascii="Times New Roman" w:hAnsi="Times New Roman" w:cs="Times New Roman"/>
          <w:color w:val="auto"/>
        </w:rPr>
        <w:t xml:space="preserve">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în lei moldoveneşti, şi va fi: </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formă de garanţie bancară de la o instituţie bancară licențiată, valabilă pentru perioada de valabilitate a ofertei sau altă perioadă prelungită, după caz, în conformitate cu punctul IPO23.2;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transfer pe contul autorităţii contractante;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alte forme acceptate de autoritatea contractantă, specificate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garanţie pentru ofertă este cerută în conformitate cu  punctul IPO21.2, orice ofertă neînsoţită de o astfel de garanţie pregătită în modul corespunzător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a ofertanţilor necîştigători va fi restituită imediat de la producerea oricărui din următoarele  evenimente: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expirarea termenului de valabilitate a garanţiei pentru ofertă;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încheierea unui contract de achiziţii şi depunerea garanţiei de bună execuţie a contractului, dacă o astfel de garanţie este prevăzută în documentaţia de atribuire;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c) suspendarea procedurii de licitaţie fără încheierea unui contract de achiziţii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d) retragerea ofertei înainte de expirarea termenului de depunere a ofertelor, în cazul în care documentaţia de atribuire nu prevede inadmisibilitatea unei astfel de retrageri.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va fi reţinută dacă:</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îşi retrage sau îşi modifică oferta în timpul perioadei de valabilitate a ofertei specificate de către ofertant în Formularul ofertei, cu excepţia cazurilor prevăzute în punctul IPO23.2; sau </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cîştigător refuză: </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depună Garanţia de bună execuţie conform punctului IPO42;</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semneze contractul conform punctului IPO43.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prezentată de Asociație trebuie să fie în numele Asociației care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6" w:name="_Toc449539046"/>
      <w:bookmarkStart w:id="87" w:name="_Toc392180156"/>
      <w:r>
        <w:rPr>
          <w:rFonts w:hint="default" w:ascii="Times New Roman" w:hAnsi="Times New Roman" w:cs="Times New Roman"/>
          <w:color w:val="auto"/>
        </w:rPr>
        <w:t>Preţuri</w:t>
      </w:r>
      <w:bookmarkEnd w:id="86"/>
      <w:bookmarkEnd w:id="87"/>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indicate de către ofertant în Formularul ofertei şi în Specificaţiile de preț  se vor conforma cerinţelor specificate în punctul IPO22.</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Toate loturile şi poziţiile trebuie enumerate şi evaluate separat în Specificaţiile tehnice</w:t>
      </w:r>
      <w:r>
        <w:rPr>
          <w:rFonts w:hint="default" w:ascii="Times New Roman" w:hAnsi="Times New Roman" w:cs="Times New Roman"/>
          <w:b/>
          <w:color w:val="auto"/>
        </w:rPr>
        <w:t xml:space="preserve">  și </w:t>
      </w:r>
      <w:r>
        <w:rPr>
          <w:rFonts w:hint="default" w:ascii="Times New Roman" w:hAnsi="Times New Roman" w:cs="Times New Roman"/>
          <w:color w:val="auto"/>
        </w:rPr>
        <w:t>Specificațiile de preț</w:t>
      </w:r>
      <w:r>
        <w:rPr>
          <w:rFonts w:hint="default" w:ascii="Times New Roman" w:hAnsi="Times New Roman" w:cs="Times New Roman"/>
          <w:b/>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Preţul ce urmează a fi specificat în Formularul ofertei va constitui suma totală a ofertei, inclusiv TVA.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Termenii Incoterms, cum ar fi EXW, CIP, DDP şi alţi termeni similari, vor fi supuşi regulilor prevăzute în ediţia curentă a Incoterms, publicată de către Camera Internaţională de Comerţ, după cum este menţionat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vor fi indicate după cum este arătat în Specificaţiile de preț</w:t>
      </w:r>
      <w:r>
        <w:rPr>
          <w:rFonts w:hint="default" w:ascii="Times New Roman" w:hAnsi="Times New Roman" w:cs="Times New Roman"/>
          <w:b/>
          <w:color w:val="auto"/>
        </w:rPr>
        <w:t xml:space="preserve">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efectua achitări conform metodologiei și condițiilor indicate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8" w:name="_Toc392180157"/>
      <w:bookmarkStart w:id="89" w:name="_Toc449539047"/>
      <w:r>
        <w:rPr>
          <w:rFonts w:hint="default" w:ascii="Times New Roman" w:hAnsi="Times New Roman" w:cs="Times New Roman"/>
          <w:color w:val="auto"/>
        </w:rPr>
        <w:t>Termenul de valabilitate a ofertelor</w:t>
      </w:r>
      <w:bookmarkEnd w:id="88"/>
      <w:bookmarkEnd w:id="8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Ofertele vor rămîne valabile pe parcursul perioadei specificate în </w:t>
      </w:r>
      <w:r>
        <w:rPr>
          <w:rFonts w:hint="default" w:ascii="Times New Roman" w:hAnsi="Times New Roman" w:cs="Times New Roman"/>
          <w:b/>
          <w:color w:val="auto"/>
        </w:rPr>
        <w:t xml:space="preserve">FDA </w:t>
      </w:r>
      <w:r>
        <w:rPr>
          <w:rFonts w:hint="default" w:ascii="Times New Roman" w:hAnsi="Times New Roman" w:cs="Times New Roman"/>
          <w:color w:val="auto"/>
        </w:rPr>
        <w:t>de la data-limită de depunere a ofertei stabilită de autoritatea contractantă. O ofertă valabilă pentru un termen mai scurt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GB"/>
        </w:rPr>
      </w:pPr>
      <w:r>
        <w:rPr>
          <w:rFonts w:hint="default" w:ascii="Times New Roman" w:hAnsi="Times New Roman" w:cs="Times New Roman"/>
          <w:color w:val="auto"/>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GB"/>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0" w:name="_Toc449539048"/>
      <w:bookmarkStart w:id="91" w:name="_Toc392180158"/>
      <w:r>
        <w:rPr>
          <w:rFonts w:hint="default" w:ascii="Times New Roman" w:hAnsi="Times New Roman" w:cs="Times New Roman"/>
          <w:color w:val="auto"/>
        </w:rPr>
        <w:t>Valuta ofertei</w:t>
      </w:r>
      <w:bookmarkEnd w:id="90"/>
      <w:bookmarkEnd w:id="9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Preţurile pentru bunurile solicitate vor fi indicate în lei moldoveneşti, cu excepţia cazurilor în care </w:t>
      </w:r>
      <w:r>
        <w:rPr>
          <w:rFonts w:hint="default" w:ascii="Times New Roman" w:hAnsi="Times New Roman" w:cs="Times New Roman"/>
          <w:b/>
          <w:color w:val="auto"/>
        </w:rPr>
        <w:t xml:space="preserve">FDA . </w:t>
      </w:r>
      <w:r>
        <w:rPr>
          <w:rFonts w:hint="default" w:ascii="Times New Roman" w:hAnsi="Times New Roman" w:cs="Times New Roman"/>
          <w:color w:val="auto"/>
        </w:rPr>
        <w:t>prevede altfel.</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2" w:name="_Toc392180159"/>
      <w:bookmarkStart w:id="93" w:name="_Toc449539049"/>
      <w:r>
        <w:rPr>
          <w:rFonts w:hint="default" w:ascii="Times New Roman" w:hAnsi="Times New Roman" w:cs="Times New Roman"/>
          <w:color w:val="auto"/>
        </w:rPr>
        <w:t>Formatul ofertei</w:t>
      </w:r>
      <w:bookmarkEnd w:id="92"/>
      <w:bookmarkEnd w:id="9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Oferta va fi pregătită în format electronic, în conformitate cu cerințele autorității contractante, cu ajutorul instrumentelor existente în SIA „RSAP”</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94" w:name="_Toc449539050"/>
      <w:bookmarkStart w:id="95" w:name="_Toc392180160"/>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a-4-a. Depunerea și deschiderea ofertelor</w:t>
      </w:r>
      <w:bookmarkEnd w:id="94"/>
      <w:bookmarkEnd w:id="95"/>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6" w:name="_Toc392180161"/>
      <w:bookmarkStart w:id="97" w:name="_Toc449539051"/>
      <w:r>
        <w:rPr>
          <w:rFonts w:hint="default" w:ascii="Times New Roman" w:hAnsi="Times New Roman" w:cs="Times New Roman"/>
          <w:color w:val="auto"/>
        </w:rPr>
        <w:t>Depunerea ofertelor</w:t>
      </w:r>
      <w:bookmarkEnd w:id="96"/>
      <w:bookmarkEnd w:id="9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scrisă şi semnată, după caz electronic, se prezintă în conformitate cu cerinţele expuse în documentaţia de atribuire, utilizind SIA “RSAP”Autoritatea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rFonts w:hint="default" w:ascii="Times New Roman" w:hAnsi="Times New Roman" w:cs="Times New Roman"/>
          <w:b/>
          <w:color w:val="auto"/>
        </w:rPr>
        <w:t>DUAE</w:t>
      </w:r>
      <w:r>
        <w:rPr>
          <w:rFonts w:hint="default" w:ascii="Times New Roman" w:hAnsi="Times New Roman" w:cs="Times New Roman"/>
          <w:color w:val="auto"/>
        </w:rPr>
        <w:t xml:space="preserve"> și a garanției pentru ofertă.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ofertei prin SIA „RSAP”, operatorul economic va ține cont de timpul necesar pentru încărcarea ofertei în sistem, prevăzînd timp suficient pentru a depune oferta în termenii stabiliți.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8" w:name="_Toc392180162"/>
      <w:bookmarkStart w:id="99" w:name="_Toc449539052"/>
      <w:r>
        <w:rPr>
          <w:rFonts w:hint="default" w:ascii="Times New Roman" w:hAnsi="Times New Roman" w:cs="Times New Roman"/>
          <w:color w:val="auto"/>
        </w:rPr>
        <w:t>Termenul limită de depunere a ofertelor</w:t>
      </w:r>
      <w:bookmarkEnd w:id="98"/>
      <w:bookmarkEnd w:id="9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Ofertele vor fi depuse nu mai tîrziu de data şi ora specificate în</w:t>
      </w:r>
      <w:r>
        <w:rPr>
          <w:rFonts w:hint="default" w:ascii="Times New Roman" w:hAnsi="Times New Roman" w:cs="Times New Roman"/>
          <w:b/>
          <w:color w:val="auto"/>
        </w:rPr>
        <w:t xml:space="preserve"> FDA </w:t>
      </w:r>
      <w:r>
        <w:rPr>
          <w:rFonts w:hint="default" w:ascii="Times New Roman" w:hAnsi="Times New Roman" w:cs="Times New Roman"/>
          <w:color w:val="auto"/>
        </w:rPr>
        <w:t>. Autoritatea contractantă poate, la discreţia sa, să extindă termenul-limită de depunere a ofertelor prin modificarea documentelor de atribuire în conformitate cu punctul IPO7.</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0" w:name="_Toc392180163"/>
      <w:bookmarkStart w:id="101" w:name="_Toc449539053"/>
      <w:r>
        <w:rPr>
          <w:rFonts w:hint="default" w:ascii="Times New Roman" w:hAnsi="Times New Roman" w:cs="Times New Roman"/>
          <w:color w:val="auto"/>
        </w:rPr>
        <w:t>Oferte întîrziate</w:t>
      </w:r>
      <w:bookmarkEnd w:id="100"/>
      <w:bookmarkEnd w:id="10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SIA „RSAP” nu va accepta ofertele transmise după expirarea termenului limită de depunere 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Ofertele depuse după termenul limită de deschidere a ofertelor specificate în FDA  vor fi înregistrate de către autoritatea contractantă și restituite ofertantului, fără a fi deschise.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2" w:name="_Toc449539054"/>
      <w:bookmarkStart w:id="103" w:name="_Toc392180164"/>
      <w:r>
        <w:rPr>
          <w:rFonts w:hint="default" w:ascii="Times New Roman" w:hAnsi="Times New Roman" w:cs="Times New Roman"/>
          <w:color w:val="auto"/>
        </w:rPr>
        <w:t>Modificarea, substituirea şi retragerea ofertelor</w:t>
      </w:r>
      <w:bookmarkEnd w:id="102"/>
      <w:bookmarkEnd w:id="10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pPr>
        <w:ind w:left="568"/>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Deschiderea ofertelor</w:t>
      </w:r>
      <w:bookmarkEnd w:id="104"/>
      <w:bookmarkEnd w:id="10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deschide ofertele în cadrul sistemului SIA „RSAP” la data şi ora specificate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Informația privind ofertanții și ofertele, se fac publice prin publicarea acestora în SIA „RSAP”.</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06" w:name="_Toc449539056"/>
      <w:bookmarkStart w:id="107" w:name="_Toc392180166"/>
      <w:r>
        <w:rPr>
          <w:rFonts w:hint="default" w:ascii="Times New Roman" w:hAnsi="Times New Roman" w:cs="Times New Roman"/>
          <w:color w:val="auto"/>
        </w:rPr>
        <w:t>Secțiunea a-5-a. Evaluarea și compararea ofertelor</w:t>
      </w:r>
      <w:bookmarkEnd w:id="106"/>
      <w:bookmarkEnd w:id="107"/>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8" w:name="_Toc392180167"/>
      <w:bookmarkStart w:id="109" w:name="_Toc449539057"/>
      <w:r>
        <w:rPr>
          <w:rFonts w:hint="default" w:ascii="Times New Roman" w:hAnsi="Times New Roman" w:cs="Times New Roman"/>
          <w:color w:val="auto"/>
        </w:rPr>
        <w:t>Confidenţialitate</w:t>
      </w:r>
      <w:bookmarkEnd w:id="108"/>
      <w:bookmarkEnd w:id="10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SIA „RSAP” va asigura mecanisme adecvate în vederea neadmiterii divulgării conținutului ofertelor prezentate de participanți pînă la data stabilită pentru deschiderea acestora de către persoanele autorizate ale organizatorului procedurii de achiziție , în conformitate cu legislația. Astfel, va fi preîntîmpinată aplicarea unor eventuale practici anticoncurențiale în cadrul procedurilor de achiziții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0" w:name="_Toc392180168"/>
      <w:bookmarkStart w:id="111" w:name="_Toc449539058"/>
      <w:r>
        <w:rPr>
          <w:rFonts w:hint="default" w:ascii="Times New Roman" w:hAnsi="Times New Roman" w:cs="Times New Roman"/>
          <w:color w:val="auto"/>
        </w:rPr>
        <w:t>Clarificarea ofertelor</w:t>
      </w:r>
      <w:bookmarkEnd w:id="110"/>
      <w:bookmarkEnd w:id="11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Operatorul economic este obligat să răspundă la solicitarea de clarificare a autorității contractante în cel mult trei zile de la data expedierii acesteia.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2" w:name="_Toc392180169"/>
      <w:bookmarkStart w:id="113" w:name="_Toc449539059"/>
      <w:r>
        <w:rPr>
          <w:rFonts w:hint="default" w:ascii="Times New Roman" w:hAnsi="Times New Roman" w:cs="Times New Roman"/>
          <w:color w:val="auto"/>
        </w:rPr>
        <w:t>Determinarea conformităţii ofertelor</w:t>
      </w:r>
      <w:bookmarkEnd w:id="112"/>
      <w:bookmarkEnd w:id="11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corespunderii unei oferte de către autoritatea contractantă urmează a fi bazată pe conţinutul ofertei.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afectează în orice mod substanţial sfera de acţiune, calitatea sau performanţa bunurilor specificate în contract;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limitează în orice mod substanţial drepturile autorităţii contractante sau obligaţiile ofertantului conform contractului;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nu ar afecta într-un mod inechitabil poziţia competitivă a altor ofertanţi ce prezintă oferte conforme cerinţelor.</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ofertă nu este conformă cerinţelor din documentele de atribuire, ea va fi respinsă de către autoritatea contractantă.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4" w:name="_Toc449539060"/>
      <w:bookmarkStart w:id="115" w:name="_Toc392180170"/>
      <w:r>
        <w:rPr>
          <w:rFonts w:hint="default" w:ascii="Times New Roman" w:hAnsi="Times New Roman" w:cs="Times New Roman"/>
          <w:color w:val="auto"/>
        </w:rPr>
        <w:t>Neconformităţi, erori şi omiteri</w:t>
      </w:r>
      <w:bookmarkEnd w:id="114"/>
      <w:bookmarkEnd w:id="11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ofertantul care a depus oferta cea mai avantajoasă nu acceptă corectarea erorilor aritmetice, oferta acestuia se respinge.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6" w:name="_Toc449539061"/>
      <w:bookmarkStart w:id="117" w:name="_Toc392180171"/>
      <w:r>
        <w:rPr>
          <w:rFonts w:hint="default" w:ascii="Times New Roman" w:hAnsi="Times New Roman" w:cs="Times New Roman"/>
          <w:color w:val="auto"/>
        </w:rPr>
        <w:t>Evaluarea ofertelor</w:t>
      </w:r>
      <w:bookmarkEnd w:id="116"/>
      <w:bookmarkEnd w:id="11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Examinarea, evaluarea şi compararea ofertelor se efectuează fără participarea ofertanţilor şi a altor persoane neautorizate. Autoritatea contractantă va examina ofertele pentru a confirma faptul că toate documentele prevăzute în punctul IPO18</w:t>
      </w:r>
      <w:r>
        <w:rPr>
          <w:rFonts w:hint="default" w:ascii="Times New Roman" w:hAnsi="Times New Roman" w:cs="Times New Roman"/>
          <w:b/>
          <w:color w:val="auto"/>
        </w:rPr>
        <w:t xml:space="preserve"> </w:t>
      </w:r>
      <w:r>
        <w:rPr>
          <w:rFonts w:hint="default" w:ascii="Times New Roman" w:hAnsi="Times New Roman" w:cs="Times New Roman"/>
          <w:color w:val="auto"/>
        </w:rPr>
        <w:t>au fost prezentate şi pentru a determina caracterul complet al fiecărui document depus.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US"/>
        </w:rPr>
        <w:t>Autoritatea contractantă stabileşte oferta/ofertele cîştigătoare aplicînd criteriul de atribuire şi factorii de evaluare prevăzuţi în documentaţia de atribuire</w:t>
      </w:r>
      <w:r>
        <w:rPr>
          <w:rFonts w:hint="default" w:ascii="Times New Roman" w:hAnsi="Times New Roman" w:cs="Times New Roman"/>
          <w:color w:val="auto"/>
          <w:lang w:val="zh-CN"/>
        </w:rPr>
        <w:t>, utilizînd instrumentele de evaluare din cadrul SIA „RSAP”</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8" w:name="_Toc449539062"/>
      <w:bookmarkStart w:id="119" w:name="_Toc392180172"/>
      <w:r>
        <w:rPr>
          <w:rFonts w:hint="default" w:ascii="Times New Roman" w:hAnsi="Times New Roman" w:cs="Times New Roman"/>
          <w:color w:val="auto"/>
        </w:rPr>
        <w:t>Calificarea ofertantului</w:t>
      </w:r>
      <w:bookmarkEnd w:id="118"/>
      <w:bookmarkEnd w:id="11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va determina dacă ofertantul este calificat să execute Contractul.</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0" w:name="_Toc392180173"/>
      <w:bookmarkStart w:id="121" w:name="_Toc449539063"/>
      <w:r>
        <w:rPr>
          <w:rFonts w:hint="default" w:ascii="Times New Roman" w:hAnsi="Times New Roman" w:cs="Times New Roman"/>
          <w:color w:val="auto"/>
        </w:rPr>
        <w:t>Descalificarea ofertantului</w:t>
      </w:r>
      <w:bookmarkEnd w:id="120"/>
      <w:bookmarkEnd w:id="12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 prin includerea lui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Lista de interdicţie a operatorilor economici reprezintă un înscris oficial şi este întocmită actualizată şi ţinută de către Agenţia Achiziţii Publice , cu scopul de a limita participarea operatorilor economici la procedurile de achiziţie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şi componenţa fondatorilor şi a persoanelor afiliate.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descalifică ofertantul dacă constată că acesta este inclus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nu acceptă oferta în cazul în care ofertantul nu corespunde cerințelor de calificare.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Anularea procedurii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din propria inițiativă, anulează procedura de achiziție  în cazurile</w:t>
      </w:r>
      <w:r>
        <w:rPr>
          <w:rFonts w:hint="default" w:ascii="Times New Roman" w:hAnsi="Times New Roman" w:cs="Times New Roman"/>
          <w:color w:val="auto"/>
        </w:rPr>
        <w:t xml:space="preserve">: </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xml:space="preserve"> a) nu a fost depusă nicio ofertă;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b) numărul de ofertanţi/candidaţi care întrunesc cerințele de calificare și selecție este mai mic decît numărul minim prevăzut pentru fiecare procedură, iar autoritatea nu a optat, conform prevederilor specifice, pentru continuarea procedurii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c) niciunul dintre ofertanţi nu a întrunit condiţiile de calificare prevăzute în documentaţia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d) au fost depuse numai oferte care: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neadecvate, inacceptabile sau neconforme;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prezentate după data-limită de depunere a ofertelor;</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nu au fost elaborate şi prezentate în conformitate cu cerinţele cuprinse în documentaţia de atribuire;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în propunerea financiară, preţuri care nu sînt un rezultat al liberei concurenţe şi care nu sînt justificate temeinic;</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propuneri referitoare la clauzele contractuale, propuneri care sînt, în mod evident, dezavantajoase pentru autoritatea contractantă;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depăşesc cu 30% valoarea estimată a achiziţiei, calculată conform prezentei legi;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au o valoare ce depăşeşte pragul prevăzut pentru procedura de achiziţie desfăşurată;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prin valoarea inclusă în propunerea financiară, depăşesc valoarea fondurilor alocate pentru îndeplinirea contractului de achiziţii;</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e) s-a constatat comiterea unui act de corupţie, unor acte conexe actelor de corupţie sau fapte coruptibile confirmate prin hotărîre definitivă a instanţei de judecată;</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f) ofertele depuse, deşi pot fi luate în considerare, nu pot fi comparate din cauza modului neuniform de abordare a soluţiilor tehnice şi/sau financiare;</w:t>
      </w:r>
    </w:p>
    <w:p>
      <w:pPr>
        <w:pStyle w:val="11"/>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g) există abateri grave de la prevederile legale care afectează rezultatul procedurii de atribuire sau face imposibilă încheierea contractului. Prin abateri grave de la prevederile legale se înțelege faptul că pe parcursul analizei, evaluării şi/sau finalizării procedurii de atribuire se constată erori sau omisiuni, autoritatea contractantă aflîndu-se în imposibilitatea de a adopta măsuri corective fără ca acestea să conducă la încălcarea principiilor de guvernare a achizițiilor.</w:t>
      </w:r>
    </w:p>
    <w:p>
      <w:pPr>
        <w:numPr>
          <w:ilvl w:val="0"/>
          <w:numId w:val="0"/>
        </w:numPr>
        <w:tabs>
          <w:tab w:val="left" w:pos="960"/>
          <w:tab w:val="left" w:pos="1134"/>
        </w:tabs>
        <w:spacing w:after="120"/>
        <w:ind w:firstLine="600" w:firstLineChars="25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are obligaţia de a comunica prin SIA „RSAP” sau prin alte mijloace de comunicare tuturor participanţilor la procedura de achiziţie , în cel mult 3 zile de la data anulării, atît încetarea obligaţiilor pe care aceştia şi le-au creat prin depunerea de oferte, cît şi motivul anulării</w:t>
      </w:r>
      <w:r>
        <w:rPr>
          <w:rFonts w:hint="default" w:ascii="Times New Roman" w:hAnsi="Times New Roman" w:cs="Times New Roman"/>
          <w:color w:val="auto"/>
        </w:rPr>
        <w:t>.</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22" w:name="_Toc392180179"/>
      <w:bookmarkStart w:id="123" w:name="_Toc449539069"/>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w:t>
      </w:r>
      <w:r>
        <w:rPr>
          <w:rFonts w:hint="default" w:ascii="Times New Roman" w:hAnsi="Times New Roman" w:cs="Times New Roman"/>
          <w:color w:val="auto"/>
          <w:lang w:val="ro-RO"/>
        </w:rPr>
        <w:t>6</w:t>
      </w:r>
      <w:r>
        <w:rPr>
          <w:rFonts w:hint="default" w:ascii="Times New Roman" w:hAnsi="Times New Roman" w:cs="Times New Roman"/>
          <w:color w:val="auto"/>
        </w:rPr>
        <w:t>-a. Adjudecarea contractului</w:t>
      </w:r>
      <w:bookmarkEnd w:id="122"/>
      <w:bookmarkEnd w:id="123"/>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4" w:name="_Toc449539070"/>
      <w:bookmarkStart w:id="125" w:name="_Toc392180180"/>
      <w:r>
        <w:rPr>
          <w:rFonts w:hint="default" w:ascii="Times New Roman" w:hAnsi="Times New Roman" w:cs="Times New Roman"/>
          <w:color w:val="auto"/>
        </w:rPr>
        <w:t>Criteriul de adjudecare</w:t>
      </w:r>
      <w:bookmarkEnd w:id="124"/>
      <w:bookmarkEnd w:id="12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va adjudeca contractul, conform criteriului stabilit în FDA  acelui ofertant a cărui ofertă a fost apreciată potrivit criteriilor stabilite precum şi altor condiţii şi cerinţelor din documentele de atribuire, cu condiţia ca şi ofertantul să fie calificat pentru executarea contractului.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6" w:name="_Toc392180181"/>
      <w:bookmarkStart w:id="127" w:name="_Toc449539071"/>
      <w:r>
        <w:rPr>
          <w:rFonts w:hint="default" w:ascii="Times New Roman" w:hAnsi="Times New Roman" w:cs="Times New Roman"/>
          <w:color w:val="auto"/>
        </w:rPr>
        <w:t>Dreptul autorităţii contractante de a modifica cantităţile în timpul adjudecării</w:t>
      </w:r>
      <w:bookmarkEnd w:id="126"/>
      <w:bookmarkEnd w:id="127"/>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La momentul adjudecării contractului, autoritatea contractantă are posibilitatea  de a micşora</w:t>
      </w:r>
      <w:r>
        <w:rPr>
          <w:rFonts w:hint="default" w:ascii="Times New Roman" w:hAnsi="Times New Roman" w:cs="Times New Roman"/>
          <w:color w:val="auto"/>
          <w:lang w:val="zh-CN" w:eastAsia="ja-JP"/>
        </w:rPr>
        <w:t xml:space="preserve"> </w:t>
      </w:r>
      <w:r>
        <w:rPr>
          <w:rFonts w:hint="default" w:ascii="Times New Roman" w:hAnsi="Times New Roman" w:cs="Times New Roman"/>
          <w:color w:val="auto"/>
          <w:lang w:val="zh-CN"/>
        </w:rPr>
        <w:t>cu acordul operatorului economic</w:t>
      </w:r>
      <w:r>
        <w:rPr>
          <w:rFonts w:hint="default" w:ascii="Times New Roman" w:hAnsi="Times New Roman" w:cs="Times New Roman"/>
          <w:color w:val="auto"/>
        </w:rPr>
        <w:t xml:space="preserve"> cantitatea de bunuri, în cazul în care suma contractelor este mai mare decît valoare estimată a achiziției, specificate iniţial, pentru a se putea încadra în mijloacele financiare alocate, însă fără a efectua vreo schimbare în preţul unitar sau în alţi termeni şi condiţii ale ofertei şi ale documentelor de atribuire.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8" w:name="_Toc392180182"/>
      <w:bookmarkStart w:id="129" w:name="_Toc449539072"/>
      <w:r>
        <w:rPr>
          <w:rFonts w:hint="default" w:ascii="Times New Roman" w:hAnsi="Times New Roman" w:cs="Times New Roman"/>
          <w:color w:val="auto"/>
        </w:rPr>
        <w:t>Înştiinţarea de adjudecare</w:t>
      </w:r>
      <w:bookmarkEnd w:id="128"/>
      <w:bookmarkEnd w:id="12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Înainte de expirarea perioadei de valabilitate a ofertei, sistemul SIA „RSAP” va permite autorităților contractante pregătirea anunțului de atribuire și a notificării ofertanților, cărora li s-a atribuit sau nu contractul standardizat.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Comunicarea prin care se realizează informarea este transmisă prin mijloace electronice la adresele indicate de către ofertanţi în ofertele acestora.</w:t>
      </w:r>
    </w:p>
    <w:p>
      <w:pPr>
        <w:keepNext w:val="0"/>
        <w:keepLines w:val="0"/>
        <w:pageBreakBefore w:val="0"/>
        <w:widowControl/>
        <w:numPr>
          <w:ilvl w:val="1"/>
          <w:numId w:val="3"/>
        </w:numPr>
        <w:tabs>
          <w:tab w:val="left" w:pos="960"/>
          <w:tab w:val="left" w:pos="1134"/>
          <w:tab w:val="left" w:pos="1701"/>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Ofertanţii necîştigători vor fi informați  cu privire la motivele pentru care ofertele lor nu au fost selectate.</w:t>
      </w:r>
    </w:p>
    <w:p>
      <w:pPr>
        <w:keepNext w:val="0"/>
        <w:keepLines w:val="0"/>
        <w:pageBreakBefore w:val="0"/>
        <w:widowControl/>
        <w:numPr>
          <w:ilvl w:val="0"/>
          <w:numId w:val="0"/>
        </w:numPr>
        <w:tabs>
          <w:tab w:val="left" w:pos="960"/>
          <w:tab w:val="left" w:pos="1134"/>
          <w:tab w:val="left" w:pos="1701"/>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0" w:name="_Toc449539073"/>
      <w:bookmarkStart w:id="131" w:name="_Toc392180183"/>
      <w:r>
        <w:rPr>
          <w:rFonts w:hint="default" w:ascii="Times New Roman" w:hAnsi="Times New Roman" w:cs="Times New Roman"/>
          <w:color w:val="auto"/>
        </w:rPr>
        <w:t>Garanţia de bună execuţie</w:t>
      </w:r>
      <w:bookmarkEnd w:id="130"/>
      <w:bookmarkEnd w:id="13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momentul încheierii contractului, dar nu mai tîrziu de data expirării Garanţiei pentru ofertă (dacă s-a cerut), ofertantul cîştigător va prezenta Garanţia de bună execuţie în mărimea prevăzută de</w:t>
      </w:r>
      <w:r>
        <w:rPr>
          <w:rFonts w:hint="default" w:ascii="Times New Roman" w:hAnsi="Times New Roman" w:cs="Times New Roman"/>
          <w:b/>
          <w:color w:val="auto"/>
        </w:rPr>
        <w:t xml:space="preserve"> FDA </w:t>
      </w:r>
      <w:r>
        <w:rPr>
          <w:rFonts w:hint="default" w:ascii="Times New Roman" w:hAnsi="Times New Roman" w:cs="Times New Roman"/>
          <w:color w:val="auto"/>
        </w:rPr>
        <w:t>, folosind în acest scop formularul Garanţiei de bună execuţie , sau alt formular acceptabil pentru autoritatea contractantă, dar care corespunde condiţiilor formularului.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2" w:name="_Toc449539074"/>
      <w:bookmarkStart w:id="133" w:name="_Toc392180184"/>
      <w:r>
        <w:rPr>
          <w:rFonts w:hint="default" w:ascii="Times New Roman" w:hAnsi="Times New Roman" w:cs="Times New Roman"/>
          <w:color w:val="auto"/>
        </w:rPr>
        <w:t>Semnarea contractului</w:t>
      </w:r>
      <w:bookmarkEnd w:id="132"/>
      <w:bookmarkEnd w:id="13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dată cu expedierea înştiinţării de adjudecare, autoritatea contractantă va trimite ofertantului cîştigător Formularul contractului  completat şi toate celelalte documente componente ale contratului.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 xml:space="preserve">Ofertantul cîştigător va semna contractul </w:t>
      </w:r>
      <w:r>
        <w:rPr>
          <w:rFonts w:hint="default" w:ascii="Times New Roman" w:hAnsi="Times New Roman" w:cs="Times New Roman"/>
          <w:color w:val="auto"/>
          <w:lang w:val="en-US"/>
        </w:rPr>
        <w:t xml:space="preserve">numai după împlinirea termenelor de aşteptare, </w:t>
      </w:r>
      <w:r>
        <w:rPr>
          <w:rFonts w:hint="default" w:ascii="Times New Roman" w:hAnsi="Times New Roman" w:cs="Times New Roman"/>
          <w:color w:val="auto"/>
        </w:rPr>
        <w:t>în modul corespunzător şi îl va restitui autorităţii contractante în termenul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4" w:name="_Toc449539076"/>
      <w:bookmarkStart w:id="135" w:name="_Toc392180186"/>
      <w:r>
        <w:rPr>
          <w:rFonts w:hint="default" w:ascii="Times New Roman" w:hAnsi="Times New Roman" w:cs="Times New Roman"/>
          <w:color w:val="auto"/>
        </w:rPr>
        <w:t>Dreptul de contestare</w:t>
      </w:r>
      <w:bookmarkEnd w:id="134"/>
      <w:bookmarkEnd w:id="13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p>
    <w:p>
      <w:pPr>
        <w:pStyle w:val="4"/>
        <w:jc w:val="center"/>
        <w:rPr>
          <w:rFonts w:hint="default" w:ascii="Times New Roman" w:hAnsi="Times New Roman" w:cs="Times New Roman"/>
          <w:color w:val="auto"/>
          <w:sz w:val="22"/>
          <w:szCs w:val="22"/>
        </w:rPr>
      </w:pPr>
      <w:bookmarkStart w:id="136" w:name="_Toc449539086"/>
      <w:bookmarkStart w:id="137" w:name="_Toc392180198"/>
      <w:r>
        <w:rPr>
          <w:rFonts w:hint="default" w:ascii="Times New Roman" w:hAnsi="Times New Roman" w:cs="Times New Roman"/>
          <w:color w:val="auto"/>
          <w:sz w:val="22"/>
          <w:szCs w:val="22"/>
        </w:rPr>
        <w:t>Formularul ofertei</w:t>
      </w:r>
      <w:bookmarkEnd w:id="136"/>
      <w:bookmarkEnd w:id="137"/>
    </w:p>
    <w:p>
      <w:pPr>
        <w:pStyle w:val="14"/>
        <w:spacing w:after="0"/>
        <w:jc w:val="both"/>
        <w:rPr>
          <w:rFonts w:hint="default" w:ascii="Times New Roman" w:hAnsi="Times New Roman" w:cs="Times New Roman"/>
          <w:color w:val="auto"/>
          <w:sz w:val="22"/>
          <w:szCs w:val="22"/>
          <w:lang w:val="ro-RO"/>
        </w:rPr>
      </w:pPr>
      <w:r>
        <w:rPr>
          <w:rFonts w:hint="default" w:ascii="Times New Roman" w:hAnsi="Times New Roman" w:cs="Times New Roman"/>
          <w:i/>
          <w:iCs/>
          <w:color w:val="auto"/>
          <w:sz w:val="22"/>
          <w:szCs w:val="22"/>
          <w:lang w:val="ro-RO"/>
        </w:rPr>
        <w:t>[Ofertantul va completa acest formular în conformitate cu instrucţiunile de mai jos. Nu se vor permite modificări în formatul formularului, precum şi nu se vor accepta înlocuiri în textul acestuia.]</w:t>
      </w:r>
    </w:p>
    <w:p>
      <w:pPr>
        <w:tabs>
          <w:tab w:val="right" w:pos="6000"/>
          <w:tab w:val="right" w:pos="9360"/>
        </w:tabs>
        <w:spacing w:line="360" w:lineRule="auto"/>
        <w:ind w:right="99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Data depunerii ofertei: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lang w:val="en-US"/>
        </w:rPr>
        <w:t>“___” _____________________ 20__</w:t>
      </w:r>
    </w:p>
    <w:p>
      <w:pPr>
        <w:tabs>
          <w:tab w:val="right" w:pos="6000"/>
          <w:tab w:val="right" w:pos="9360"/>
        </w:tabs>
        <w:spacing w:line="360" w:lineRule="auto"/>
        <w:ind w:right="6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Procedura de achiziție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_______________________________________</w:t>
      </w:r>
    </w:p>
    <w:p>
      <w:pPr>
        <w:tabs>
          <w:tab w:val="right" w:pos="6000"/>
          <w:tab w:val="right" w:pos="9360"/>
        </w:tabs>
        <w:spacing w:line="360" w:lineRule="auto"/>
        <w:ind w:right="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Anunț de participare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w:t>
      </w:r>
    </w:p>
    <w:p>
      <w:pPr>
        <w:tabs>
          <w:tab w:val="right" w:pos="600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Către: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____________________________________________</w:t>
      </w:r>
    </w:p>
    <w:p>
      <w:pPr>
        <w:tabs>
          <w:tab w:val="left" w:pos="-9923"/>
          <w:tab w:val="right" w:pos="0"/>
          <w:tab w:val="left" w:pos="709"/>
        </w:tabs>
        <w:ind w:right="353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[numele deplin al autorităţii contractante]</w:t>
      </w:r>
    </w:p>
    <w:p>
      <w:pPr>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________________________________________________________ declară că: </w:t>
      </w:r>
    </w:p>
    <w:p>
      <w:pPr>
        <w:tabs>
          <w:tab w:val="left" w:pos="-9923"/>
          <w:tab w:val="right" w:pos="0"/>
          <w:tab w:val="left" w:pos="709"/>
        </w:tabs>
        <w:ind w:right="281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Au fost examinate şi nu există rezervări faţă de documentele de atribuire, inclusiv modificările nr. ___________________________________________________________.</w:t>
      </w:r>
    </w:p>
    <w:p>
      <w:pPr>
        <w:ind w:left="720" w:firstLine="156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numărul şi data fiecărei modificări, dacă au avut loc]</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 se angajează să</w:t>
      </w:r>
    </w:p>
    <w:p>
      <w:pPr>
        <w:tabs>
          <w:tab w:val="left" w:pos="-9923"/>
          <w:tab w:val="right" w:pos="0"/>
          <w:tab w:val="left" w:pos="709"/>
        </w:tabs>
        <w:ind w:right="161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o descriere succintă a bunurilor]</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fără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cu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Prezenta ofertă va rămîne valabilă pentru perioada de timp specificată în </w:t>
      </w:r>
      <w:r>
        <w:rPr>
          <w:rFonts w:hint="default" w:ascii="Times New Roman" w:hAnsi="Times New Roman" w:cs="Times New Roman"/>
          <w:b/>
          <w:color w:val="auto"/>
          <w:sz w:val="22"/>
          <w:szCs w:val="22"/>
        </w:rPr>
        <w:t>FDA3.8.</w:t>
      </w:r>
      <w:r>
        <w:rPr>
          <w:rFonts w:hint="default" w:ascii="Times New Roman" w:hAnsi="Times New Roman" w:cs="Times New Roman"/>
          <w:color w:val="auto"/>
          <w:sz w:val="22"/>
          <w:szCs w:val="22"/>
        </w:rPr>
        <w:t xml:space="preserve">, începînd cu data-limită pentru depunerea ofertei, în conformitate cu </w:t>
      </w:r>
      <w:r>
        <w:rPr>
          <w:rFonts w:hint="default" w:ascii="Times New Roman" w:hAnsi="Times New Roman" w:cs="Times New Roman"/>
          <w:b/>
          <w:color w:val="auto"/>
          <w:sz w:val="22"/>
          <w:szCs w:val="22"/>
        </w:rPr>
        <w:t>FDA4.2.</w:t>
      </w:r>
      <w:r>
        <w:rPr>
          <w:rFonts w:hint="default" w:ascii="Times New Roman" w:hAnsi="Times New Roman" w:cs="Times New Roman"/>
          <w:color w:val="auto"/>
          <w:sz w:val="22"/>
          <w:szCs w:val="22"/>
        </w:rPr>
        <w:t>, va rămîne obligatorie şi va putea fi acceptată în orice moment pînă la expirarea acestei perioade;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cazul acceptării prezentei oferte, ____________________________________________ </w:t>
      </w:r>
    </w:p>
    <w:p>
      <w:pPr>
        <w:ind w:left="720" w:firstLine="348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 angajează să obţină o Garanţie de bună execuţie în conformitate cu </w:t>
      </w:r>
      <w:r>
        <w:rPr>
          <w:rFonts w:hint="default" w:ascii="Times New Roman" w:hAnsi="Times New Roman" w:cs="Times New Roman"/>
          <w:b/>
          <w:color w:val="auto"/>
          <w:sz w:val="22"/>
          <w:szCs w:val="22"/>
        </w:rPr>
        <w:t>FDA6</w:t>
      </w:r>
      <w:r>
        <w:rPr>
          <w:rFonts w:hint="default" w:ascii="Times New Roman" w:hAnsi="Times New Roman" w:cs="Times New Roman"/>
          <w:color w:val="auto"/>
          <w:sz w:val="22"/>
          <w:szCs w:val="22"/>
        </w:rPr>
        <w:t>, pentru executarea corespunzătoare a contractului de achiziţie .</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 sîntem în nici un conflict de interese, în conformitate cu art. 74 din Legea nr. 131 din 03.07.2015 privind achizițiile publice.</w:t>
      </w:r>
    </w:p>
    <w:p>
      <w:pPr>
        <w:numPr>
          <w:ilvl w:val="0"/>
          <w:numId w:val="16"/>
        </w:numPr>
        <w:ind w:left="720" w:hanging="268"/>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w:t>
      </w:r>
    </w:p>
    <w:p>
      <w:pPr>
        <w:ind w:left="708"/>
        <w:jc w:val="both"/>
        <w:rPr>
          <w:rFonts w:hint="default" w:ascii="Times New Roman" w:hAnsi="Times New Roman" w:cs="Times New Roman"/>
          <w:color w:val="auto"/>
          <w:sz w:val="22"/>
          <w:szCs w:val="22"/>
        </w:rPr>
      </w:pPr>
    </w:p>
    <w:p>
      <w:pPr>
        <w:tabs>
          <w:tab w:val="left" w:pos="612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Semnat:________________________________________________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p>
    <w:p>
      <w:pPr>
        <w:ind w:right="3051" w:firstLine="84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[semnătura persoanei autorizate pentru semnarea ofertei]</w:t>
      </w:r>
    </w:p>
    <w:p>
      <w:pPr>
        <w:tabs>
          <w:tab w:val="left" w:pos="6120"/>
        </w:tabs>
        <w:ind w:firstLine="720"/>
        <w:jc w:val="both"/>
        <w:rPr>
          <w:rFonts w:hint="default" w:ascii="Times New Roman" w:hAnsi="Times New Roman" w:cs="Times New Roman"/>
          <w:color w:val="auto"/>
          <w:sz w:val="22"/>
          <w:szCs w:val="22"/>
        </w:rPr>
      </w:pP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Nume:_________________________________________________ </w:t>
      </w:r>
      <w:r>
        <w:rPr>
          <w:rFonts w:hint="default" w:ascii="Times New Roman" w:hAnsi="Times New Roman" w:cs="Times New Roman"/>
          <w:color w:val="auto"/>
          <w:sz w:val="22"/>
          <w:szCs w:val="22"/>
        </w:rPr>
        <w:tab/>
      </w:r>
    </w:p>
    <w:p>
      <w:pPr>
        <w:tabs>
          <w:tab w:val="left" w:pos="0"/>
        </w:tabs>
        <w:ind w:right="2931"/>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calitate de: ___________________________________________ </w:t>
      </w:r>
    </w:p>
    <w:p>
      <w:pPr>
        <w:ind w:firstLine="1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[funcţia oficială a persoanei ce semnează formularul ofertei] </w:t>
      </w:r>
    </w:p>
    <w:p>
      <w:pPr>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Ofertantul: _____________________________________________</w:t>
      </w: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Adresa: ________________________________________________</w:t>
      </w:r>
    </w:p>
    <w:p>
      <w:pPr>
        <w:pStyle w:val="14"/>
        <w:spacing w:after="0"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ro-RO"/>
        </w:rPr>
        <w:t xml:space="preserve">Data: </w:t>
      </w:r>
      <w:r>
        <w:rPr>
          <w:rFonts w:hint="default" w:ascii="Times New Roman" w:hAnsi="Times New Roman" w:cs="Times New Roman"/>
          <w:color w:val="auto"/>
          <w:sz w:val="22"/>
          <w:szCs w:val="22"/>
        </w:rPr>
        <w:t>“___” _____________________ 20__</w:t>
      </w: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Garanţia pentru oferta (Garanția bancară)</w:t>
      </w:r>
    </w:p>
    <w:p>
      <w:pPr>
        <w:pStyle w:val="14"/>
        <w:spacing w:after="0"/>
        <w:ind w:left="240" w:leftChars="100" w:firstLine="0" w:firstLineChars="0"/>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pPr>
        <w:pStyle w:val="11"/>
        <w:tabs>
          <w:tab w:val="right" w:pos="7913"/>
        </w:tabs>
        <w:ind w:firstLine="0"/>
        <w:rPr>
          <w:iCs/>
          <w:lang w:val="ro-RO"/>
        </w:rPr>
      </w:pPr>
      <w:r>
        <w:rPr>
          <w:iCs/>
          <w:lang w:val="ro-RO"/>
        </w:rPr>
        <w:tab/>
      </w:r>
      <w:r>
        <w:rPr>
          <w:iCs/>
          <w:lang w:val="ro-RO"/>
        </w:rPr>
        <w:t>__________________________________________________________________</w:t>
      </w:r>
    </w:p>
    <w:p>
      <w:pPr>
        <w:pStyle w:val="11"/>
        <w:tabs>
          <w:tab w:val="right" w:pos="7920"/>
        </w:tabs>
        <w:ind w:right="1611" w:firstLine="0"/>
        <w:jc w:val="center"/>
        <w:rPr>
          <w:sz w:val="20"/>
          <w:szCs w:val="20"/>
          <w:lang w:val="ro-RO"/>
        </w:rPr>
      </w:pPr>
      <w:r>
        <w:rPr>
          <w:iCs/>
          <w:sz w:val="20"/>
          <w:szCs w:val="20"/>
          <w:lang w:val="ro-RO"/>
        </w:rPr>
        <w:t>[Numele băncii şi adresa oficiului sau a filialei emitente]</w:t>
      </w:r>
    </w:p>
    <w:p>
      <w:pPr>
        <w:pStyle w:val="11"/>
        <w:tabs>
          <w:tab w:val="right" w:pos="7920"/>
        </w:tabs>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pPr>
        <w:pStyle w:val="11"/>
        <w:spacing w:line="360" w:lineRule="auto"/>
        <w:ind w:right="1611" w:firstLine="1320"/>
        <w:jc w:val="center"/>
        <w:rPr>
          <w:iCs/>
          <w:sz w:val="20"/>
          <w:szCs w:val="20"/>
          <w:lang w:val="ro-RO"/>
        </w:rPr>
      </w:pPr>
      <w:r>
        <w:rPr>
          <w:iCs/>
          <w:sz w:val="20"/>
          <w:szCs w:val="20"/>
          <w:lang w:val="ro-RO"/>
        </w:rPr>
        <w:t>[numele şi adresa autorităţii contractante]</w:t>
      </w:r>
    </w:p>
    <w:p>
      <w:pPr>
        <w:pStyle w:val="11"/>
        <w:spacing w:line="360" w:lineRule="auto"/>
        <w:ind w:firstLine="0"/>
        <w:rPr>
          <w:lang w:val="ro-RO"/>
        </w:rPr>
      </w:pPr>
      <w:r>
        <w:rPr>
          <w:b/>
          <w:bCs/>
          <w:lang w:val="ro-RO"/>
        </w:rPr>
        <w:t xml:space="preserve">Data: </w:t>
      </w:r>
      <w:r>
        <w:rPr>
          <w:lang w:val="en-US"/>
        </w:rPr>
        <w:t>“___” _____________________ 20__</w:t>
      </w:r>
    </w:p>
    <w:p>
      <w:pPr>
        <w:pStyle w:val="11"/>
        <w:ind w:firstLine="720"/>
        <w:rPr>
          <w:b/>
          <w:bCs/>
          <w:lang w:val="ro-RO"/>
        </w:rPr>
      </w:pPr>
    </w:p>
    <w:p>
      <w:pPr>
        <w:pStyle w:val="11"/>
        <w:ind w:firstLine="0"/>
        <w:jc w:val="center"/>
        <w:rPr>
          <w:lang w:val="ro-RO"/>
        </w:rPr>
      </w:pPr>
      <w:r>
        <w:rPr>
          <w:b/>
          <w:bCs/>
          <w:lang w:val="ro-RO"/>
        </w:rPr>
        <w:t>GARANŢIE DE OFERTĂ Nr.</w:t>
      </w:r>
      <w:r>
        <w:rPr>
          <w:lang w:val="ro-RO"/>
        </w:rPr>
        <w:t>_________________</w:t>
      </w:r>
    </w:p>
    <w:p>
      <w:pPr>
        <w:pStyle w:val="11"/>
        <w:ind w:firstLine="720"/>
        <w:rPr>
          <w:lang w:val="ro-RO"/>
        </w:rPr>
      </w:pPr>
    </w:p>
    <w:p>
      <w:pPr>
        <w:pStyle w:val="11"/>
        <w:tabs>
          <w:tab w:val="right" w:pos="9531"/>
        </w:tabs>
        <w:ind w:firstLine="0"/>
        <w:rPr>
          <w:lang w:val="ro-RO"/>
        </w:rPr>
      </w:pPr>
      <w:r>
        <w:rPr>
          <w:lang w:val="ro-RO"/>
        </w:rPr>
        <w:t xml:space="preserve">_______________________________________________________________ </w:t>
      </w:r>
      <w:r>
        <w:rPr>
          <w:lang w:val="ro-RO"/>
        </w:rPr>
        <w:tab/>
      </w:r>
      <w:r>
        <w:rPr>
          <w:lang w:val="ro-RO"/>
        </w:rPr>
        <w:t xml:space="preserve">a fost informată că </w:t>
      </w:r>
    </w:p>
    <w:p>
      <w:pPr>
        <w:pStyle w:val="11"/>
        <w:ind w:right="1851" w:firstLine="0"/>
        <w:jc w:val="center"/>
        <w:rPr>
          <w:sz w:val="20"/>
          <w:szCs w:val="20"/>
          <w:lang w:val="ro-RO"/>
        </w:rPr>
      </w:pPr>
      <w:r>
        <w:rPr>
          <w:sz w:val="20"/>
          <w:szCs w:val="20"/>
          <w:lang w:val="ro-RO"/>
        </w:rPr>
        <w:t>[denumirea băncii]</w:t>
      </w:r>
    </w:p>
    <w:p>
      <w:pPr>
        <w:pStyle w:val="11"/>
        <w:tabs>
          <w:tab w:val="right" w:pos="9531"/>
        </w:tabs>
        <w:ind w:firstLine="0"/>
        <w:rPr>
          <w:lang w:val="ro-RO"/>
        </w:rPr>
      </w:pPr>
      <w:r>
        <w:rPr>
          <w:lang w:val="ro-RO"/>
        </w:rPr>
        <w:t xml:space="preserve">____________________________________________________ </w:t>
      </w:r>
      <w:r>
        <w:rPr>
          <w:lang w:val="ro-RO"/>
        </w:rPr>
        <w:tab/>
      </w:r>
      <w:r>
        <w:rPr>
          <w:lang w:val="ro-RO"/>
        </w:rPr>
        <w:t>(numit în continuare „Ofertant”)</w:t>
      </w:r>
    </w:p>
    <w:p>
      <w:pPr>
        <w:pStyle w:val="11"/>
        <w:ind w:right="3291" w:firstLine="0"/>
        <w:jc w:val="center"/>
        <w:rPr>
          <w:sz w:val="20"/>
          <w:szCs w:val="20"/>
          <w:lang w:val="ro-RO"/>
        </w:rPr>
      </w:pPr>
      <w:r>
        <w:rPr>
          <w:iCs/>
          <w:sz w:val="20"/>
          <w:szCs w:val="20"/>
          <w:lang w:val="ro-RO"/>
        </w:rPr>
        <w:t>[numele ofertantului]</w:t>
      </w:r>
    </w:p>
    <w:p>
      <w:pPr>
        <w:pStyle w:val="11"/>
        <w:tabs>
          <w:tab w:val="right" w:pos="9531"/>
        </w:tabs>
        <w:ind w:firstLine="0"/>
        <w:rPr>
          <w:lang w:val="ro-RO"/>
        </w:rPr>
      </w:pPr>
      <w:r>
        <w:rPr>
          <w:lang w:val="ro-RO"/>
        </w:rPr>
        <w:t>urmează să înainteze oferta către Dvs. la data de “___” _____________________ 20__ (numită în continuare „ofertă”) pentru livrarea</w:t>
      </w:r>
      <w:r>
        <w:rPr>
          <w:lang w:val="ro-RO"/>
        </w:rPr>
        <w:tab/>
      </w:r>
      <w:r>
        <w:rPr>
          <w:lang w:val="ro-RO"/>
        </w:rPr>
        <w:t>__________________________________________</w:t>
      </w:r>
    </w:p>
    <w:p>
      <w:pPr>
        <w:pStyle w:val="11"/>
        <w:ind w:firstLine="4440"/>
        <w:jc w:val="center"/>
        <w:rPr>
          <w:sz w:val="20"/>
          <w:szCs w:val="20"/>
          <w:lang w:val="ro-RO"/>
        </w:rPr>
      </w:pPr>
      <w:r>
        <w:rPr>
          <w:iCs/>
          <w:sz w:val="20"/>
          <w:szCs w:val="20"/>
          <w:lang w:val="ro-RO"/>
        </w:rPr>
        <w:t>[obiectul achiziţiei]</w:t>
      </w:r>
    </w:p>
    <w:p>
      <w:pPr>
        <w:pStyle w:val="11"/>
        <w:ind w:firstLine="0"/>
        <w:rPr>
          <w:lang w:val="ro-RO"/>
        </w:rPr>
      </w:pPr>
      <w:r>
        <w:rPr>
          <w:lang w:val="ro-RO"/>
        </w:rPr>
        <w:t>conform anunțului de participare nr. __________________ din “___” _____________________ 20__.</w:t>
      </w:r>
    </w:p>
    <w:p>
      <w:pPr>
        <w:pStyle w:val="11"/>
        <w:ind w:firstLine="720"/>
        <w:rPr>
          <w:lang w:val="ro-RO"/>
        </w:rPr>
      </w:pPr>
    </w:p>
    <w:p>
      <w:pPr>
        <w:pStyle w:val="11"/>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pPr>
        <w:pStyle w:val="11"/>
        <w:ind w:right="1491" w:firstLine="2760"/>
        <w:jc w:val="center"/>
        <w:rPr>
          <w:sz w:val="20"/>
          <w:szCs w:val="20"/>
          <w:lang w:val="ro-RO"/>
        </w:rPr>
      </w:pPr>
      <w:r>
        <w:rPr>
          <w:sz w:val="20"/>
          <w:szCs w:val="20"/>
          <w:lang w:val="ro-RO"/>
        </w:rPr>
        <w:t>[denumirea băncii]</w:t>
      </w:r>
    </w:p>
    <w:p>
      <w:pPr>
        <w:pStyle w:val="11"/>
        <w:tabs>
          <w:tab w:val="right" w:pos="9531"/>
        </w:tabs>
        <w:ind w:firstLine="0"/>
        <w:rPr>
          <w:iCs/>
          <w:lang w:val="ro-RO"/>
        </w:rPr>
      </w:pPr>
      <w:r>
        <w:rPr>
          <w:iCs/>
          <w:lang w:val="ro-RO"/>
        </w:rPr>
        <w:t>ne angajăm în mod irevocabil să vă plătim orice sumă sau sume ce nu depăşesc în total suma de:</w:t>
      </w:r>
    </w:p>
    <w:p>
      <w:pPr>
        <w:pStyle w:val="11"/>
        <w:ind w:firstLine="0"/>
        <w:rPr>
          <w:iCs/>
          <w:lang w:val="ro-RO"/>
        </w:rPr>
      </w:pPr>
      <w:r>
        <w:rPr>
          <w:iCs/>
          <w:lang w:val="ro-RO"/>
        </w:rPr>
        <w:t>______________________ (_______________________________________________________)</w:t>
      </w:r>
    </w:p>
    <w:p>
      <w:pPr>
        <w:pStyle w:val="11"/>
        <w:ind w:firstLine="0"/>
        <w:rPr>
          <w:sz w:val="20"/>
          <w:szCs w:val="20"/>
          <w:lang w:val="ro-RO"/>
        </w:rPr>
      </w:pPr>
      <w:r>
        <w:rPr>
          <w:iCs/>
          <w:sz w:val="20"/>
          <w:szCs w:val="20"/>
          <w:lang w:val="ro-RO"/>
        </w:rPr>
        <w:tab/>
      </w:r>
      <w:r>
        <w:rPr>
          <w:iCs/>
          <w:sz w:val="20"/>
          <w:szCs w:val="20"/>
          <w:lang w:val="ro-RO"/>
        </w:rPr>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pPr>
        <w:pStyle w:val="11"/>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pPr>
        <w:pStyle w:val="11"/>
        <w:numPr>
          <w:ilvl w:val="1"/>
          <w:numId w:val="17"/>
        </w:numPr>
        <w:tabs>
          <w:tab w:val="left" w:pos="720"/>
        </w:tabs>
        <w:ind w:left="720"/>
        <w:rPr>
          <w:lang w:val="ro-RO"/>
        </w:rPr>
      </w:pPr>
      <w:r>
        <w:rPr>
          <w:lang w:val="ro-RO"/>
        </w:rPr>
        <w:t xml:space="preserve">şi-a retras oferta în timpul perioadei valabilităţii ofertei sau a modificat oferta după expirarea termenului-limită de depunere a ofertelor; sau </w:t>
      </w:r>
    </w:p>
    <w:p>
      <w:pPr>
        <w:pStyle w:val="11"/>
        <w:numPr>
          <w:ilvl w:val="1"/>
          <w:numId w:val="17"/>
        </w:numPr>
        <w:tabs>
          <w:tab w:val="left" w:pos="720"/>
        </w:tabs>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pPr>
        <w:pStyle w:val="11"/>
        <w:ind w:firstLine="0"/>
        <w:rPr>
          <w:lang w:val="ro-RO"/>
        </w:rPr>
      </w:pPr>
    </w:p>
    <w:p>
      <w:pPr>
        <w:pStyle w:val="11"/>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pPr>
        <w:pStyle w:val="11"/>
        <w:ind w:firstLine="0"/>
        <w:rPr>
          <w:lang w:val="ro-RO"/>
        </w:rPr>
      </w:pPr>
    </w:p>
    <w:p>
      <w:pPr>
        <w:pStyle w:val="11"/>
        <w:rPr>
          <w:lang w:val="ro-RO" w:eastAsia="en-US"/>
        </w:rPr>
      </w:pPr>
      <w:r>
        <w:rPr>
          <w:lang w:val="ro-RO"/>
        </w:rPr>
        <w:t>Prezenta garanţie este valabilă pînă la data de “___” _____________________ 20__.</w:t>
      </w:r>
    </w:p>
    <w:p>
      <w:pPr>
        <w:pStyle w:val="11"/>
        <w:rPr>
          <w:lang w:val="ro-RO"/>
        </w:rPr>
      </w:pPr>
    </w:p>
    <w:p>
      <w:pPr>
        <w:pStyle w:val="11"/>
        <w:ind w:firstLine="0"/>
        <w:rPr>
          <w:b/>
          <w:bCs/>
          <w:lang w:val="ro-RO"/>
        </w:rPr>
      </w:pPr>
      <w:r>
        <w:rPr>
          <w:b/>
          <w:bCs/>
          <w:lang w:val="ro-RO"/>
        </w:rPr>
        <w:t>_________________________________________</w:t>
      </w:r>
    </w:p>
    <w:p>
      <w:pPr>
        <w:jc w:val="center"/>
        <w:rPr>
          <w:iCs/>
          <w:sz w:val="20"/>
          <w:szCs w:val="20"/>
          <w:lang w:val="ro-RO"/>
        </w:rPr>
      </w:pPr>
      <w:r>
        <w:rPr>
          <w:iCs/>
          <w:sz w:val="20"/>
          <w:szCs w:val="20"/>
          <w:lang w:val="ro-RO"/>
        </w:rPr>
        <w:t>[semnătura autorizată a băncii]</w:t>
      </w:r>
    </w:p>
    <w:p>
      <w:pPr>
        <w:pStyle w:val="4"/>
        <w:rPr>
          <w:rFonts w:hint="default" w:ascii="Times New Roman" w:hAnsi="Times New Roman" w:cs="Times New Roman"/>
          <w:color w:val="auto"/>
          <w:sz w:val="22"/>
          <w:szCs w:val="22"/>
        </w:rPr>
      </w:pPr>
      <w:bookmarkStart w:id="138" w:name="_Toc449539093"/>
      <w:bookmarkStart w:id="139" w:name="_Toc392180203"/>
    </w:p>
    <w:p>
      <w:pPr>
        <w:rPr>
          <w:rFonts w:hint="default"/>
        </w:rPr>
      </w:pPr>
    </w:p>
    <w:p>
      <w:pPr>
        <w:pStyle w:val="4"/>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Garanţie de bună execuţie </w:t>
      </w:r>
      <w:bookmarkEnd w:id="138"/>
      <w:bookmarkEnd w:id="139"/>
    </w:p>
    <w:p>
      <w:pPr>
        <w:pStyle w:val="14"/>
        <w:spacing w:after="0"/>
        <w:jc w:val="both"/>
        <w:rPr>
          <w:rFonts w:hint="default" w:ascii="Times New Roman" w:hAnsi="Times New Roman" w:cs="Times New Roman"/>
          <w:i/>
          <w:iCs/>
          <w:color w:val="auto"/>
          <w:sz w:val="22"/>
          <w:szCs w:val="22"/>
          <w:lang w:val="ro-RO"/>
        </w:rPr>
      </w:pPr>
    </w:p>
    <w:p>
      <w:pPr>
        <w:pStyle w:val="14"/>
        <w:spacing w:after="0"/>
        <w:jc w:val="both"/>
        <w:rPr>
          <w:i/>
          <w:iCs/>
          <w:szCs w:val="24"/>
          <w:lang w:val="ro-RO"/>
        </w:rPr>
      </w:pPr>
    </w:p>
    <w:p>
      <w:pPr>
        <w:pStyle w:val="14"/>
        <w:spacing w:after="0"/>
        <w:jc w:val="both"/>
        <w:rPr>
          <w:i/>
          <w:iCs/>
          <w:szCs w:val="24"/>
          <w:lang w:val="ro-RO"/>
        </w:rPr>
      </w:pPr>
      <w:r>
        <w:rPr>
          <w:i/>
          <w:iCs/>
          <w:szCs w:val="24"/>
          <w:lang w:val="ro-RO"/>
        </w:rPr>
        <w:t>[Banca comercială, la cererea ofertantului cîştigător, va completa acest formular pe foaie cu antet, în conformitate cu instrucţiunile de mai jos.]</w:t>
      </w:r>
    </w:p>
    <w:p>
      <w:pPr>
        <w:pStyle w:val="14"/>
        <w:spacing w:after="0"/>
        <w:jc w:val="both"/>
        <w:rPr>
          <w:i/>
          <w:iCs/>
          <w:szCs w:val="24"/>
          <w:lang w:val="ro-RO"/>
        </w:rPr>
      </w:pPr>
    </w:p>
    <w:p>
      <w:pPr>
        <w:tabs>
          <w:tab w:val="right" w:pos="6000"/>
          <w:tab w:val="right" w:pos="9360"/>
        </w:tabs>
        <w:spacing w:line="360" w:lineRule="auto"/>
        <w:ind w:right="990"/>
        <w:jc w:val="both"/>
      </w:pPr>
      <w:r>
        <w:t xml:space="preserve">Data: </w:t>
      </w:r>
      <w:r>
        <w:rPr>
          <w:lang w:val="en-US"/>
        </w:rPr>
        <w:t>“___” _____________________ 20__</w:t>
      </w:r>
    </w:p>
    <w:p>
      <w:pPr>
        <w:tabs>
          <w:tab w:val="right" w:pos="6000"/>
          <w:tab w:val="right" w:pos="9360"/>
        </w:tabs>
        <w:spacing w:line="360" w:lineRule="auto"/>
        <w:ind w:right="660"/>
        <w:jc w:val="both"/>
      </w:pPr>
      <w:r>
        <w:rPr>
          <w:bCs/>
          <w:lang w:val="zh-CN"/>
        </w:rPr>
        <w:t xml:space="preserve">Procedura de achiziție </w:t>
      </w:r>
      <w:r>
        <w:t xml:space="preserve">Nr.: </w:t>
      </w:r>
      <w:r>
        <w:tab/>
      </w:r>
      <w:r>
        <w:rPr>
          <w:iCs/>
        </w:rPr>
        <w:t>_______________________________________</w:t>
      </w:r>
    </w:p>
    <w:p>
      <w:pPr>
        <w:tabs>
          <w:tab w:val="right" w:pos="6000"/>
        </w:tabs>
        <w:spacing w:line="360" w:lineRule="auto"/>
        <w:jc w:val="both"/>
        <w:rPr>
          <w:b/>
        </w:rPr>
      </w:pPr>
    </w:p>
    <w:p>
      <w:pPr>
        <w:tabs>
          <w:tab w:val="right" w:pos="6000"/>
        </w:tabs>
        <w:jc w:val="both"/>
        <w:rPr>
          <w:iCs/>
        </w:rPr>
      </w:pPr>
      <w:r>
        <w:rPr>
          <w:b/>
        </w:rPr>
        <w:t>Oficiul Băncii</w:t>
      </w:r>
      <w:r>
        <w:t>:</w:t>
      </w:r>
      <w:r>
        <w:tab/>
      </w:r>
      <w:r>
        <w:rPr>
          <w:iCs/>
        </w:rPr>
        <w:t>_____________________________________</w:t>
      </w:r>
    </w:p>
    <w:p>
      <w:pPr>
        <w:tabs>
          <w:tab w:val="right" w:pos="6000"/>
        </w:tabs>
        <w:spacing w:line="360" w:lineRule="auto"/>
        <w:ind w:right="3574" w:firstLine="1560"/>
        <w:jc w:val="center"/>
        <w:rPr>
          <w:sz w:val="18"/>
          <w:szCs w:val="18"/>
        </w:rPr>
      </w:pPr>
      <w:r>
        <w:rPr>
          <w:i/>
          <w:iCs/>
          <w:sz w:val="18"/>
          <w:szCs w:val="18"/>
        </w:rPr>
        <w:t>[introduceţi numele complet al garantului]</w:t>
      </w:r>
    </w:p>
    <w:p>
      <w:pPr>
        <w:tabs>
          <w:tab w:val="right" w:pos="6000"/>
          <w:tab w:val="right" w:pos="9360"/>
        </w:tabs>
        <w:ind w:right="658"/>
        <w:jc w:val="both"/>
        <w:rPr>
          <w:iCs/>
        </w:rPr>
      </w:pPr>
      <w:r>
        <w:rPr>
          <w:b/>
        </w:rPr>
        <w:t>Beneficiar</w:t>
      </w:r>
      <w:r>
        <w:t xml:space="preserve">: </w:t>
      </w:r>
      <w:r>
        <w:tab/>
      </w:r>
      <w:r>
        <w:t>_</w:t>
      </w:r>
      <w:r>
        <w:rPr>
          <w:iCs/>
        </w:rPr>
        <w:t>_______________________________________</w:t>
      </w:r>
    </w:p>
    <w:p>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pPr>
        <w:tabs>
          <w:tab w:val="right" w:pos="6000"/>
          <w:tab w:val="right" w:pos="9360"/>
        </w:tabs>
        <w:spacing w:line="360" w:lineRule="auto"/>
        <w:ind w:right="660"/>
        <w:jc w:val="both"/>
      </w:pPr>
    </w:p>
    <w:p>
      <w:pPr>
        <w:tabs>
          <w:tab w:val="right" w:pos="6000"/>
          <w:tab w:val="right" w:pos="9360"/>
        </w:tabs>
        <w:spacing w:line="360" w:lineRule="auto"/>
        <w:ind w:right="660"/>
        <w:jc w:val="both"/>
      </w:pPr>
    </w:p>
    <w:p>
      <w:pPr>
        <w:jc w:val="center"/>
        <w:rPr>
          <w:b/>
          <w:bCs/>
          <w:sz w:val="28"/>
          <w:szCs w:val="28"/>
        </w:rPr>
      </w:pPr>
      <w:r>
        <w:rPr>
          <w:b/>
          <w:bCs/>
          <w:sz w:val="28"/>
          <w:szCs w:val="28"/>
        </w:rPr>
        <w:t>GARANŢIA DE BUNĂ EXECUŢIE</w:t>
      </w:r>
    </w:p>
    <w:p>
      <w:pPr>
        <w:jc w:val="center"/>
        <w:rPr>
          <w:i/>
          <w:iCs/>
          <w:sz w:val="28"/>
          <w:szCs w:val="28"/>
        </w:rPr>
      </w:pPr>
      <w:r>
        <w:rPr>
          <w:b/>
          <w:bCs/>
          <w:sz w:val="28"/>
          <w:szCs w:val="28"/>
        </w:rPr>
        <w:t xml:space="preserve">Nr. </w:t>
      </w:r>
      <w:r>
        <w:rPr>
          <w:i/>
          <w:iCs/>
          <w:sz w:val="28"/>
          <w:szCs w:val="28"/>
        </w:rPr>
        <w:t>_______________</w:t>
      </w:r>
    </w:p>
    <w:p>
      <w:pPr>
        <w:ind w:firstLine="720"/>
        <w:jc w:val="both"/>
      </w:pPr>
    </w:p>
    <w:p>
      <w:pPr>
        <w:ind w:firstLine="720"/>
        <w:jc w:val="both"/>
      </w:pPr>
    </w:p>
    <w:p>
      <w:pPr>
        <w:jc w:val="both"/>
      </w:pPr>
      <w:r>
        <w:t xml:space="preserve">Noi, </w:t>
      </w:r>
      <w:r>
        <w:rPr>
          <w:i/>
          <w:iCs/>
        </w:rPr>
        <w:t>[introduceţi numele legal şi adresa băncii],</w:t>
      </w:r>
      <w:r>
        <w:t xml:space="preserve"> am fost informaţi că firmei </w:t>
      </w:r>
      <w:r>
        <w:rPr>
          <w:i/>
          <w:iCs/>
        </w:rPr>
        <w:t>[introduceţi numele deplin al Furnizorului</w:t>
      </w:r>
      <w:r>
        <w:rPr>
          <w:rFonts w:hint="default"/>
          <w:i/>
          <w:iCs/>
        </w:rPr>
        <w:t>/Vînzătorului</w:t>
      </w:r>
      <w:r>
        <w:rPr>
          <w:i/>
          <w:iCs/>
        </w:rPr>
        <w:t>]</w:t>
      </w:r>
      <w:r>
        <w:t xml:space="preserve"> (numit în continuare „Furnizor</w:t>
      </w:r>
      <w:r>
        <w:rPr>
          <w:rFonts w:hint="default"/>
        </w:rPr>
        <w:t>/Vînzător</w:t>
      </w:r>
      <w:r>
        <w:t>”) i-a fost adjudecat Contractul de achiziție   de  livrare</w:t>
      </w:r>
      <w:r>
        <w:rPr>
          <w:rFonts w:hint="default"/>
        </w:rPr>
        <w:t>/vînzare</w:t>
      </w:r>
      <w:r>
        <w:t xml:space="preserve"> ______________ [</w:t>
      </w:r>
      <w:r>
        <w:rPr>
          <w:i/>
        </w:rPr>
        <w:t>obiectul achiziţiei,</w:t>
      </w:r>
      <w:r>
        <w:rPr>
          <w:i/>
          <w:iCs/>
        </w:rPr>
        <w:t xml:space="preserve"> descrieţi bunurile</w:t>
      </w:r>
      <w:r>
        <w:t xml:space="preserve">] conform invitaţiei la </w:t>
      </w:r>
      <w:r>
        <w:rPr>
          <w:bCs/>
          <w:lang w:val="zh-CN"/>
        </w:rPr>
        <w:t xml:space="preserve">procedura de achiziție </w:t>
      </w:r>
      <w:r>
        <w:t xml:space="preserve"> nr. din _________. 201_ [</w:t>
      </w:r>
      <w:r>
        <w:rPr>
          <w:i/>
        </w:rPr>
        <w:t xml:space="preserve">numărul şi data </w:t>
      </w:r>
      <w:r>
        <w:rPr>
          <w:bCs/>
          <w:i/>
          <w:lang w:val="zh-CN"/>
        </w:rPr>
        <w:t xml:space="preserve">procedurii de achiziție </w:t>
      </w:r>
      <w:r>
        <w:t xml:space="preserve">] (numit în continuare „Contract”). </w:t>
      </w:r>
    </w:p>
    <w:p>
      <w:pPr>
        <w:jc w:val="both"/>
      </w:pPr>
    </w:p>
    <w:p>
      <w:pPr>
        <w:jc w:val="both"/>
      </w:pPr>
      <w:r>
        <w:t>Prin urmare, noi înţelegem că Furnizorul</w:t>
      </w:r>
      <w:r>
        <w:rPr>
          <w:rFonts w:hint="default"/>
        </w:rPr>
        <w:t>/Vînzătorulo</w:t>
      </w:r>
      <w:r>
        <w:t xml:space="preserve"> trebuie să depună o Garanţie de bună execuţie în conformitate cu prevederile documentelor de atribuire.</w:t>
      </w:r>
    </w:p>
    <w:p>
      <w:pPr>
        <w:jc w:val="both"/>
      </w:pPr>
    </w:p>
    <w:p>
      <w:pPr>
        <w:jc w:val="both"/>
      </w:pPr>
      <w:r>
        <w:t>În urma solicitării Furnizorului</w:t>
      </w:r>
      <w:r>
        <w:rPr>
          <w:rFonts w:hint="default"/>
        </w:rPr>
        <w:t>/Vînzătorului</w:t>
      </w:r>
      <w:r>
        <w:t xml:space="preserve">,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rPr>
          <w:rFonts w:hint="default"/>
          <w:iCs/>
        </w:rPr>
        <w:t xml:space="preserve">/Vînzătorul </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pPr>
        <w:jc w:val="both"/>
      </w:pPr>
    </w:p>
    <w:p>
      <w:pPr>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 xml:space="preserve">, şi orice cerere de plată ce ţine de aceasta trebuie recepţionată de către noi la oficiu pînă la această dată inclusiv. </w:t>
      </w:r>
    </w:p>
    <w:p>
      <w:pPr>
        <w:tabs>
          <w:tab w:val="left" w:pos="3175"/>
        </w:tabs>
        <w:ind w:firstLine="720"/>
        <w:jc w:val="both"/>
        <w:rPr>
          <w:i/>
          <w:iCs/>
        </w:rPr>
      </w:pPr>
    </w:p>
    <w:p>
      <w:pPr>
        <w:tabs>
          <w:tab w:val="left" w:pos="3175"/>
        </w:tabs>
        <w:jc w:val="both"/>
        <w:rPr>
          <w:rFonts w:hint="default"/>
          <w:i/>
          <w:lang w:val="ro-RO"/>
        </w:rPr>
      </w:pPr>
      <w:r>
        <w:rPr>
          <w:i/>
        </w:rPr>
        <w:t>[semnăturile reprezentanţilor autorizaţi ai băncii şi ai Furnizorului</w:t>
      </w:r>
      <w:r>
        <w:rPr>
          <w:rFonts w:hint="default"/>
          <w:i/>
        </w:rPr>
        <w:t>/Vînzătorului</w:t>
      </w:r>
      <w:r>
        <w:rPr>
          <w:i/>
        </w:rPr>
        <w:t>]</w:t>
      </w:r>
    </w:p>
    <w:sectPr>
      <w:pgSz w:w="11906" w:h="16838"/>
      <w:pgMar w:top="1440" w:right="746" w:bottom="1440" w:left="15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EUAlbertina">
    <w:altName w:val="Times New Roman"/>
    <w:panose1 w:val="00000000000000000000"/>
    <w:charset w:val="00"/>
    <w:family w:val="roman"/>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35D4E"/>
    <w:multiLevelType w:val="multilevel"/>
    <w:tmpl w:val="06535D4E"/>
    <w:lvl w:ilvl="0" w:tentative="0">
      <w:start w:val="1"/>
      <w:numFmt w:val="lowerLetter"/>
      <w:lvlText w:val="%1)"/>
      <w:lvlJc w:val="left"/>
      <w:pPr>
        <w:ind w:left="9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9F1FF5"/>
    <w:multiLevelType w:val="multilevel"/>
    <w:tmpl w:val="079F1F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8C93E5A"/>
    <w:multiLevelType w:val="multilevel"/>
    <w:tmpl w:val="08C93E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9D56E1"/>
    <w:multiLevelType w:val="multilevel"/>
    <w:tmpl w:val="0A9D56E1"/>
    <w:lvl w:ilvl="0" w:tentative="0">
      <w:start w:val="1"/>
      <w:numFmt w:val="decimal"/>
      <w:lvlText w:val="%1."/>
      <w:lvlJc w:val="left"/>
      <w:pPr>
        <w:ind w:left="1470" w:hanging="870"/>
      </w:pPr>
      <w:rPr>
        <w:rFonts w:hint="default"/>
        <w:b/>
        <w:sz w:val="24"/>
      </w:rPr>
    </w:lvl>
    <w:lvl w:ilvl="1" w:tentative="0">
      <w:start w:val="1"/>
      <w:numFmt w:val="decimal"/>
      <w:isLgl/>
      <w:lvlText w:val="%1.%2."/>
      <w:lvlJc w:val="left"/>
      <w:pPr>
        <w:ind w:left="1153" w:hanging="585"/>
      </w:pPr>
      <w:rPr>
        <w:rFonts w:hint="default"/>
        <w:b w:val="0"/>
        <w:sz w:val="24"/>
        <w:szCs w:val="24"/>
        <w:lang w:val="en-US"/>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4">
    <w:nsid w:val="116A4BCF"/>
    <w:multiLevelType w:val="multilevel"/>
    <w:tmpl w:val="116A4BCF"/>
    <w:lvl w:ilvl="0" w:tentative="0">
      <w:start w:val="1"/>
      <w:numFmt w:val="lowerLetter"/>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decimal"/>
      <w:lvlText w:val="%3."/>
      <w:lvlJc w:val="left"/>
      <w:pPr>
        <w:ind w:left="2340" w:hanging="360"/>
      </w:pPr>
      <w:rPr>
        <w:rFonts w:hint="default"/>
      </w:rPr>
    </w:lvl>
    <w:lvl w:ilvl="3" w:tentative="0">
      <w:start w:val="1"/>
      <w:numFmt w:val="upperLetter"/>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8D44F9"/>
    <w:multiLevelType w:val="multilevel"/>
    <w:tmpl w:val="1A8D44F9"/>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6">
    <w:nsid w:val="23FB1A1B"/>
    <w:multiLevelType w:val="multilevel"/>
    <w:tmpl w:val="23FB1A1B"/>
    <w:lvl w:ilvl="0" w:tentative="0">
      <w:start w:val="1"/>
      <w:numFmt w:val="lowerLetter"/>
      <w:lvlText w:val="%1."/>
      <w:lvlJc w:val="left"/>
      <w:pPr>
        <w:ind w:left="1429" w:hanging="360"/>
      </w:pPr>
      <w:rPr>
        <w:sz w:val="24"/>
        <w:szCs w:val="24"/>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31C92CBA"/>
    <w:multiLevelType w:val="multilevel"/>
    <w:tmpl w:val="31C92CBA"/>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34D10284"/>
    <w:multiLevelType w:val="multilevel"/>
    <w:tmpl w:val="34D10284"/>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9">
    <w:nsid w:val="48732F28"/>
    <w:multiLevelType w:val="multilevel"/>
    <w:tmpl w:val="48732F2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9F91578"/>
    <w:multiLevelType w:val="multilevel"/>
    <w:tmpl w:val="49F9157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D22313C"/>
    <w:multiLevelType w:val="multilevel"/>
    <w:tmpl w:val="5D22313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464"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E842CF2"/>
    <w:multiLevelType w:val="multilevel"/>
    <w:tmpl w:val="5E842CF2"/>
    <w:lvl w:ilvl="0" w:tentative="0">
      <w:start w:val="1"/>
      <w:numFmt w:val="lowerLetter"/>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0072879"/>
    <w:multiLevelType w:val="multilevel"/>
    <w:tmpl w:val="6007287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2897BAE"/>
    <w:multiLevelType w:val="multilevel"/>
    <w:tmpl w:val="62897BAE"/>
    <w:lvl w:ilvl="0" w:tentative="0">
      <w:start w:val="1"/>
      <w:numFmt w:val="upperRoman"/>
      <w:pStyle w:val="2"/>
      <w:lvlText w:val="%1."/>
      <w:lvlJc w:val="right"/>
      <w:pPr>
        <w:ind w:left="720" w:hanging="360"/>
      </w:pPr>
    </w:lvl>
    <w:lvl w:ilvl="1" w:tentative="0">
      <w:start w:val="1"/>
      <w:numFmt w:val="decimal"/>
      <w:lvlText w:val="%2."/>
      <w:lvlJc w:val="left"/>
      <w:pPr>
        <w:ind w:left="1440" w:hanging="360"/>
      </w:pPr>
      <w:rPr>
        <w:rFonts w:hint="default"/>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F507C5D"/>
    <w:multiLevelType w:val="multilevel"/>
    <w:tmpl w:val="7F507C5D"/>
    <w:lvl w:ilvl="0" w:tentative="0">
      <w:start w:val="1"/>
      <w:numFmt w:val="decimal"/>
      <w:pStyle w:val="3"/>
      <w:lvlText w:val="%1."/>
      <w:lvlJc w:val="left"/>
      <w:pPr>
        <w:ind w:left="360" w:hanging="360"/>
      </w:pPr>
      <w:rPr>
        <w:b/>
      </w:rPr>
    </w:lvl>
    <w:lvl w:ilvl="1" w:tentative="0">
      <w:start w:val="1"/>
      <w:numFmt w:val="decimal"/>
      <w:lvlText w:val="%2."/>
      <w:lvlJc w:val="left"/>
      <w:pPr>
        <w:ind w:left="1080" w:hanging="360"/>
      </w:p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7F983C1C"/>
    <w:multiLevelType w:val="multilevel"/>
    <w:tmpl w:val="7F983C1C"/>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4"/>
  </w:num>
  <w:num w:numId="2">
    <w:abstractNumId w:val="15"/>
  </w:num>
  <w:num w:numId="3">
    <w:abstractNumId w:val="3"/>
  </w:num>
  <w:num w:numId="4">
    <w:abstractNumId w:val="11"/>
  </w:num>
  <w:num w:numId="5">
    <w:abstractNumId w:val="5"/>
  </w:num>
  <w:num w:numId="6">
    <w:abstractNumId w:val="8"/>
  </w:num>
  <w:num w:numId="7">
    <w:abstractNumId w:val="0"/>
  </w:num>
  <w:num w:numId="8">
    <w:abstractNumId w:val="12"/>
  </w:num>
  <w:num w:numId="9">
    <w:abstractNumId w:val="6"/>
  </w:num>
  <w:num w:numId="10">
    <w:abstractNumId w:val="9"/>
  </w:num>
  <w:num w:numId="11">
    <w:abstractNumId w:val="2"/>
  </w:num>
  <w:num w:numId="12">
    <w:abstractNumId w:val="1"/>
  </w:num>
  <w:num w:numId="13">
    <w:abstractNumId w:val="10"/>
  </w:num>
  <w:num w:numId="14">
    <w:abstractNumId w:val="7"/>
  </w:num>
  <w:num w:numId="15">
    <w:abstractNumId w:val="1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B7CE5"/>
    <w:rsid w:val="028A7269"/>
    <w:rsid w:val="14123917"/>
    <w:rsid w:val="441B7CE5"/>
    <w:rsid w:val="692C36B2"/>
    <w:rsid w:val="6C03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1"/>
    <w:basedOn w:val="3"/>
    <w:next w:val="1"/>
    <w:qFormat/>
    <w:uiPriority w:val="0"/>
    <w:pPr>
      <w:numPr>
        <w:ilvl w:val="0"/>
        <w:numId w:val="1"/>
      </w:numPr>
      <w:tabs>
        <w:tab w:val="left" w:pos="1134"/>
      </w:tabs>
      <w:jc w:val="center"/>
      <w:outlineLvl w:val="0"/>
    </w:pPr>
    <w:rPr>
      <w:b/>
    </w:rPr>
  </w:style>
  <w:style w:type="paragraph" w:styleId="4">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5">
    <w:name w:val="heading 3"/>
    <w:basedOn w:val="1"/>
    <w:next w:val="1"/>
    <w:unhideWhenUsed/>
    <w:qFormat/>
    <w:uiPriority w:val="0"/>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List Paragraph"/>
    <w:basedOn w:val="1"/>
    <w:qFormat/>
    <w:uiPriority w:val="34"/>
    <w:pPr>
      <w:numPr>
        <w:ilvl w:val="0"/>
        <w:numId w:val="2"/>
      </w:numPr>
      <w:tabs>
        <w:tab w:val="left" w:pos="1134"/>
      </w:tabs>
      <w:jc w:val="both"/>
    </w:pPr>
    <w:rPr>
      <w:lang w:val="en-US"/>
    </w:rPr>
  </w:style>
  <w:style w:type="character" w:styleId="8">
    <w:name w:val="footnote reference"/>
    <w:qFormat/>
    <w:uiPriority w:val="0"/>
    <w:rPr>
      <w:vertAlign w:val="superscript"/>
    </w:rPr>
  </w:style>
  <w:style w:type="paragraph" w:styleId="9">
    <w:name w:val="footnote text"/>
    <w:basedOn w:val="1"/>
    <w:qFormat/>
    <w:uiPriority w:val="0"/>
    <w:pPr>
      <w:jc w:val="both"/>
    </w:pPr>
    <w:rPr>
      <w:sz w:val="20"/>
      <w:szCs w:val="20"/>
      <w:lang w:val="en-US"/>
    </w:rPr>
  </w:style>
  <w:style w:type="paragraph" w:styleId="10">
    <w:name w:val="footer"/>
    <w:basedOn w:val="1"/>
    <w:qFormat/>
    <w:uiPriority w:val="0"/>
    <w:pPr>
      <w:tabs>
        <w:tab w:val="center" w:pos="4536"/>
        <w:tab w:val="right" w:pos="9072"/>
      </w:tabs>
    </w:pPr>
  </w:style>
  <w:style w:type="paragraph" w:styleId="11">
    <w:name w:val="Normal (Web)"/>
    <w:basedOn w:val="1"/>
    <w:unhideWhenUsed/>
    <w:qFormat/>
    <w:uiPriority w:val="99"/>
    <w:pPr>
      <w:ind w:firstLine="567"/>
      <w:jc w:val="both"/>
    </w:pPr>
    <w:rPr>
      <w:lang w:val="ru-RU" w:eastAsia="ru-RU"/>
    </w:rPr>
  </w:style>
  <w:style w:type="paragraph" w:customStyle="1" w:styleId="12">
    <w:name w:val="Default"/>
    <w:qFormat/>
    <w:uiPriority w:val="0"/>
    <w:pPr>
      <w:autoSpaceDE w:val="0"/>
      <w:autoSpaceDN w:val="0"/>
      <w:adjustRightInd w:val="0"/>
      <w:spacing w:after="0" w:line="240" w:lineRule="auto"/>
    </w:pPr>
    <w:rPr>
      <w:rFonts w:ascii="EUAlbertina" w:hAnsi="EUAlbertina" w:eastAsia="PMingLiU" w:cs="EUAlbertina"/>
      <w:color w:val="000000"/>
      <w:sz w:val="24"/>
      <w:szCs w:val="24"/>
      <w:lang w:val="en-US" w:eastAsia="zh-CN" w:bidi="ar-SA"/>
    </w:rPr>
  </w:style>
  <w:style w:type="paragraph" w:customStyle="1" w:styleId="13">
    <w:name w:val="Standard"/>
    <w:qFormat/>
    <w:uiPriority w:val="0"/>
    <w:pPr>
      <w:suppressAutoHyphens/>
      <w:autoSpaceDN w:val="0"/>
      <w:spacing w:after="200" w:line="276" w:lineRule="auto"/>
    </w:pPr>
    <w:rPr>
      <w:rFonts w:ascii="Calibri" w:hAnsi="Calibri" w:eastAsia="Calibri" w:cs="Calibri"/>
      <w:kern w:val="3"/>
      <w:sz w:val="22"/>
      <w:szCs w:val="22"/>
      <w:lang w:val="en-US" w:eastAsia="en-US" w:bidi="ar-SA"/>
    </w:rPr>
  </w:style>
  <w:style w:type="paragraph" w:customStyle="1" w:styleId="14">
    <w:name w:val="BankNormal"/>
    <w:basedOn w:val="1"/>
    <w:qFormat/>
    <w:uiPriority w:val="0"/>
    <w:pPr>
      <w:spacing w:after="240"/>
    </w:pPr>
    <w:rPr>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2021-01-27T05:52:00Z</dcterms:created>
  <dc:creator>Test</dc:creator>
  <cp:lastModifiedBy>Test</cp:lastModifiedBy>
  <dcterms:modified xsi:type="dcterms:W3CDTF">2021-02-08T11:42:27Z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