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1242"/>
        <w:gridCol w:w="142"/>
        <w:gridCol w:w="2977"/>
        <w:gridCol w:w="425"/>
        <w:gridCol w:w="567"/>
        <w:gridCol w:w="992"/>
        <w:gridCol w:w="3544"/>
      </w:tblGrid>
      <w:tr w:rsidR="00B25EEF" w:rsidRPr="00C60D06" w:rsidTr="00434E61">
        <w:trPr>
          <w:trHeight w:val="850"/>
        </w:trPr>
        <w:tc>
          <w:tcPr>
            <w:tcW w:w="9889" w:type="dxa"/>
            <w:gridSpan w:val="7"/>
            <w:vAlign w:val="center"/>
          </w:tcPr>
          <w:p w:rsidR="00B25EEF" w:rsidRPr="00C60D06" w:rsidRDefault="00B25EEF" w:rsidP="00434E61">
            <w:pPr>
              <w:pStyle w:val="1"/>
              <w:numPr>
                <w:ilvl w:val="0"/>
                <w:numId w:val="0"/>
              </w:numPr>
              <w:ind w:left="720"/>
              <w:rPr>
                <w:lang w:val="ro-RO"/>
              </w:rPr>
            </w:pPr>
            <w:bookmarkStart w:id="0" w:name="_Toc358300267"/>
            <w:bookmarkStart w:id="1" w:name="_Toc392180189"/>
            <w:bookmarkStart w:id="2" w:name="_Toc449539077"/>
            <w:r>
              <w:rPr>
                <w:lang w:val="ro-RO"/>
              </w:rPr>
              <w:t>CAPITOLUL II</w:t>
            </w:r>
            <w:r w:rsidRPr="00C60D06">
              <w:rPr>
                <w:lang w:val="ro-RO"/>
              </w:rPr>
              <w:br w:type="textWrapping" w:clear="all"/>
              <w:t>FIȘA DE DATE A ACHIZIȚIEI (FDA)</w:t>
            </w:r>
            <w:bookmarkEnd w:id="0"/>
            <w:bookmarkEnd w:id="1"/>
            <w:bookmarkEnd w:id="2"/>
          </w:p>
        </w:tc>
      </w:tr>
      <w:tr w:rsidR="00B25EEF" w:rsidRPr="00C60D06" w:rsidTr="00434E61">
        <w:trPr>
          <w:trHeight w:val="600"/>
        </w:trPr>
        <w:tc>
          <w:tcPr>
            <w:tcW w:w="9889" w:type="dxa"/>
            <w:gridSpan w:val="7"/>
            <w:vAlign w:val="center"/>
          </w:tcPr>
          <w:p w:rsidR="00B25EEF" w:rsidRPr="00C60D06" w:rsidRDefault="00B25EEF" w:rsidP="00434E61">
            <w:pPr>
              <w:spacing w:after="120"/>
              <w:jc w:val="both"/>
              <w:rPr>
                <w:bCs/>
              </w:rPr>
            </w:pPr>
            <w:r w:rsidRPr="00C60D06">
              <w:rPr>
                <w:sz w:val="22"/>
                <w:szCs w:val="22"/>
              </w:rPr>
              <w:t xml:space="preserve">Următoarele date specifice referitoare la serviciile solicitate vor completa, suplimenta sau ajusta prevederile </w:t>
            </w:r>
            <w:r>
              <w:rPr>
                <w:sz w:val="22"/>
                <w:szCs w:val="22"/>
              </w:rPr>
              <w:t>CAPITOLULUI I</w:t>
            </w:r>
            <w:r w:rsidRPr="00C60D06">
              <w:rPr>
                <w:sz w:val="22"/>
                <w:szCs w:val="22"/>
              </w:rPr>
              <w:t xml:space="preserve">. În cazul unei discrepanţe sau al unui conflict, prevederile </w:t>
            </w:r>
            <w:r>
              <w:rPr>
                <w:sz w:val="22"/>
                <w:szCs w:val="22"/>
              </w:rPr>
              <w:t>prezentului CAPITOL</w:t>
            </w:r>
            <w:r w:rsidRPr="00C60D06">
              <w:rPr>
                <w:sz w:val="22"/>
                <w:szCs w:val="22"/>
              </w:rPr>
              <w:t xml:space="preserve"> vor prevala asupra prevederilor din </w:t>
            </w:r>
            <w:r>
              <w:rPr>
                <w:sz w:val="22"/>
                <w:szCs w:val="22"/>
              </w:rPr>
              <w:t>CAPITOLUL I</w:t>
            </w:r>
            <w:r w:rsidRPr="00C60D06">
              <w:rPr>
                <w:sz w:val="22"/>
                <w:szCs w:val="22"/>
              </w:rPr>
              <w:t>.</w:t>
            </w:r>
          </w:p>
          <w:p w:rsidR="00B25EEF" w:rsidRPr="00C60D06" w:rsidRDefault="00B25EEF" w:rsidP="00434E61">
            <w:pPr>
              <w:rPr>
                <w:i/>
              </w:rPr>
            </w:pPr>
            <w:r w:rsidRPr="00C60D06">
              <w:rPr>
                <w:i/>
                <w:sz w:val="22"/>
                <w:szCs w:val="22"/>
              </w:rPr>
              <w:t xml:space="preserve">Instrucţiunile pentru completarea </w:t>
            </w:r>
            <w:r w:rsidRPr="00C60D06">
              <w:rPr>
                <w:b/>
                <w:i/>
                <w:sz w:val="22"/>
                <w:szCs w:val="22"/>
              </w:rPr>
              <w:t>Fişei de Date a Achiziţiei</w:t>
            </w:r>
            <w:r w:rsidRPr="00C60D06">
              <w:rPr>
                <w:i/>
                <w:sz w:val="22"/>
                <w:szCs w:val="22"/>
              </w:rPr>
              <w:t xml:space="preserve"> sînt oferite cu litere cursive.</w:t>
            </w:r>
          </w:p>
          <w:p w:rsidR="00B25EEF" w:rsidRPr="00C60D06" w:rsidRDefault="00B25EEF" w:rsidP="00434E61">
            <w:pPr>
              <w:rPr>
                <w:i/>
              </w:rPr>
            </w:pPr>
          </w:p>
        </w:tc>
      </w:tr>
      <w:tr w:rsidR="00B25EEF" w:rsidRPr="00C60D06" w:rsidTr="00434E61">
        <w:trPr>
          <w:trHeight w:val="600"/>
        </w:trPr>
        <w:tc>
          <w:tcPr>
            <w:tcW w:w="9889" w:type="dxa"/>
            <w:gridSpan w:val="7"/>
            <w:vAlign w:val="center"/>
          </w:tcPr>
          <w:p w:rsidR="00B25EEF" w:rsidRPr="00435528" w:rsidRDefault="00B25EEF" w:rsidP="00B25EEF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</w:pPr>
            <w:bookmarkStart w:id="3" w:name="_Toc358300268"/>
            <w:bookmarkStart w:id="4" w:name="_Toc392180190"/>
            <w:bookmarkStart w:id="5" w:name="_Toc449539078"/>
            <w:r w:rsidRPr="00435528">
              <w:t>Dispoziții generale</w:t>
            </w:r>
            <w:bookmarkEnd w:id="3"/>
            <w:bookmarkEnd w:id="4"/>
            <w:bookmarkEnd w:id="5"/>
          </w:p>
          <w:p w:rsidR="00B25EEF" w:rsidRPr="00C60D06" w:rsidRDefault="00B25EEF" w:rsidP="00434E61"/>
          <w:tbl>
            <w:tblPr>
              <w:tblW w:w="10741" w:type="dxa"/>
              <w:tblLayout w:type="fixed"/>
              <w:tblLook w:val="04A0"/>
            </w:tblPr>
            <w:tblGrid>
              <w:gridCol w:w="674"/>
              <w:gridCol w:w="4424"/>
              <w:gridCol w:w="3146"/>
              <w:gridCol w:w="2497"/>
            </w:tblGrid>
            <w:tr w:rsidR="00B25EEF" w:rsidRPr="00891B52" w:rsidTr="00434E61">
              <w:trPr>
                <w:trHeight w:val="27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91B52">
                    <w:rPr>
                      <w:b/>
                      <w:sz w:val="20"/>
                    </w:rPr>
                    <w:t>Nr.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ind w:firstLine="21"/>
                    <w:jc w:val="center"/>
                    <w:rPr>
                      <w:b/>
                      <w:sz w:val="20"/>
                    </w:rPr>
                  </w:pPr>
                  <w:r w:rsidRPr="00891B52">
                    <w:rPr>
                      <w:b/>
                      <w:sz w:val="20"/>
                    </w:rPr>
                    <w:t>Rubrica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91B52">
                    <w:rPr>
                      <w:b/>
                      <w:sz w:val="20"/>
                    </w:rPr>
                    <w:t>Datele Autorității Contractante/Organizatorului procedurii</w:t>
                  </w:r>
                </w:p>
              </w:tc>
            </w:tr>
            <w:tr w:rsidR="00B25EEF" w:rsidRPr="00891B52" w:rsidTr="00434E61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Autoritatea contractantă/Organizatorul procedurii, IDNO: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IMSP AMT Buiucani   IDNO 1003600153131</w:t>
                  </w:r>
                </w:p>
              </w:tc>
            </w:tr>
            <w:tr w:rsidR="00B25EEF" w:rsidRPr="00891B52" w:rsidTr="00434E61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Obiectul achiziției: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D10310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lang w:val="ro-MO"/>
                    </w:rPr>
                    <w:t>Achiziţionarea serviciilor de curăţenie in instituţie  medicala IMSP AMT Buiucani</w:t>
                  </w:r>
                  <w:r w:rsidR="003332D6">
                    <w:rPr>
                      <w:b/>
                      <w:color w:val="000000"/>
                      <w:sz w:val="20"/>
                      <w:lang w:val="ro-MO"/>
                    </w:rPr>
                    <w:t xml:space="preserve"> (repetat)</w:t>
                  </w:r>
                </w:p>
              </w:tc>
            </w:tr>
            <w:tr w:rsidR="00B25EEF" w:rsidRPr="00891B52" w:rsidTr="00434E61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Numărul  și tipul procedurii de achiziție: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Nr.:</w:t>
                  </w:r>
                </w:p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Tipul procedurii de achiziție: LP</w:t>
                  </w:r>
                </w:p>
              </w:tc>
            </w:tr>
            <w:tr w:rsidR="00B25EEF" w:rsidRPr="00891B52" w:rsidTr="00434E61">
              <w:trPr>
                <w:trHeight w:val="25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 xml:space="preserve">Tipul obiectului de achiziţie: 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servicii</w:t>
                  </w:r>
                </w:p>
              </w:tc>
            </w:tr>
            <w:tr w:rsidR="00B25EEF" w:rsidRPr="00891B52" w:rsidTr="00434E61">
              <w:trPr>
                <w:trHeight w:val="26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 xml:space="preserve">Codul CPV: 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91B52">
                    <w:rPr>
                      <w:rFonts w:eastAsia="Calibri"/>
                      <w:b/>
                      <w:sz w:val="20"/>
                      <w:szCs w:val="20"/>
                      <w:lang w:val="ro-MO"/>
                    </w:rPr>
                    <w:t>90910000-9</w:t>
                  </w:r>
                </w:p>
              </w:tc>
            </w:tr>
            <w:tr w:rsidR="00B25EEF" w:rsidRPr="00891B52" w:rsidTr="00434E61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Sursa alocaţiilor bugetare/banilor publici și perioada bugetară: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CNAM</w:t>
                  </w:r>
                </w:p>
              </w:tc>
            </w:tr>
            <w:tr w:rsidR="00B25EEF" w:rsidRPr="00891B52" w:rsidTr="00434E61">
              <w:trPr>
                <w:trHeight w:val="25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Administratorul alocațiilor bugetare: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 xml:space="preserve">IMSP AMT Buiucani   </w:t>
                  </w:r>
                </w:p>
              </w:tc>
            </w:tr>
            <w:tr w:rsidR="00B25EEF" w:rsidRPr="00891B52" w:rsidTr="00434E61">
              <w:trPr>
                <w:trHeight w:val="7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Partenerul de dezvoltare (după caz):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Nu este</w:t>
                  </w:r>
                </w:p>
              </w:tc>
            </w:tr>
            <w:tr w:rsidR="00B25EEF" w:rsidRPr="00891B52" w:rsidTr="00434E61">
              <w:trPr>
                <w:trHeight w:val="38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Denumirea cumpărătorului, IDNO: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[IMSP AMT Buiucani   IDNO 1003600153131</w:t>
                  </w:r>
                </w:p>
              </w:tc>
            </w:tr>
            <w:tr w:rsidR="00B25EEF" w:rsidRPr="00891B52" w:rsidTr="00434E61">
              <w:trPr>
                <w:trHeight w:val="28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Destinatarul serviciilor, IDNO: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IMSP AMT Buiucani   IDNO 1003600153131</w:t>
                  </w:r>
                </w:p>
              </w:tc>
            </w:tr>
            <w:tr w:rsidR="00B25EEF" w:rsidRPr="00891B52" w:rsidTr="00434E61">
              <w:trPr>
                <w:trHeight w:val="23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Limba de comunicare: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limba de stat</w:t>
                  </w:r>
                </w:p>
              </w:tc>
            </w:tr>
            <w:tr w:rsidR="00B25EEF" w:rsidRPr="00891B52" w:rsidTr="00434E61">
              <w:trPr>
                <w:trHeight w:val="39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Locul/Modalitatea de transmitere a clarificărilor referitor la  documentația de atribuire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891B52">
                    <w:rPr>
                      <w:i/>
                      <w:sz w:val="20"/>
                      <w:szCs w:val="20"/>
                    </w:rPr>
                    <w:t>SIA RSAP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 w:val="20"/>
                    </w:rPr>
                  </w:pPr>
                </w:p>
              </w:tc>
            </w:tr>
            <w:tr w:rsidR="00B25EEF" w:rsidRPr="00891B52" w:rsidTr="00434E61">
              <w:trPr>
                <w:trHeight w:val="8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Contract de achiziție rezervat atelierelor protejate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 w:val="20"/>
                    </w:rPr>
                  </w:pPr>
                  <w:r w:rsidRPr="00891B52">
                    <w:rPr>
                      <w:b/>
                      <w:i/>
                      <w:sz w:val="20"/>
                    </w:rPr>
                    <w:t>Da</w:t>
                  </w:r>
                </w:p>
              </w:tc>
            </w:tr>
            <w:tr w:rsidR="00B25EEF" w:rsidRPr="00891B52" w:rsidTr="00434E61">
              <w:trPr>
                <w:trHeight w:val="24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Tipul contractului: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tabs>
                      <w:tab w:val="left" w:pos="284"/>
                      <w:tab w:val="right" w:pos="9531"/>
                    </w:tabs>
                    <w:spacing w:line="360" w:lineRule="auto"/>
                    <w:ind w:left="360" w:hanging="360"/>
                    <w:contextualSpacing/>
                    <w:rPr>
                      <w:rFonts w:ascii="Baltica RR" w:hAnsi="Baltica RR"/>
                      <w:b/>
                      <w:i/>
                      <w:noProof w:val="0"/>
                      <w:sz w:val="20"/>
                      <w:szCs w:val="20"/>
                    </w:rPr>
                  </w:pPr>
                  <w:r w:rsidRPr="00891B52">
                    <w:rPr>
                      <w:rFonts w:ascii="Baltica RR" w:hAnsi="Baltica RR"/>
                      <w:b/>
                      <w:i/>
                      <w:noProof w:val="0"/>
                      <w:sz w:val="20"/>
                      <w:szCs w:val="20"/>
                    </w:rPr>
                    <w:t xml:space="preserve">prestări servicii </w:t>
                  </w:r>
                </w:p>
              </w:tc>
            </w:tr>
            <w:tr w:rsidR="00B25EEF" w:rsidRPr="00891B52" w:rsidTr="00434E61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ind w:left="-120" w:right="-108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891B52">
                    <w:rPr>
                      <w:spacing w:val="-4"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rPr>
                      <w:sz w:val="20"/>
                    </w:rPr>
                  </w:pPr>
                  <w:r w:rsidRPr="00891B52">
                    <w:rPr>
                      <w:sz w:val="20"/>
                    </w:rPr>
                    <w:t>Condiții speciale de care depinde îndeplinirea contractului</w:t>
                  </w:r>
                  <w:r w:rsidRPr="00891B52">
                    <w:rPr>
                      <w:b/>
                      <w:sz w:val="20"/>
                    </w:rPr>
                    <w:t xml:space="preserve">: 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EF" w:rsidRPr="00891B52" w:rsidRDefault="00B25EEF" w:rsidP="00434E61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pacing w:val="-2"/>
                      <w:sz w:val="20"/>
                    </w:rPr>
                  </w:pPr>
                  <w:r w:rsidRPr="00891B52">
                    <w:rPr>
                      <w:b/>
                      <w:i/>
                      <w:spacing w:val="-2"/>
                      <w:sz w:val="20"/>
                    </w:rPr>
                    <w:t xml:space="preserve">Corespunderea tuturor cerințelor caietului de </w:t>
                  </w:r>
                </w:p>
                <w:p w:rsidR="00B25EEF" w:rsidRPr="00891B52" w:rsidRDefault="00B25EEF" w:rsidP="00434E61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pacing w:val="-2"/>
                      <w:sz w:val="20"/>
                    </w:rPr>
                  </w:pPr>
                  <w:r w:rsidRPr="00891B52">
                    <w:rPr>
                      <w:b/>
                      <w:i/>
                      <w:spacing w:val="-2"/>
                      <w:sz w:val="20"/>
                    </w:rPr>
                    <w:t xml:space="preserve">sarcini </w:t>
                  </w:r>
                </w:p>
              </w:tc>
            </w:tr>
          </w:tbl>
          <w:p w:rsidR="00B25EEF" w:rsidRPr="00C60D06" w:rsidRDefault="00B25EEF" w:rsidP="00434E61"/>
        </w:tc>
      </w:tr>
      <w:tr w:rsidR="00B25EEF" w:rsidRPr="00C60D06" w:rsidTr="00434E61">
        <w:trPr>
          <w:trHeight w:val="600"/>
        </w:trPr>
        <w:tc>
          <w:tcPr>
            <w:tcW w:w="9889" w:type="dxa"/>
            <w:gridSpan w:val="7"/>
            <w:vAlign w:val="center"/>
          </w:tcPr>
          <w:p w:rsidR="00B25EEF" w:rsidRPr="00891B52" w:rsidRDefault="00B25EEF" w:rsidP="00B25EEF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  <w:rPr>
                <w:sz w:val="20"/>
                <w:szCs w:val="20"/>
              </w:rPr>
            </w:pPr>
            <w:bookmarkStart w:id="6" w:name="_Toc392180191"/>
            <w:bookmarkStart w:id="7" w:name="_Toc449539079"/>
            <w:r w:rsidRPr="00891B52">
              <w:rPr>
                <w:sz w:val="20"/>
                <w:szCs w:val="20"/>
              </w:rPr>
              <w:t>Lista serviciilor</w:t>
            </w:r>
            <w:r w:rsidRPr="00891B52">
              <w:rPr>
                <w:color w:val="FF0000"/>
                <w:sz w:val="20"/>
                <w:szCs w:val="20"/>
              </w:rPr>
              <w:t xml:space="preserve"> </w:t>
            </w:r>
            <w:r w:rsidRPr="00891B52">
              <w:rPr>
                <w:sz w:val="20"/>
                <w:szCs w:val="20"/>
              </w:rPr>
              <w:t>și specificațiile tehnice:</w:t>
            </w:r>
            <w:bookmarkEnd w:id="6"/>
            <w:bookmarkEnd w:id="7"/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7868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7868">
              <w:rPr>
                <w:b/>
                <w:sz w:val="20"/>
                <w:szCs w:val="20"/>
              </w:rPr>
              <w:t>Denumire serviciilor solicitate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7868">
              <w:rPr>
                <w:b/>
                <w:sz w:val="20"/>
                <w:szCs w:val="20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7868">
              <w:rPr>
                <w:b/>
                <w:sz w:val="20"/>
                <w:szCs w:val="20"/>
              </w:rPr>
              <w:t>Cantitatea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7868">
              <w:rPr>
                <w:b/>
                <w:sz w:val="20"/>
                <w:szCs w:val="20"/>
              </w:rPr>
              <w:t>Specificația tehnică deplină solicitată, Standarde de referinţă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B25EEF" w:rsidRPr="00C60D06" w:rsidRDefault="00B25EEF" w:rsidP="00434E61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60E">
              <w:rPr>
                <w:b/>
                <w:lang w:val="ro-MO"/>
              </w:rPr>
              <w:t>Lotul 1</w:t>
            </w:r>
            <w:r w:rsidRPr="00F9460E">
              <w:rPr>
                <w:b/>
                <w:color w:val="000000"/>
                <w:sz w:val="22"/>
                <w:szCs w:val="22"/>
                <w:lang w:val="ro-MO"/>
              </w:rPr>
              <w:t xml:space="preserve"> Servicii </w:t>
            </w:r>
            <w:r w:rsidRPr="00B7345D">
              <w:rPr>
                <w:b/>
                <w:color w:val="000000"/>
                <w:sz w:val="22"/>
                <w:szCs w:val="22"/>
                <w:lang w:val="ro-MO"/>
              </w:rPr>
              <w:t>de curăţenie</w:t>
            </w:r>
            <w:r>
              <w:rPr>
                <w:b/>
                <w:color w:val="000000"/>
                <w:sz w:val="22"/>
                <w:szCs w:val="22"/>
                <w:lang w:val="ro-MO"/>
              </w:rPr>
              <w:t xml:space="preserve"> in instituţie medicala</w:t>
            </w:r>
            <w:r w:rsidRPr="00F9460E">
              <w:rPr>
                <w:b/>
                <w:color w:val="000000"/>
                <w:sz w:val="22"/>
                <w:szCs w:val="22"/>
                <w:lang w:val="ro-MO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o-MO"/>
              </w:rPr>
              <w:t>(</w:t>
            </w:r>
            <w:r w:rsidRPr="00F9460E">
              <w:rPr>
                <w:b/>
                <w:color w:val="000000"/>
                <w:sz w:val="22"/>
                <w:szCs w:val="22"/>
                <w:lang w:val="ro-MO"/>
              </w:rPr>
              <w:t>4 obiective a IMSP AMT Buiucani</w:t>
            </w:r>
            <w:r>
              <w:rPr>
                <w:b/>
                <w:color w:val="000000"/>
                <w:sz w:val="22"/>
                <w:szCs w:val="22"/>
                <w:lang w:val="ro-MO"/>
              </w:rPr>
              <w:t>)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242" w:type="dxa"/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1 dată în zi, bloc CCD</w:t>
            </w:r>
          </w:p>
        </w:tc>
        <w:tc>
          <w:tcPr>
            <w:tcW w:w="567" w:type="dxa"/>
            <w:shd w:val="clear" w:color="auto" w:fill="auto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EEF" w:rsidRPr="00837868" w:rsidRDefault="00B25EEF" w:rsidP="00434E61">
            <w:pPr>
              <w:spacing w:after="200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358.0</w:t>
            </w:r>
          </w:p>
        </w:tc>
        <w:tc>
          <w:tcPr>
            <w:tcW w:w="3544" w:type="dxa"/>
            <w:shd w:val="clear" w:color="auto" w:fill="auto"/>
          </w:tcPr>
          <w:p w:rsidR="00B25EEF" w:rsidRPr="00837868" w:rsidRDefault="00B25EEF" w:rsidP="00434E61">
            <w:pPr>
              <w:spacing w:after="200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2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5EEF" w:rsidRPr="00837868" w:rsidRDefault="00B25EEF" w:rsidP="00434E61">
            <w:pPr>
              <w:rPr>
                <w:b/>
                <w:bCs/>
                <w:color w:val="C00000"/>
                <w:sz w:val="20"/>
                <w:szCs w:val="20"/>
                <w:lang w:val="pt-BR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pt-BR"/>
              </w:rPr>
              <w:t>ZONELE CU RISC MEDIU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2 ori  în zi, bloc CCD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2279.71</w:t>
            </w:r>
          </w:p>
        </w:tc>
        <w:tc>
          <w:tcPr>
            <w:tcW w:w="3544" w:type="dxa"/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3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3 ori  în zi, bloc CCD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337,8</w:t>
            </w:r>
          </w:p>
        </w:tc>
        <w:tc>
          <w:tcPr>
            <w:tcW w:w="3544" w:type="dxa"/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4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1 dată în zi, bloc CMF-4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163,5</w:t>
            </w:r>
          </w:p>
        </w:tc>
        <w:tc>
          <w:tcPr>
            <w:tcW w:w="3544" w:type="dxa"/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5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5EEF" w:rsidRPr="00837868" w:rsidRDefault="00B25EEF" w:rsidP="00434E61">
            <w:pPr>
              <w:rPr>
                <w:b/>
                <w:bCs/>
                <w:color w:val="C00000"/>
                <w:sz w:val="20"/>
                <w:szCs w:val="20"/>
                <w:lang w:val="pt-BR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pt-BR"/>
              </w:rPr>
              <w:t>ZONELE CU RISC MEDIU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2 ori  în zi, bloc CMF-4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1125.8</w:t>
            </w:r>
          </w:p>
        </w:tc>
        <w:tc>
          <w:tcPr>
            <w:tcW w:w="3544" w:type="dxa"/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6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3 ori  în zi, bloc CMF-4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239.5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7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1 dată în zi, bloc CMF-5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spacing w:after="200" w:line="276" w:lineRule="auto"/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673,7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8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lastRenderedPageBreak/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b/>
                <w:bCs/>
                <w:color w:val="C00000"/>
                <w:sz w:val="20"/>
                <w:szCs w:val="20"/>
                <w:lang w:val="pt-BR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pt-BR"/>
              </w:rPr>
              <w:t>ZONELE CU RISC MEDIU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 2 ori  în zi, bloc CMF-5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2237.3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9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3 ori  în zi, bloc CMF-5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642.3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</w:t>
            </w:r>
            <w:r>
              <w:rPr>
                <w:color w:val="000000"/>
                <w:sz w:val="20"/>
                <w:szCs w:val="20"/>
                <w:lang w:val="ro-MO"/>
              </w:rPr>
              <w:t>10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1 dată în zi, bloc CMF-6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436,5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nr.1</w:t>
            </w:r>
            <w:r>
              <w:rPr>
                <w:color w:val="000000"/>
                <w:sz w:val="20"/>
                <w:szCs w:val="20"/>
                <w:lang w:val="ro-MO"/>
              </w:rPr>
              <w:t>1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b/>
                <w:bCs/>
                <w:color w:val="C00000"/>
                <w:sz w:val="20"/>
                <w:szCs w:val="20"/>
                <w:lang w:val="pt-BR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pt-BR"/>
              </w:rPr>
              <w:t>ZONELE CU RISC MEDIU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2 ori  în zi, bloc CMF-6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1483.8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nr.1</w:t>
            </w:r>
            <w:r>
              <w:rPr>
                <w:color w:val="000000"/>
                <w:sz w:val="20"/>
                <w:szCs w:val="20"/>
                <w:lang w:val="ro-MO"/>
              </w:rPr>
              <w:t>2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si 14  la contract</w:t>
            </w:r>
          </w:p>
        </w:tc>
      </w:tr>
      <w:tr w:rsidR="00B25EEF" w:rsidRPr="00C60D06" w:rsidTr="0043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25EEF" w:rsidRPr="0038701C" w:rsidRDefault="00B25EEF" w:rsidP="00434E61">
            <w:pPr>
              <w:rPr>
                <w:rFonts w:eastAsia="Calibri"/>
                <w:b/>
                <w:sz w:val="20"/>
                <w:szCs w:val="20"/>
                <w:lang w:val="ro-MO"/>
              </w:rPr>
            </w:pPr>
            <w:r w:rsidRPr="0038701C">
              <w:rPr>
                <w:rFonts w:eastAsia="Calibri"/>
                <w:b/>
                <w:sz w:val="20"/>
                <w:szCs w:val="20"/>
                <w:lang w:val="ro-MO"/>
              </w:rPr>
              <w:t>90910000</w:t>
            </w:r>
            <w:r>
              <w:rPr>
                <w:rFonts w:eastAsia="Calibri"/>
                <w:b/>
                <w:sz w:val="20"/>
                <w:szCs w:val="20"/>
                <w:lang w:val="ro-MO"/>
              </w:rPr>
              <w:t>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  <w:lang w:val="it-IT"/>
              </w:rPr>
            </w:pPr>
            <w:r w:rsidRPr="00837868">
              <w:rPr>
                <w:b/>
                <w:bCs/>
                <w:color w:val="C00000"/>
                <w:sz w:val="20"/>
                <w:szCs w:val="20"/>
                <w:lang w:val="it-IT"/>
              </w:rPr>
              <w:t>ZONE CU RISC SCĂZUT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>Servicii de curăţenie   3 ori  în zi, bloc CMF-6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B7345D" w:rsidRDefault="00B25EEF" w:rsidP="00434E61">
            <w:pPr>
              <w:jc w:val="center"/>
              <w:rPr>
                <w:color w:val="000000"/>
                <w:lang w:val="ro-MO"/>
              </w:rPr>
            </w:pPr>
            <w:r w:rsidRPr="00B7345D">
              <w:rPr>
                <w:color w:val="000000"/>
                <w:sz w:val="22"/>
                <w:szCs w:val="22"/>
                <w:lang w:val="ro-MO"/>
              </w:rPr>
              <w:t>m</w:t>
            </w:r>
            <w:r w:rsidRPr="00B7345D">
              <w:rPr>
                <w:color w:val="000000"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EEF" w:rsidRPr="00837868" w:rsidRDefault="00B25EEF" w:rsidP="00434E6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341,6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5EEF" w:rsidRPr="00837868" w:rsidRDefault="00B25EEF" w:rsidP="00434E61">
            <w:pPr>
              <w:rPr>
                <w:color w:val="000000"/>
                <w:sz w:val="20"/>
                <w:szCs w:val="20"/>
                <w:lang w:val="ro-MO"/>
              </w:rPr>
            </w:pPr>
            <w:r w:rsidRPr="00837868">
              <w:rPr>
                <w:color w:val="000000"/>
                <w:sz w:val="20"/>
                <w:szCs w:val="20"/>
                <w:lang w:val="ro-MO"/>
              </w:rPr>
              <w:t>Conform Anexei nr.1</w:t>
            </w:r>
            <w:r>
              <w:rPr>
                <w:color w:val="000000"/>
                <w:sz w:val="20"/>
                <w:szCs w:val="20"/>
                <w:lang w:val="ro-MO"/>
              </w:rPr>
              <w:t>3</w:t>
            </w:r>
            <w:r w:rsidRPr="00837868">
              <w:rPr>
                <w:color w:val="000000"/>
                <w:sz w:val="20"/>
                <w:szCs w:val="20"/>
                <w:lang w:val="ro-MO"/>
              </w:rPr>
              <w:t xml:space="preserve">  si 14 la contract</w:t>
            </w:r>
          </w:p>
        </w:tc>
      </w:tr>
    </w:tbl>
    <w:p w:rsidR="00B25EEF" w:rsidRPr="00C60D06" w:rsidRDefault="00B25EEF" w:rsidP="00B25EEF"/>
    <w:p w:rsidR="00B25EEF" w:rsidRPr="00C60D06" w:rsidRDefault="00B25EEF" w:rsidP="00B25EEF">
      <w:pPr>
        <w:pStyle w:val="2"/>
        <w:keepNext w:val="0"/>
        <w:keepLines w:val="0"/>
        <w:numPr>
          <w:ilvl w:val="0"/>
          <w:numId w:val="4"/>
        </w:numPr>
        <w:tabs>
          <w:tab w:val="left" w:pos="360"/>
        </w:tabs>
        <w:spacing w:before="0"/>
        <w:jc w:val="center"/>
      </w:pPr>
      <w:bookmarkStart w:id="8" w:name="_Toc392180193"/>
      <w:bookmarkStart w:id="9" w:name="_Toc449539081"/>
      <w:r w:rsidRPr="00C60D06">
        <w:t>Pregătirea ofertelor</w:t>
      </w:r>
      <w:bookmarkEnd w:id="8"/>
      <w:bookmarkEnd w:id="9"/>
    </w:p>
    <w:p w:rsidR="00B25EEF" w:rsidRPr="00C60D06" w:rsidRDefault="00B25EEF" w:rsidP="00B25EEF"/>
    <w:tbl>
      <w:tblPr>
        <w:tblW w:w="9889" w:type="dxa"/>
        <w:tblLayout w:type="fixed"/>
        <w:tblLook w:val="04A0"/>
      </w:tblPr>
      <w:tblGrid>
        <w:gridCol w:w="534"/>
        <w:gridCol w:w="2834"/>
        <w:gridCol w:w="284"/>
        <w:gridCol w:w="2580"/>
        <w:gridCol w:w="3657"/>
      </w:tblGrid>
      <w:tr w:rsidR="00B25EEF" w:rsidRPr="00891B52" w:rsidTr="00B25EEF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Oferte alternative: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>nu vor fi acceptate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Garanţia pentru ofertă: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b/>
                <w:i/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>forma garanției a</w:t>
            </w:r>
          </w:p>
          <w:p w:rsidR="00B25EEF" w:rsidRPr="00891B52" w:rsidRDefault="00B25EEF" w:rsidP="00B25EEF">
            <w:pPr>
              <w:numPr>
                <w:ilvl w:val="0"/>
                <w:numId w:val="2"/>
              </w:numPr>
              <w:tabs>
                <w:tab w:val="clear" w:pos="1134"/>
                <w:tab w:val="left" w:pos="372"/>
              </w:tabs>
              <w:suppressAutoHyphens/>
              <w:ind w:left="372" w:hanging="360"/>
              <w:rPr>
                <w:i/>
                <w:sz w:val="20"/>
                <w:szCs w:val="20"/>
              </w:rPr>
            </w:pPr>
            <w:r w:rsidRPr="00891B52">
              <w:rPr>
                <w:i/>
                <w:sz w:val="20"/>
                <w:szCs w:val="20"/>
              </w:rPr>
              <w:t>Garanţia pentru ofertă prin transfer la contul autorităţii contractante, conform următoarelor date bancare: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>beneficiarul plăţii IMSP AMT Buiucani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(b) datele bancare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Ministerul Finantelor – Trezoraria de Stat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(c) codul fiscal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1003600153131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(d) contul de decontare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MD75TRPCBW518430G00371AA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(e) contul trezorerial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[indicaţi]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B25EEF" w:rsidRPr="00891B52" w:rsidRDefault="00B25EEF" w:rsidP="00434E61">
            <w:pPr>
              <w:tabs>
                <w:tab w:val="left" w:pos="1152"/>
              </w:tabs>
              <w:suppressAutoHyphens/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(f) contul bancar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TREZMD2X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B25EEF" w:rsidRPr="00891B52" w:rsidRDefault="00B25EEF" w:rsidP="00434E61">
            <w:pPr>
              <w:tabs>
                <w:tab w:val="left" w:pos="1152"/>
              </w:tabs>
              <w:suppressAutoHyphens/>
              <w:rPr>
                <w:i/>
                <w:sz w:val="20"/>
                <w:szCs w:val="20"/>
              </w:rPr>
            </w:pPr>
            <w:r w:rsidRPr="00891B52">
              <w:rPr>
                <w:i/>
                <w:sz w:val="20"/>
                <w:szCs w:val="20"/>
              </w:rPr>
              <w:t xml:space="preserve">cu nota “Pentru setul documentelor de atribuire” sau “Pentru garanţia pentru ofertă la </w:t>
            </w:r>
            <w:r w:rsidRPr="00891B52">
              <w:rPr>
                <w:bCs/>
                <w:i/>
                <w:sz w:val="20"/>
                <w:szCs w:val="20"/>
              </w:rPr>
              <w:t>procedura de achiziție publică</w:t>
            </w:r>
            <w:r w:rsidRPr="00891B52">
              <w:rPr>
                <w:i/>
                <w:sz w:val="20"/>
                <w:szCs w:val="20"/>
              </w:rPr>
              <w:t xml:space="preserve"> nr. ____ din _______”.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 xml:space="preserve">Garanţia pentru ofertă va fi în valoare de: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 xml:space="preserve">2% </w:t>
            </w:r>
            <w:r w:rsidRPr="00891B52">
              <w:rPr>
                <w:i/>
                <w:sz w:val="20"/>
                <w:szCs w:val="20"/>
              </w:rPr>
              <w:t>din valoarea ofertei fără TVA.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Ediţia aplicabilă a Incoterms și termenii comerciali acceptați vor fi (după caz):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 xml:space="preserve"> [ediția aplicabilă]</w:t>
            </w:r>
          </w:p>
        </w:tc>
      </w:tr>
      <w:tr w:rsidR="00B25EEF" w:rsidRPr="00891B52" w:rsidTr="00B25EE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Termenul de prestare: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8A39A5">
            <w:pPr>
              <w:tabs>
                <w:tab w:val="left" w:pos="372"/>
              </w:tabs>
              <w:suppressAutoHyphens/>
              <w:rPr>
                <w:b/>
                <w:i/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>01.0</w:t>
            </w:r>
            <w:r w:rsidR="008A39A5">
              <w:rPr>
                <w:b/>
                <w:i/>
                <w:sz w:val="20"/>
                <w:szCs w:val="20"/>
              </w:rPr>
              <w:t>7</w:t>
            </w:r>
            <w:r w:rsidRPr="00891B52">
              <w:rPr>
                <w:b/>
                <w:i/>
                <w:sz w:val="20"/>
                <w:szCs w:val="20"/>
              </w:rPr>
              <w:t>.2020 – 31.12.2020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Locul  prestării serviciilor: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b/>
                <w:i/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>CCD - str. I.L.Caragiale 2; CMF-5 –str. I.L. Caragiale 1; CMF-4 – I. Creanga 24; CMF-6 – P. Movila 6/2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right="-108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 xml:space="preserve">Metoda și condițiile de plată vor fi: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b/>
                <w:spacing w:val="-4"/>
                <w:sz w:val="20"/>
                <w:szCs w:val="20"/>
              </w:rPr>
            </w:pPr>
            <w:r w:rsidRPr="00891B52">
              <w:rPr>
                <w:b/>
                <w:spacing w:val="-4"/>
                <w:sz w:val="20"/>
                <w:szCs w:val="20"/>
              </w:rPr>
              <w:t>Achitarea va fi efectuată utilizînd sistemul de e-facturare.</w:t>
            </w:r>
          </w:p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i/>
                <w:spacing w:val="-4"/>
                <w:sz w:val="20"/>
                <w:szCs w:val="20"/>
              </w:rPr>
            </w:pPr>
            <w:r w:rsidRPr="00891B52">
              <w:rPr>
                <w:i/>
                <w:spacing w:val="-4"/>
                <w:sz w:val="20"/>
                <w:szCs w:val="20"/>
              </w:rPr>
              <w:t>[se indică condițiile de plată către operatorul economic, plățile prealabile, după caz, inclusiv termenul de achitare]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right="-108"/>
              <w:rPr>
                <w:spacing w:val="-4"/>
                <w:sz w:val="20"/>
                <w:szCs w:val="20"/>
              </w:rPr>
            </w:pPr>
            <w:r w:rsidRPr="00891B52">
              <w:rPr>
                <w:sz w:val="20"/>
                <w:szCs w:val="20"/>
                <w:lang w:eastAsia="ja-JP"/>
              </w:rPr>
              <w:t>Perioada valabilităţii ofertei va fi de: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b/>
                <w:i/>
                <w:spacing w:val="-4"/>
                <w:sz w:val="20"/>
                <w:szCs w:val="20"/>
              </w:rPr>
            </w:pPr>
            <w:r w:rsidRPr="00891B52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</w:p>
        </w:tc>
      </w:tr>
      <w:tr w:rsidR="00B25EEF" w:rsidRPr="00891B52" w:rsidTr="00B25EEF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right="-108"/>
              <w:rPr>
                <w:sz w:val="20"/>
                <w:szCs w:val="20"/>
                <w:lang w:eastAsia="ja-JP"/>
              </w:rPr>
            </w:pPr>
            <w:r w:rsidRPr="00891B52">
              <w:rPr>
                <w:sz w:val="20"/>
                <w:szCs w:val="20"/>
                <w:lang w:eastAsia="ja-JP"/>
              </w:rPr>
              <w:t>Ofertele în valută străină: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i/>
                <w:iCs/>
                <w:sz w:val="20"/>
                <w:szCs w:val="20"/>
              </w:rPr>
            </w:pPr>
            <w:r w:rsidRPr="00891B52">
              <w:rPr>
                <w:b/>
                <w:i/>
                <w:iCs/>
                <w:sz w:val="20"/>
                <w:szCs w:val="20"/>
              </w:rPr>
              <w:t xml:space="preserve"> nu se acceptă</w:t>
            </w:r>
          </w:p>
        </w:tc>
      </w:tr>
      <w:tr w:rsidR="00B25EEF" w:rsidRPr="00891B52" w:rsidTr="00B25EEF">
        <w:trPr>
          <w:trHeight w:val="600"/>
        </w:trPr>
        <w:tc>
          <w:tcPr>
            <w:tcW w:w="9889" w:type="dxa"/>
            <w:gridSpan w:val="5"/>
            <w:vAlign w:val="center"/>
          </w:tcPr>
          <w:p w:rsidR="00B25EEF" w:rsidRPr="00891B52" w:rsidRDefault="00B25EEF" w:rsidP="00B25EEF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  <w:rPr>
                <w:sz w:val="20"/>
                <w:szCs w:val="20"/>
              </w:rPr>
            </w:pPr>
            <w:bookmarkStart w:id="10" w:name="_Toc358300271"/>
            <w:bookmarkStart w:id="11" w:name="_Toc392180194"/>
            <w:bookmarkStart w:id="12" w:name="_Toc449539082"/>
            <w:r w:rsidRPr="00891B52">
              <w:rPr>
                <w:sz w:val="20"/>
                <w:szCs w:val="20"/>
              </w:rPr>
              <w:t>Depunerea și deschiderea ofertelor</w:t>
            </w:r>
            <w:bookmarkEnd w:id="10"/>
            <w:bookmarkEnd w:id="11"/>
            <w:bookmarkEnd w:id="12"/>
          </w:p>
        </w:tc>
      </w:tr>
      <w:tr w:rsidR="00B25EEF" w:rsidRPr="00891B52" w:rsidTr="00B25EEF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4.1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right="-108"/>
              <w:rPr>
                <w:sz w:val="20"/>
                <w:szCs w:val="20"/>
                <w:lang w:eastAsia="ja-JP"/>
              </w:rPr>
            </w:pPr>
            <w:r w:rsidRPr="00891B52">
              <w:rPr>
                <w:sz w:val="20"/>
                <w:szCs w:val="20"/>
              </w:rPr>
              <w:t xml:space="preserve">Locul/Modalitatea de  </w:t>
            </w:r>
            <w:r w:rsidRPr="00891B52">
              <w:rPr>
                <w:b/>
                <w:sz w:val="20"/>
                <w:szCs w:val="20"/>
              </w:rPr>
              <w:t>depunerea ofertelor</w:t>
            </w:r>
            <w:r w:rsidRPr="00891B52">
              <w:rPr>
                <w:sz w:val="20"/>
                <w:szCs w:val="20"/>
              </w:rPr>
              <w:t>, este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EEF" w:rsidRPr="00891B52" w:rsidRDefault="00B25EEF" w:rsidP="00434E61">
            <w:pPr>
              <w:jc w:val="both"/>
              <w:rPr>
                <w:i/>
                <w:sz w:val="20"/>
                <w:szCs w:val="20"/>
              </w:rPr>
            </w:pPr>
            <w:r w:rsidRPr="00891B52">
              <w:rPr>
                <w:i/>
                <w:spacing w:val="-4"/>
                <w:sz w:val="20"/>
                <w:szCs w:val="20"/>
              </w:rPr>
              <w:t>SIA RSAP</w:t>
            </w:r>
          </w:p>
        </w:tc>
        <w:tc>
          <w:tcPr>
            <w:tcW w:w="3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 w:val="20"/>
                <w:lang w:eastAsia="ru-RU"/>
              </w:rPr>
            </w:pPr>
          </w:p>
        </w:tc>
      </w:tr>
      <w:tr w:rsidR="00B25EEF" w:rsidRPr="00891B52" w:rsidTr="00B25EEF">
        <w:trPr>
          <w:gridAfter w:val="3"/>
          <w:wAfter w:w="6521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B25EEF" w:rsidRPr="00891B52" w:rsidTr="00B25EE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91B52">
              <w:rPr>
                <w:b/>
                <w:sz w:val="20"/>
                <w:szCs w:val="20"/>
              </w:rPr>
              <w:t>Termenul limită</w:t>
            </w:r>
            <w:r w:rsidRPr="00891B52">
              <w:rPr>
                <w:sz w:val="20"/>
                <w:szCs w:val="20"/>
              </w:rPr>
              <w:t xml:space="preserve"> de depunere a ofertelor este: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EF" w:rsidRPr="00891B52" w:rsidRDefault="00B25EEF" w:rsidP="00434E61">
            <w:pPr>
              <w:jc w:val="both"/>
              <w:rPr>
                <w:i/>
                <w:sz w:val="20"/>
                <w:szCs w:val="20"/>
              </w:rPr>
            </w:pPr>
            <w:r w:rsidRPr="00891B52">
              <w:rPr>
                <w:i/>
                <w:spacing w:val="-4"/>
                <w:sz w:val="20"/>
                <w:szCs w:val="20"/>
              </w:rPr>
              <w:t>SIA RSAP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 w:val="20"/>
                <w:lang w:eastAsia="ru-RU"/>
              </w:rPr>
            </w:pPr>
          </w:p>
        </w:tc>
      </w:tr>
      <w:tr w:rsidR="00B25EEF" w:rsidRPr="00891B52" w:rsidTr="00B25EEF">
        <w:trPr>
          <w:trHeight w:val="39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4.3.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a6"/>
              <w:rPr>
                <w:rFonts w:ascii="Times New Roman" w:hAnsi="Times New Roman"/>
                <w:sz w:val="20"/>
              </w:rPr>
            </w:pPr>
            <w:r w:rsidRPr="00891B52">
              <w:rPr>
                <w:rFonts w:ascii="Times New Roman" w:hAnsi="Times New Roman"/>
                <w:sz w:val="20"/>
              </w:rPr>
              <w:t xml:space="preserve">Persoanele autorizate să asiste la deschiderea ofertelor (cu excepţia cazului </w:t>
            </w:r>
            <w:proofErr w:type="spellStart"/>
            <w:r w:rsidRPr="00891B52">
              <w:rPr>
                <w:rFonts w:ascii="Times New Roman" w:hAnsi="Times New Roman"/>
                <w:sz w:val="20"/>
              </w:rPr>
              <w:t>cînd</w:t>
            </w:r>
            <w:proofErr w:type="spellEnd"/>
            <w:r w:rsidRPr="00891B52">
              <w:rPr>
                <w:rFonts w:ascii="Times New Roman" w:hAnsi="Times New Roman"/>
                <w:sz w:val="20"/>
              </w:rPr>
              <w:t xml:space="preserve"> ofertele au fost depuse prin SIA “RSAP”).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a6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  <w:lang w:val="en-US"/>
              </w:rPr>
              <w:t>Ofertanţii sau reprezentanţii acestora au dreptul să participe la deschiderea ofertelor, cu excepţia cazului cînd ofertele au fost depuse prin SIA “RSAP”</w:t>
            </w:r>
          </w:p>
        </w:tc>
      </w:tr>
      <w:tr w:rsidR="00B25EEF" w:rsidRPr="00891B52" w:rsidTr="00B25EEF">
        <w:trPr>
          <w:trHeight w:val="600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B25EEF" w:rsidRPr="00891B52" w:rsidRDefault="00B25EEF" w:rsidP="00B25EEF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  <w:rPr>
                <w:sz w:val="20"/>
                <w:szCs w:val="20"/>
              </w:rPr>
            </w:pPr>
            <w:bookmarkStart w:id="13" w:name="_Toc358300272"/>
            <w:bookmarkStart w:id="14" w:name="_Toc392180195"/>
            <w:bookmarkStart w:id="15" w:name="_Toc449539083"/>
            <w:r w:rsidRPr="00891B52">
              <w:rPr>
                <w:sz w:val="20"/>
                <w:szCs w:val="20"/>
              </w:rPr>
              <w:t>Evaluarea și compararea ofertelor</w:t>
            </w:r>
            <w:bookmarkEnd w:id="13"/>
            <w:bookmarkEnd w:id="14"/>
            <w:bookmarkEnd w:id="15"/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5.1.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 xml:space="preserve">Preţurile ofertelor depuse în diferite valute vor fi convertite în: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b/>
                <w:i/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>Nu se accepta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 xml:space="preserve">Sursa ratei de schimb în scopul convertirii: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i/>
                <w:sz w:val="20"/>
                <w:szCs w:val="20"/>
              </w:rPr>
            </w:pPr>
            <w:r w:rsidRPr="00891B52">
              <w:rPr>
                <w:b/>
                <w:i/>
                <w:sz w:val="20"/>
                <w:szCs w:val="20"/>
              </w:rPr>
              <w:t>[sursa ratei de schimb]</w:t>
            </w:r>
            <w:r w:rsidRPr="00891B5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 xml:space="preserve">Data pentru rata de schimb aplicabilă va fi: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91B52">
              <w:rPr>
                <w:b/>
                <w:i/>
                <w:iCs/>
                <w:sz w:val="20"/>
                <w:szCs w:val="20"/>
              </w:rPr>
              <w:t>[data ratei de schimb]</w:t>
            </w:r>
            <w:r w:rsidRPr="00891B5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5EEF" w:rsidRPr="00891B52" w:rsidTr="00B25EE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5.2.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Modalalitatea de efectuare a evaluării: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b/>
                <w:i/>
                <w:iCs/>
                <w:sz w:val="20"/>
                <w:szCs w:val="20"/>
              </w:rPr>
            </w:pPr>
            <w:r w:rsidRPr="00891B52">
              <w:rPr>
                <w:b/>
                <w:i/>
                <w:iCs/>
                <w:sz w:val="20"/>
                <w:szCs w:val="20"/>
              </w:rPr>
              <w:t xml:space="preserve"> Evaluarea va fi efectuată pe: [indicaţi: pe loturi sau pe poziții. </w:t>
            </w:r>
            <w:r w:rsidRPr="00891B52">
              <w:rPr>
                <w:b/>
                <w:i/>
                <w:iCs/>
                <w:sz w:val="20"/>
                <w:szCs w:val="20"/>
                <w:lang w:val="en-US"/>
              </w:rPr>
              <w:t>Dacă nu recurge la atribuirea contractului pe loturi, autoritatea contractantă are obligaţia de a justifica decizia de a nu atribui contractul pe loturi</w:t>
            </w:r>
            <w:r w:rsidRPr="00891B52">
              <w:rPr>
                <w:b/>
                <w:i/>
                <w:iCs/>
                <w:sz w:val="20"/>
                <w:szCs w:val="20"/>
              </w:rPr>
              <w:t xml:space="preserve"> (art. 37</w:t>
            </w:r>
            <w:r w:rsidRPr="00891B52">
              <w:rPr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r w:rsidRPr="00891B52">
              <w:rPr>
                <w:b/>
                <w:i/>
                <w:iCs/>
                <w:sz w:val="20"/>
                <w:szCs w:val="20"/>
              </w:rPr>
              <w:t>)].</w:t>
            </w:r>
          </w:p>
        </w:tc>
      </w:tr>
      <w:tr w:rsidR="00B25EEF" w:rsidRPr="00891B52" w:rsidTr="00B25EEF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5.3.</w:t>
            </w:r>
          </w:p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sz w:val="20"/>
                <w:szCs w:val="20"/>
              </w:rPr>
            </w:pPr>
            <w:r w:rsidRPr="00891B52">
              <w:rPr>
                <w:sz w:val="20"/>
                <w:szCs w:val="20"/>
              </w:rPr>
              <w:t>Factorii de evaluarea vor fi următorii:</w:t>
            </w:r>
            <w:r w:rsidRPr="00891B52"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b/>
                <w:i/>
                <w:iCs/>
                <w:sz w:val="20"/>
                <w:szCs w:val="20"/>
              </w:rPr>
            </w:pPr>
            <w:r w:rsidRPr="00891B52">
              <w:rPr>
                <w:b/>
                <w:i/>
                <w:iCs/>
                <w:sz w:val="20"/>
                <w:szCs w:val="20"/>
              </w:rPr>
              <w:t>Nu se aplica</w:t>
            </w:r>
          </w:p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25EEF" w:rsidRPr="00891B52" w:rsidTr="00B25EEF">
        <w:trPr>
          <w:trHeight w:val="600"/>
        </w:trPr>
        <w:tc>
          <w:tcPr>
            <w:tcW w:w="9889" w:type="dxa"/>
            <w:gridSpan w:val="5"/>
            <w:tcBorders>
              <w:top w:val="single" w:sz="4" w:space="0" w:color="auto"/>
            </w:tcBorders>
            <w:vAlign w:val="center"/>
          </w:tcPr>
          <w:p w:rsidR="00B25EEF" w:rsidRPr="00891B52" w:rsidRDefault="00B25EEF" w:rsidP="00B25EEF">
            <w:pPr>
              <w:pStyle w:val="2"/>
              <w:keepNext w:val="0"/>
              <w:keepLines w:val="0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jc w:val="center"/>
              <w:rPr>
                <w:sz w:val="20"/>
                <w:szCs w:val="20"/>
              </w:rPr>
            </w:pPr>
            <w:bookmarkStart w:id="16" w:name="_Toc358300273"/>
            <w:bookmarkStart w:id="17" w:name="_Toc392180196"/>
            <w:bookmarkStart w:id="18" w:name="_Toc449539084"/>
            <w:r w:rsidRPr="00891B52">
              <w:rPr>
                <w:sz w:val="20"/>
                <w:szCs w:val="20"/>
              </w:rPr>
              <w:t>Adjudecarea contractului</w:t>
            </w:r>
            <w:bookmarkEnd w:id="16"/>
            <w:bookmarkEnd w:id="17"/>
            <w:bookmarkEnd w:id="18"/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6.1.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rPr>
                <w:color w:val="000000"/>
                <w:sz w:val="20"/>
                <w:szCs w:val="20"/>
              </w:rPr>
            </w:pPr>
            <w:r w:rsidRPr="00891B52">
              <w:rPr>
                <w:bCs/>
                <w:color w:val="000000"/>
                <w:sz w:val="20"/>
                <w:szCs w:val="20"/>
                <w:lang w:eastAsia="zh-TW"/>
              </w:rPr>
              <w:t>Criteriul de evaluare aplicat pentru adjudecarea contractului va fi: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891B52">
              <w:rPr>
                <w:b/>
                <w:color w:val="000000"/>
                <w:sz w:val="20"/>
                <w:szCs w:val="20"/>
              </w:rPr>
              <w:t xml:space="preserve">Se va aplica criteriul de avaluare: </w:t>
            </w:r>
            <w:r w:rsidRPr="00891B52">
              <w:rPr>
                <w:b/>
                <w:i/>
                <w:spacing w:val="-2"/>
                <w:sz w:val="20"/>
                <w:szCs w:val="20"/>
              </w:rPr>
              <w:t>Corespunderea tuturor cerințelor caietului de sarcini si cel mai mic pret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6.2.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/>
                <w:sz w:val="20"/>
                <w:lang w:val="ro-RO"/>
              </w:rPr>
            </w:pPr>
            <w:r w:rsidRPr="00891B52">
              <w:rPr>
                <w:rFonts w:ascii="Times New Roman" w:hAnsi="Times New Roman"/>
                <w:color w:val="000000"/>
                <w:sz w:val="20"/>
                <w:lang w:val="ro-RO"/>
              </w:rPr>
              <w:t>Suma Garanţiei de bună execuţie (se stabileşte procentual din preţul contractului adjudecat):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891B52">
              <w:rPr>
                <w:b/>
                <w:i/>
                <w:color w:val="000000"/>
                <w:sz w:val="20"/>
                <w:szCs w:val="20"/>
              </w:rPr>
              <w:t>15%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6.3.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540"/>
              </w:tabs>
              <w:suppressAutoHyphens/>
              <w:spacing w:before="120" w:after="120"/>
              <w:rPr>
                <w:color w:val="000000"/>
                <w:sz w:val="20"/>
                <w:szCs w:val="20"/>
              </w:rPr>
            </w:pPr>
            <w:r w:rsidRPr="00891B52">
              <w:rPr>
                <w:color w:val="000000"/>
                <w:sz w:val="20"/>
                <w:szCs w:val="20"/>
              </w:rPr>
              <w:t>Garanţia de bună execuţie a contractului: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left" w:pos="372"/>
              </w:tabs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r w:rsidRPr="00891B52">
              <w:rPr>
                <w:b/>
                <w:i/>
                <w:color w:val="000000"/>
                <w:sz w:val="20"/>
                <w:szCs w:val="20"/>
              </w:rPr>
              <w:t>[forma garanției de bună execuție a</w:t>
            </w:r>
          </w:p>
          <w:p w:rsidR="00B25EEF" w:rsidRPr="00891B52" w:rsidRDefault="00B25EEF" w:rsidP="00B25EEF">
            <w:pPr>
              <w:numPr>
                <w:ilvl w:val="0"/>
                <w:numId w:val="3"/>
              </w:numPr>
              <w:tabs>
                <w:tab w:val="left" w:pos="372"/>
              </w:tabs>
              <w:suppressAutoHyphens/>
              <w:ind w:left="372" w:hanging="360"/>
              <w:rPr>
                <w:i/>
                <w:color w:val="000000"/>
                <w:sz w:val="20"/>
                <w:szCs w:val="20"/>
              </w:rPr>
            </w:pPr>
            <w:r w:rsidRPr="00891B52">
              <w:rPr>
                <w:i/>
                <w:color w:val="000000"/>
                <w:sz w:val="20"/>
                <w:szCs w:val="20"/>
              </w:rPr>
              <w:t>Garanția de buna execuție prin transfer la contul autorităţii contractante, conform următoarelor date bancare: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>beneficiarul plăţii IMSP AMT Buiucani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(b) datele bancare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Ministerul Finantelor – Trezoraria de Stat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(c) codul fiscal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1003600153131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(d) contul de decontare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MD75TRPCBW518430G00371AA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 </w:t>
            </w:r>
          </w:p>
          <w:p w:rsidR="00B25EEF" w:rsidRPr="00891B52" w:rsidRDefault="00B25EEF" w:rsidP="00434E6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(e) contul trezorerial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[indicaţi]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B25EEF" w:rsidRPr="00891B52" w:rsidRDefault="00B25EEF" w:rsidP="00434E61">
            <w:pPr>
              <w:tabs>
                <w:tab w:val="left" w:pos="1152"/>
              </w:tabs>
              <w:suppressAutoHyphens/>
              <w:rPr>
                <w:i/>
                <w:sz w:val="20"/>
                <w:szCs w:val="20"/>
                <w:lang w:val="ro-MO"/>
              </w:rPr>
            </w:pPr>
            <w:r w:rsidRPr="00891B52">
              <w:rPr>
                <w:i/>
                <w:sz w:val="20"/>
                <w:szCs w:val="20"/>
                <w:lang w:val="ro-MO"/>
              </w:rPr>
              <w:t xml:space="preserve">(f) contul bancar </w:t>
            </w:r>
            <w:r w:rsidRPr="00891B52">
              <w:rPr>
                <w:i/>
                <w:spacing w:val="-2"/>
                <w:sz w:val="20"/>
                <w:szCs w:val="20"/>
                <w:lang w:val="ro-MO"/>
              </w:rPr>
              <w:t>TREZMD2X</w:t>
            </w:r>
            <w:r w:rsidRPr="00891B52">
              <w:rPr>
                <w:i/>
                <w:sz w:val="20"/>
                <w:szCs w:val="20"/>
                <w:lang w:val="ro-MO"/>
              </w:rPr>
              <w:t xml:space="preserve">; </w:t>
            </w:r>
          </w:p>
          <w:p w:rsidR="00B25EEF" w:rsidRPr="00891B52" w:rsidRDefault="00B25EEF" w:rsidP="00434E61">
            <w:pPr>
              <w:tabs>
                <w:tab w:val="left" w:pos="1152"/>
              </w:tabs>
              <w:suppressAutoHyphens/>
              <w:rPr>
                <w:i/>
                <w:color w:val="000000"/>
                <w:sz w:val="20"/>
                <w:szCs w:val="20"/>
              </w:rPr>
            </w:pPr>
            <w:r w:rsidRPr="00891B52">
              <w:rPr>
                <w:i/>
                <w:color w:val="000000"/>
                <w:sz w:val="20"/>
                <w:szCs w:val="20"/>
              </w:rPr>
              <w:t xml:space="preserve">cu nota “Garanția de bună execuție” sau “Pentru garanţia de bună execuție la </w:t>
            </w:r>
            <w:r w:rsidRPr="00891B52">
              <w:rPr>
                <w:bCs/>
                <w:i/>
                <w:color w:val="000000"/>
                <w:sz w:val="20"/>
                <w:szCs w:val="20"/>
              </w:rPr>
              <w:t>procedura de achiziție publică</w:t>
            </w:r>
            <w:r w:rsidRPr="00891B52">
              <w:rPr>
                <w:i/>
                <w:color w:val="000000"/>
                <w:sz w:val="20"/>
                <w:szCs w:val="20"/>
              </w:rPr>
              <w:t xml:space="preserve"> nr. ______ din ___________”</w:t>
            </w:r>
          </w:p>
        </w:tc>
      </w:tr>
      <w:tr w:rsidR="00B25EEF" w:rsidRPr="00891B52" w:rsidTr="00B25EE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6.4.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 w:val="20"/>
                <w:lang w:val="ro-RO"/>
              </w:rPr>
            </w:pPr>
            <w:r w:rsidRPr="00891B52">
              <w:rPr>
                <w:rFonts w:ascii="Times New Roman" w:hAnsi="Times New Roman"/>
                <w:sz w:val="20"/>
                <w:lang w:val="ro-RO"/>
              </w:rPr>
              <w:t>Forma de organizare juridică pe care trebuie să o ia asocierea grupului de operatori economici cărora li s-a atribuit contractul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26"/>
              </w:tabs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891B52">
              <w:rPr>
                <w:b/>
                <w:i/>
                <w:spacing w:val="-2"/>
                <w:sz w:val="20"/>
                <w:szCs w:val="20"/>
              </w:rPr>
              <w:t>nu se accepta</w:t>
            </w:r>
          </w:p>
        </w:tc>
      </w:tr>
      <w:tr w:rsidR="00B25EEF" w:rsidRPr="00891B52" w:rsidTr="00B25EEF">
        <w:trPr>
          <w:trHeight w:val="1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ind w:left="-120" w:right="-108"/>
              <w:jc w:val="center"/>
              <w:rPr>
                <w:spacing w:val="-4"/>
                <w:sz w:val="20"/>
                <w:szCs w:val="20"/>
              </w:rPr>
            </w:pPr>
            <w:r w:rsidRPr="00891B52">
              <w:rPr>
                <w:spacing w:val="-4"/>
                <w:sz w:val="20"/>
                <w:szCs w:val="20"/>
              </w:rPr>
              <w:t>6.5.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 w:val="20"/>
                <w:lang w:val="ro-RO"/>
              </w:rPr>
            </w:pPr>
            <w:r w:rsidRPr="00891B52">
              <w:rPr>
                <w:rFonts w:ascii="Times New Roman" w:hAnsi="Times New Roman"/>
                <w:sz w:val="20"/>
                <w:lang w:val="ro-RO"/>
              </w:rPr>
              <w:t>Numărul maxim de zile  pentru semnarea şi prezentarea contractului către autoritatea contractantă, de la remiterea acestuia spre semnare: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F" w:rsidRPr="00891B52" w:rsidRDefault="00B25EEF" w:rsidP="00434E61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891B52">
              <w:rPr>
                <w:i/>
                <w:sz w:val="20"/>
                <w:szCs w:val="20"/>
              </w:rPr>
              <w:t>3 zile</w:t>
            </w:r>
          </w:p>
        </w:tc>
      </w:tr>
    </w:tbl>
    <w:p w:rsidR="00B25EEF" w:rsidRDefault="00B25EEF" w:rsidP="00B25EEF"/>
    <w:p w:rsidR="00B25EEF" w:rsidRPr="00C60D06" w:rsidRDefault="00B25EEF" w:rsidP="00B25EEF"/>
    <w:p w:rsidR="00B25EEF" w:rsidRPr="00C60D06" w:rsidRDefault="00B25EEF" w:rsidP="00B25EEF">
      <w:pPr>
        <w:spacing w:line="276" w:lineRule="auto"/>
        <w:ind w:left="-142" w:right="-144"/>
        <w:rPr>
          <w:b/>
          <w:bCs/>
          <w:color w:val="FF0000"/>
          <w:sz w:val="22"/>
          <w:szCs w:val="22"/>
        </w:rPr>
      </w:pPr>
      <w:r w:rsidRPr="00740EF4">
        <w:rPr>
          <w:b/>
          <w:bCs/>
          <w:color w:val="FF0000"/>
          <w:sz w:val="22"/>
          <w:szCs w:val="22"/>
        </w:rPr>
        <w:t>Conținutul prezentei Fișe de date a achiziției este identic cu datele procedurii din cadrul Sistemului Informațional Automatizat “REGISTRUL DE STAT AL ACHIZIȚIILOR PUBLICE”. Grupul de lucru pentru achiziții confirmă corectitudinea conținutului Fișei de date a achiziției, fapt pentru care poartă răspundere conform prevederilor legale în vigoare.</w:t>
      </w:r>
    </w:p>
    <w:p w:rsidR="00B25EEF" w:rsidRPr="00C60D06" w:rsidRDefault="00B25EEF" w:rsidP="00B25EEF">
      <w:pPr>
        <w:ind w:left="-142" w:right="-144"/>
        <w:rPr>
          <w:b/>
          <w:bCs/>
          <w:color w:val="000000"/>
          <w:sz w:val="22"/>
          <w:szCs w:val="22"/>
        </w:rPr>
      </w:pPr>
    </w:p>
    <w:p w:rsidR="00B25EEF" w:rsidRPr="00C60D06" w:rsidRDefault="00B25EEF" w:rsidP="00B25EEF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</w:rPr>
      </w:pPr>
      <w:r w:rsidRPr="00C60D06">
        <w:rPr>
          <w:b/>
          <w:bCs/>
          <w:color w:val="000000"/>
          <w:sz w:val="22"/>
          <w:szCs w:val="22"/>
        </w:rPr>
        <w:t>Conducătorul grupului de lucru: ________________________________</w:t>
      </w:r>
      <w:r>
        <w:rPr>
          <w:b/>
          <w:bCs/>
          <w:color w:val="000000"/>
          <w:sz w:val="22"/>
          <w:szCs w:val="22"/>
        </w:rPr>
        <w:t xml:space="preserve">  LILIANA   IAȘAN</w:t>
      </w:r>
    </w:p>
    <w:p w:rsidR="00C461E0" w:rsidRDefault="00C461E0"/>
    <w:sectPr w:rsidR="00C461E0" w:rsidSect="00C4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EF"/>
    <w:rsid w:val="003332D6"/>
    <w:rsid w:val="003D28F0"/>
    <w:rsid w:val="008A39A5"/>
    <w:rsid w:val="00B25EEF"/>
    <w:rsid w:val="00B2662C"/>
    <w:rsid w:val="00C461E0"/>
    <w:rsid w:val="00D10310"/>
    <w:rsid w:val="00F1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B25EEF"/>
    <w:pPr>
      <w:numPr>
        <w:numId w:val="1"/>
      </w:numPr>
      <w:tabs>
        <w:tab w:val="left" w:pos="1134"/>
      </w:tabs>
      <w:contextualSpacing w:val="0"/>
      <w:jc w:val="center"/>
      <w:outlineLvl w:val="0"/>
    </w:pPr>
    <w:rPr>
      <w:b/>
      <w:noProof w:val="0"/>
      <w:lang w:val="en-US"/>
    </w:rPr>
  </w:style>
  <w:style w:type="paragraph" w:styleId="2">
    <w:name w:val="heading 2"/>
    <w:basedOn w:val="a"/>
    <w:next w:val="a"/>
    <w:link w:val="20"/>
    <w:unhideWhenUsed/>
    <w:qFormat/>
    <w:rsid w:val="00B25EE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5EE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25EEF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a4">
    <w:name w:val="footer"/>
    <w:basedOn w:val="a"/>
    <w:link w:val="a5"/>
    <w:rsid w:val="00B25EE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B25EE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6">
    <w:name w:val="Body Text"/>
    <w:basedOn w:val="a"/>
    <w:link w:val="a7"/>
    <w:rsid w:val="00B25EEF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1"/>
    <w:link w:val="a6"/>
    <w:rsid w:val="00B25EEF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i">
    <w:name w:val="(i)"/>
    <w:basedOn w:val="a"/>
    <w:rsid w:val="00B25EE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styleId="a0">
    <w:name w:val="List Paragraph"/>
    <w:basedOn w:val="a"/>
    <w:uiPriority w:val="34"/>
    <w:qFormat/>
    <w:rsid w:val="00B2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Company>ms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2020-02-10T14:35:00Z</dcterms:created>
  <dcterms:modified xsi:type="dcterms:W3CDTF">2020-05-21T13:33:00Z</dcterms:modified>
</cp:coreProperties>
</file>