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Instrumente de măsurare, automatică și verificări</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lang/>
              </w:rPr>
              <w:t>Lotul nr.</w:t>
            </w:r>
            <w:r>
              <w:rPr>
                <w:rFonts w:hint="default" w:ascii="Times New Roman" w:hAnsi="Times New Roman" w:cs="Times New Roman"/>
                <w:b/>
                <w:bCs/>
                <w:sz w:val="20"/>
                <w:szCs w:val="20"/>
                <w:vertAlign w:val="baseline"/>
              </w:rPr>
              <w:t xml:space="preserve"> 1. </w:t>
            </w:r>
            <w:r>
              <w:rPr>
                <w:rFonts w:hint="default" w:ascii="Times New Roman" w:hAnsi="Times New Roman"/>
                <w:b/>
                <w:bCs/>
                <w:sz w:val="20"/>
                <w:szCs w:val="20"/>
                <w:vertAlign w:val="baseline"/>
              </w:rPr>
              <w:t>Dispozitive de control a flăcării în focar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Dispozitiv de control a flăcării, de tip „Факел-012-01”</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Dispozitiv de control al flăcării în focar. Dispozitivul „Факел-012-01”, de monitorizare a prezenței flăcării în cuptorul cazanului, este bazat pe un microcontroler ce utilizează fotodetectoare ultraviolete și infraroșii, cu semiconductori. Dispozitivul este conceput pentru a monitoriza prezența flăcării în cuptorul cazanelor pe motorină și cărbune pulverizat, instalații de proces, și pentru a emite semnale către circuitele de control și protecție ale instalațiilor. El este utilizat ca parte a sistemelor de protecție în caz de urgență existente pentru unitățile de cazane. Pentru a obține un control fiabil al prezenței unei flăcări comune pe toate tipurile de combustibil, sunt utilizați doi fotodetectori ai spectrului: ultraviolet (lungimea undei de la 320 la 1100 nm) și infraroșu (lungimea undei de la 900 la 1700 nm). Principalele caracteristici tehnice: Număr de canale: 2 canale fotodetectoare independente, care funcționează simultan. Ieșiri semnal releu: 3 grupuri de contacte „Flacără” – releu; „Eșec”– releu; „Atenuare flacără” – releu. Tensiunea circuitelor comutate externe, nu mai mult: - pentru circuite de curent alternativ ~ 220 V, 50 Hz; - pentru circuite DC 30V / 2A. Reglarea pragului de răspuns al releului 0-100%, setat liber analogic, separat pe doua canale, mA 4-20; protocol de comunicație RS-485 Modbus, gama de lungimi de unda, nm 320-1100 - UV; 900 -1700 - IR. Unghi de vizualizare, grade 5-6. Tensiune de alimentare, V de la ~120 la ~370. Putere la ~220V, nu mai mult de VA 10. Dimensiuni dispozitiv: lățime x înălțime x adâncime, mm: - dispozitiv de semnalizare 80x160x200; - fotosenzor 90x115x65. Temperatura aerului ambiant; dispozitiv de semnalizare, °C de la -20 la +65, fotosenzor: - fără utilizarea aerului pentru răcirea dispozitivului, °C de la -40 la +70 (+75 pentru o perioadă scurtă de timp), - la utilizarea aerului pentru răcirea dispozitivului, °C de la -40 la +90. Grad de protecție: -dispozitiv de semnalizare IP40, -fotosenzor IP65. Greutate: nu mai mult, kg:- dispozitiv de semnalizare 3, - fotosenzor 1. Funcții principale: Alarmă de stingere sau diminuare a flăcării; Afișarea intensității flăcării arzătorului în % pe un indicator digital pentru fiecare canal; Alarmă de avertizare cu privire la posibila stingere a flăcării sau înfundarea sticlei; Automonitorizarea stării pe baza mai multor parametri și afișarea unei anumite defecțiuni; Indicarea temperaturii în interiorul fiecărui senzor; Semnal analogic de ieșire 4 - 20 mA de la dispozitivul de semnalizare; Lucru prin interfața RS-485 folosind protocolul MODBUS-RTU.</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FF"/>
                <w:vertAlign w:val="baseline"/>
              </w:rPr>
            </w:pPr>
            <w:r>
              <w:rPr>
                <w:rFonts w:hint="default" w:ascii="Times New Roman" w:hAnsi="Times New Roman" w:cs="Times New Roman"/>
                <w:b/>
                <w:bCs/>
                <w:color w:val="0000FF"/>
                <w:vertAlign w:val="baseline"/>
              </w:rPr>
              <w:t>ATENȚIE</w:t>
            </w:r>
            <w:r>
              <w:rPr>
                <w:rFonts w:hint="default" w:ascii="Times New Roman" w:hAnsi="Times New Roman" w:cs="Times New Roman"/>
                <w:color w:val="0000FF"/>
                <w:vertAlign w:val="baseline"/>
              </w:rPr>
              <w:t xml:space="preserve">: La acest compartiment operatorul economic (ofertantul) va descrie specificațiile tehnice a bunului propus, pe deplin, fără a se limita la parametrii tehnici de referință (indicați în coloana nr. 5) a bunului solicitat de S.A. „CET-Nord”. Totodată, în coloana dată vor fi reflectate elementele ce țin de: 1) </w:t>
            </w:r>
            <w:r>
              <w:rPr>
                <w:rFonts w:hint="default" w:ascii="Times New Roman" w:hAnsi="Times New Roman"/>
                <w:color w:val="0000FF"/>
                <w:vertAlign w:val="baseline"/>
              </w:rPr>
              <w:t>garnitura (kit-ul) produsului; 2) durata de funcționare (exploatare); 3) termenul de garanție oferit de către producător/ vânzător</w:t>
            </w:r>
            <w:r>
              <w:rPr>
                <w:rFonts w:hint="default" w:ascii="Times New Roman" w:hAnsi="Times New Roman" w:cs="Times New Roman"/>
                <w:color w:val="0000FF"/>
                <w:vertAlign w:val="baseline"/>
              </w:rPr>
              <w:t xml:space="preserve">. </w:t>
            </w:r>
            <w:r>
              <w:rPr>
                <w:rFonts w:hint="default" w:ascii="Times New Roman" w:hAnsi="Times New Roman" w:cs="Times New Roman"/>
                <w:b/>
                <w:bCs/>
                <w:color w:val="0000FF"/>
                <w:vertAlign w:val="baseline"/>
              </w:rPr>
              <w:t>Notă:</w:t>
            </w:r>
            <w:r>
              <w:rPr>
                <w:rFonts w:hint="default" w:ascii="Times New Roman" w:hAnsi="Times New Roman" w:cs="Times New Roman"/>
                <w:color w:val="0000FF"/>
                <w:vertAlign w:val="baseline"/>
              </w:rPr>
              <w:t xml:space="preserve"> textul dat se va șterge (este doar spre informarea Dvs. (a operatorului economic).</w:t>
            </w: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sz w:val="20"/>
                <w:szCs w:val="20"/>
                <w:vertAlign w:val="baseline"/>
                <w:lang w:val="en-US" w:eastAsia="zh-CN" w:bidi="ar-SA"/>
              </w:rPr>
            </w:pPr>
            <w:r>
              <w:rPr>
                <w:rFonts w:hint="default" w:ascii="Times New Roman" w:hAnsi="Times New Roman" w:cs="Times New Roman"/>
                <w:b/>
                <w:bCs/>
                <w:sz w:val="20"/>
                <w:szCs w:val="20"/>
                <w:vertAlign w:val="baseline"/>
              </w:rPr>
              <w:t xml:space="preserve">Lotul nr. </w:t>
            </w:r>
            <w:r>
              <w:rPr>
                <w:rFonts w:hint="default" w:ascii="Times New Roman" w:hAnsi="Times New Roman" w:cs="Times New Roman"/>
                <w:b/>
                <w:bCs/>
                <w:sz w:val="20"/>
                <w:szCs w:val="20"/>
                <w:vertAlign w:val="baseline"/>
                <w:lang/>
              </w:rPr>
              <w:t>2</w:t>
            </w:r>
            <w:r>
              <w:rPr>
                <w:rFonts w:hint="default" w:ascii="Times New Roman" w:hAnsi="Times New Roman" w:cs="Times New Roman"/>
                <w:b/>
                <w:bCs/>
                <w:sz w:val="20"/>
                <w:szCs w:val="20"/>
                <w:vertAlign w:val="baseline"/>
              </w:rPr>
              <w:t xml:space="preserve">. </w:t>
            </w:r>
            <w:r>
              <w:rPr>
                <w:rFonts w:hint="default" w:ascii="Times New Roman" w:hAnsi="Times New Roman"/>
                <w:b/>
                <w:bCs/>
                <w:sz w:val="20"/>
                <w:szCs w:val="20"/>
                <w:vertAlign w:val="baseline"/>
              </w:rPr>
              <w:t>Instrumente de măsurare pentru utilajul cazanelor și turbogeneratoarelor. Instrumente de măsurare a mărimilor electrice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Dispozitiv de măsurare a vitezei de rotație (tahometru), de tip ИП-115-0-0-2</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Dispozitiv de măsurare a vitezei de rotație (tahometru) ИП-115-0-0-2. Tahometrul este proiectat pentru măsurarea fără contact a vitezei de rotație a unui arbore de turbină din oțeluri feromagnetice crom-nichel cu indicație digitală, transformând viteza de rotație într-un semnal unificat de curent continuu și semnalând când se atinge o valoare setată. Tahometrul produce un semnal de oprire a turbinei, are un mod de stocare a vitezei maxime de rotație și un mod de măsurare a distanței senzorului față de arborele turbinei, are un punct de referință pentru reducerea vitezei de rotație și un punct de referință rapid. Tahometrul folosește setări digitale pentru alarme de urgență și de avertizare. De asemenea, are un generator intern pentru a verifica funcționarea alarmelor și funcționalitatea tahometrului. Tahometrul conține o interfață RS-485 pentru comunicarea cu un PC.</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Tahometrul IP-115 este format din:</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 senzor;</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 unitate traductoare de curent turbionar;</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 bloc de control;</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 bloc de indicatoare digitale la distanță;</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 elemente de fixare pentru senzor și bloc.</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Principalele caracteristici tehnice:                               Interval de măsurare a vitezei de rotație, rpm 0-4000; Rezoluție de măsurare 1 rpm; Eroare absolută de măsurare a vitezei de rotație, rpm, nu mai mult ± 1;                                        Eroare de bază redusă a semnalului unificat, %, nu mai mult ± 0,05;                                    Numărul de caneluri pe arbore 2;                      Distanța inițială (de instalare) între senzor și suprafața de control a rotorului, mm 1,0 ± 0,25; Semnal de ieșire DC unificat, mA 0...5;      Dispozitivul este alimentat de la rețeaua de curent alternativ 220V 50Hz; Consumul de energie, VA, nu mai mult 8; Lungimea cablului senzorului, m 5 ± 0,1; Durata medie de viață a tahometrului, ani 10.</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Manometru de tip MTP-100 0-6 kgf/cm2</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Manometru de tip MTP-100, 0-6 kgf/cm2. Manometrele indicatoare tehnice KM-11, MTP-100 cu diametrul corpului de 100mm, sunt instrumente de indicare mecanică și sunt concepute pentru a măsura presiunea lichidelor necristalizante, neagresive în raport cu aliajele de cupru, vapori de apă, aer și gaze.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Gama de modele de manometre de indicare tehnică (indicatoare tehnice generale):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diametru 100 mm: MTP-100,</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Caracteristicile tehnice ale manometrelor:</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Clasa de precizie 1,5%;</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Filet de conectare M20x1,5;</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Locație de montare radial (jos);</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Grad de protecție la praf și umiditate IP40;</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Interval de intervalidare (ICI) 1 an;</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Versiunea climatică U2; Protecție la vibrații L3;</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Material carcasă oțel;                                 Material ștuț aliaj de cupru;</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Temperatura mediului măsurat (Tис) de la -50 la +60 C;</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Temperatura mediului ambiant (Toc) de la -50 la +60 C.</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 xml:space="preserve">Manometru de tip </w:t>
            </w:r>
            <w:r>
              <w:rPr>
                <w:rFonts w:hint="default" w:ascii="Times New Roman" w:hAnsi="Times New Roman"/>
                <w:i w:val="0"/>
                <w:iCs w:val="0"/>
                <w:sz w:val="20"/>
                <w:szCs w:val="20"/>
                <w:lang w:val="zh-CN" w:eastAsia="en-US"/>
              </w:rPr>
              <w:t>KM</w:t>
            </w:r>
            <w:r>
              <w:rPr>
                <w:rFonts w:hint="default" w:ascii="Times New Roman" w:hAnsi="Times New Roman"/>
                <w:i w:val="0"/>
                <w:iCs w:val="0"/>
                <w:sz w:val="20"/>
                <w:szCs w:val="20"/>
                <w:lang w:val="en-US" w:eastAsia="en-US"/>
              </w:rPr>
              <w:t>-1</w:t>
            </w:r>
            <w:r>
              <w:rPr>
                <w:rFonts w:hint="default" w:ascii="Times New Roman" w:hAnsi="Times New Roman"/>
                <w:i w:val="0"/>
                <w:iCs w:val="0"/>
                <w:sz w:val="20"/>
                <w:szCs w:val="20"/>
                <w:lang w:val="zh-CN" w:eastAsia="en-US"/>
              </w:rPr>
              <w:t>1</w:t>
            </w:r>
            <w:r>
              <w:rPr>
                <w:rFonts w:hint="default" w:ascii="Times New Roman" w:hAnsi="Times New Roman"/>
                <w:i w:val="0"/>
                <w:iCs w:val="0"/>
                <w:sz w:val="20"/>
                <w:szCs w:val="20"/>
                <w:lang w:val="en-US" w:eastAsia="en-US"/>
              </w:rPr>
              <w:t xml:space="preserve"> 0</w:t>
            </w:r>
            <w:r>
              <w:rPr>
                <w:rFonts w:hint="default" w:ascii="Times New Roman" w:hAnsi="Times New Roman"/>
                <w:i w:val="0"/>
                <w:iCs w:val="0"/>
                <w:sz w:val="20"/>
                <w:szCs w:val="20"/>
                <w:lang w:val="zh-CN" w:eastAsia="en-US"/>
              </w:rPr>
              <w:t>-0,1</w:t>
            </w:r>
            <w:r>
              <w:rPr>
                <w:rFonts w:hint="default" w:ascii="Times New Roman" w:hAnsi="Times New Roman"/>
                <w:i w:val="0"/>
                <w:iCs w:val="0"/>
                <w:sz w:val="20"/>
                <w:szCs w:val="20"/>
                <w:lang w:val="en-US" w:eastAsia="en-US"/>
              </w:rPr>
              <w:t xml:space="preserve"> kgf/cm2</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Manometru de tip KM-11 0-0,1 kgf/cm2. Manometrele indicatoare tehnice KM-11, MTP-100 cu diametrul corpului de 100mm, sunt instrumente de indicare mecanică și sunt concepute pentru a măsura presiunea lichidelor necristalizante, neagresive în raport cu aliajele de cupru, vapori de apă, aer și gaze.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Gama de modele de manometre de indicare tehnică (indicatoare tehnice generale):</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diametru 100 mm: MTP-100,</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Caracteristicile tehnice ale manometrelor:</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Clasa de precizie 1,5%;</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Filet de conectare M20x1,5;</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Locație de montare radial (jos);</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Grad de protecție la praf și umiditate IP40;</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Interval de intervalidare (ICI) 1 an;</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Versiunea climatică U2; Protecție la vibrații L3;</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Material carcasă oțel;                                 Material ștuț aliaj de cupru;</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u-RU"/>
              </w:rPr>
            </w:pPr>
            <w:r>
              <w:rPr>
                <w:rFonts w:hint="default" w:ascii="Times New Roman" w:hAnsi="Times New Roman"/>
                <w:i w:val="0"/>
                <w:iCs w:val="0"/>
                <w:sz w:val="20"/>
                <w:szCs w:val="20"/>
                <w:lang w:eastAsia="ru-RU"/>
              </w:rPr>
              <w:t>Temperatura mediului măsurat (Tис) de la -50 la +60 C;</w:t>
            </w:r>
          </w:p>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Temperatura mediului ambiant (Toc) de la -50 la +60 C.</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Termosemnalizator de tip ТКП-160Сг-М3</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Termometru manometric de semnalizare (dispozitiv de semnalizare termică) cu condensare ТКП-160Сг-М3. Intervalul (domeniul) de măsurare: de la 0℃ până la 120℃. Lungimea capilarului de conectare al termometrului: 4 (patru) metri. Lungimea de imersie a balonului termic: 160 (o sută șaizeci) mm. Diametrul balonului termic: 12 (douăsprezece) mm. Clasa de precizie a termometrului: 1,5. Tensiunea de alimentare: până la 220V/50Hz. Capacitatea de rupere a contactelor dispozitivului de semnalizare: 50VA. Masa: 2,5 kg.</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Indicator a mărimii tensiunii electrice și a concordanței (corespondenței) de fază 10kV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Indicator a mărimii tensiunii electrice și a concordanței (corespondenței) de fază, cu 2 (doi) poli (bipolar) 10kV. Domeniul de determinare a valorii tensiunii continue și alternative 50-10000V. Eroare în determinarea valorii tensiunii din valoarea maximă a tensiunii 2%. Lungimea firului de legătură dintre indicator și tubul de fazare: 1200-1500 mm (1,2-1,5 m.). Produsul trebuie să deține drept accesoriu valiză sau husă originală de la producător, care asigură depozitarea și transportarea în siguranță a produsului.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Hidrometru pentru electrolit cu flotor.</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en-US" w:eastAsia="ro-RO"/>
              </w:rPr>
            </w:pPr>
            <w:r>
              <w:rPr>
                <w:rFonts w:hint="default" w:ascii="Times New Roman" w:hAnsi="Times New Roman"/>
                <w:i w:val="0"/>
                <w:iCs w:val="0"/>
                <w:sz w:val="20"/>
                <w:szCs w:val="20"/>
                <w:lang w:eastAsia="ru-RU"/>
              </w:rPr>
              <w:t>Hidrometru pentru electrolit cu flotor. Destinat măsurării densității electrolitului în baterii acide și alcaline în intervalul de măsurare de 1,100-1,300 g/cm3. Limita de eroare admisă: +/- 10 kg/m3. Produsul trebuie livrat cu valiză/husă/penar original de la producător, care asigură depozitarea și transportarea în siguranță.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vertAlign w:val="baseline"/>
              </w:rPr>
            </w:pPr>
            <w:r>
              <w:rPr>
                <w:rFonts w:hint="default" w:ascii="Times New Roman" w:hAnsi="Times New Roman" w:cs="Times New Roman"/>
                <w:b/>
                <w:bCs/>
                <w:sz w:val="20"/>
                <w:szCs w:val="20"/>
                <w:vertAlign w:val="baseline"/>
              </w:rPr>
              <w:t>Lotul nr.</w:t>
            </w:r>
            <w:r>
              <w:rPr>
                <w:rFonts w:hint="default" w:ascii="Times New Roman" w:hAnsi="Times New Roman" w:cs="Times New Roman"/>
                <w:b/>
                <w:bCs/>
                <w:sz w:val="20"/>
                <w:szCs w:val="20"/>
                <w:vertAlign w:val="baseline"/>
                <w:lang/>
              </w:rPr>
              <w:t xml:space="preserve"> 3</w:t>
            </w:r>
            <w:r>
              <w:rPr>
                <w:rFonts w:hint="default" w:ascii="Times New Roman" w:hAnsi="Times New Roman" w:cs="Times New Roman"/>
                <w:b/>
                <w:bCs/>
                <w:sz w:val="20"/>
                <w:szCs w:val="20"/>
                <w:vertAlign w:val="baseline"/>
              </w:rPr>
              <w:t xml:space="preserve">. </w:t>
            </w:r>
            <w:r>
              <w:rPr>
                <w:rFonts w:hint="default" w:ascii="Times New Roman" w:hAnsi="Times New Roman"/>
                <w:b/>
                <w:bCs/>
                <w:sz w:val="20"/>
                <w:szCs w:val="20"/>
                <w:vertAlign w:val="baseline"/>
              </w:rPr>
              <w:t>Aparate de măsură analogice pentru panou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Kiloampermetru analogic de panou</w:t>
            </w:r>
            <w:r>
              <w:rPr>
                <w:rFonts w:hint="default" w:ascii="Times New Roman" w:hAnsi="Times New Roman"/>
                <w:i w:val="0"/>
                <w:iCs w:val="0"/>
                <w:sz w:val="20"/>
                <w:szCs w:val="20"/>
                <w:lang w:val="zh-CN" w:eastAsia="en-US"/>
              </w:rPr>
              <w:t xml:space="preserve"> 1000/5A, 0...1,0kA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Kiloampermetru analogic de panou Ktc=1000/5A, domeniu de măsurare 0...1,0kA,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Ampermetru analogic de panou 200/5A, 0...200A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Ktc=200/5A, domeniu de măsurare 0...200A,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600/5A, 0...600A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Ktc=600/5A, domeniu de măsurare 0...600A,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ru-RU" w:eastAsia="en-US"/>
              </w:rPr>
              <w:t>Ampermetru analogic de panou 300/5A,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ru-RU" w:eastAsia="en-US"/>
              </w:rPr>
              <w:t>0...150A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Ktc=300/5A, domeniu de măsurare 0...150A,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300/5A, 0...100A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Ktc=300/5A, domeniu de măsurare 0...100A,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75/5A,  0...75A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Ktc=75/5A, domeniu de măsurare 0...75A,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300/5A,</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0...60A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Ktc=300/5A, domeniu de măsurare 0...60A,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DC,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0...10A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DC, domeniu de măsurare 0...10A,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ru-RU" w:eastAsia="en-US"/>
              </w:rPr>
              <w:t>Ampermetru analogic de panou DC, 0...5A</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DC, domeniu de măsurare 0...5A,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DC,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0...300A, cu șunt 75mV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DC, domeniu de măsurare 0...300A, cu șunt 75mV,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Ampermetru analogic de panou DC,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w:t>
            </w:r>
            <w:r>
              <w:rPr>
                <w:rFonts w:hint="default" w:ascii="Times New Roman" w:hAnsi="Times New Roman"/>
                <w:i w:val="0"/>
                <w:iCs w:val="0"/>
                <w:sz w:val="20"/>
                <w:szCs w:val="20"/>
                <w:lang w:val="zh-CN" w:eastAsia="en-US"/>
              </w:rPr>
              <w:t>4</w:t>
            </w:r>
            <w:r>
              <w:rPr>
                <w:rFonts w:hint="default" w:ascii="Times New Roman" w:hAnsi="Times New Roman"/>
                <w:i w:val="0"/>
                <w:iCs w:val="0"/>
                <w:sz w:val="20"/>
                <w:szCs w:val="20"/>
                <w:lang w:val="en-US" w:eastAsia="en-US"/>
              </w:rPr>
              <w:t>00A, cu șunt 75mV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Ampermetru analogic de panou DC, domeniu de măsurare 0...400A, cu șunt 75mV,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Kilovoltmetru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10000/100V, 0...12,5kV</w:t>
            </w:r>
            <w:r>
              <w:rPr>
                <w:rFonts w:hint="default" w:ascii="Times New Roman" w:hAnsi="Times New Roman"/>
                <w:i w:val="0"/>
                <w:iCs w:val="0"/>
                <w:sz w:val="20"/>
                <w:szCs w:val="20"/>
                <w:lang w:val="zh-CN" w:eastAsia="en-US"/>
              </w:rPr>
              <w:t>.</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Kilovoltmetru analogic de panou Ktu=10000/100V, domeniu de măsurare 0...12,5kV,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Kilovoltmetru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6000/100V, 0...7,2kV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Kilovoltmetru analogic de panou Ktu=6000/100V, domeniu de măsurare 0...7,2kV,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ru-RU" w:eastAsia="en-US"/>
              </w:rPr>
              <w:t>Kilovoltmetru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ru-RU" w:eastAsia="en-US"/>
              </w:rPr>
              <w:t>6000/100V, 0...6kV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Kilovoltmetru analogic de panou Ktu=6000/100V, domeniu de măsurare 0...6kV,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Kilovoltmetru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6000/100V, 0...7,5kV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Kilovoltmetru analogic de panou Ktu=6000/100V, domeniu de măsurare 0...7,5kV,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Voltmetru analogic de panou DC,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0...500V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u-RU"/>
              </w:rPr>
              <w:t>Voltmetru analogic de panou DC, domeniu de măsurare 0...500V,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DC,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0...600V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u-RU"/>
              </w:rPr>
              <w:t>Voltmetru analogic de panou DC, domeniu de măsurare 0...600V,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DC</w:t>
            </w:r>
            <w:r>
              <w:rPr>
                <w:rFonts w:hint="default" w:ascii="Times New Roman" w:hAnsi="Times New Roman"/>
                <w:i w:val="0"/>
                <w:iCs w:val="0"/>
                <w:sz w:val="20"/>
                <w:szCs w:val="20"/>
                <w:lang w:val="zh-CN" w:eastAsia="en-US"/>
              </w:rPr>
              <w:t>,</w:t>
            </w:r>
            <w:r>
              <w:rPr>
                <w:rFonts w:hint="default" w:ascii="Times New Roman" w:hAnsi="Times New Roman"/>
                <w:i w:val="0"/>
                <w:iCs w:val="0"/>
                <w:sz w:val="20"/>
                <w:szCs w:val="20"/>
                <w:lang w:val="en-US" w:eastAsia="en-US"/>
              </w:rPr>
              <w:t xml:space="preserve"> 0...250V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u-RU"/>
              </w:rPr>
              <w:t>Voltmetru analogic de panou DC, domeniu de măsurare 0...250V,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AC,</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en-US" w:eastAsia="en-US"/>
              </w:rPr>
              <w:t>0...500V</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u-RU"/>
              </w:rPr>
              <w:t>Voltmetru analogic de panou AC, domeniu de măsurare 0...500V,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Megawattmetru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ru-RU" w:eastAsia="en-US"/>
              </w:rPr>
              <w:t>600/5A:6000/100V, 0...6MW</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u-RU"/>
              </w:rPr>
              <w:t>Megawattmetru analogic de panou Ktc:Ktu=600/5A:6000/100V, domeniu de măsurare 0...6MW,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Frecvențmetru analogic de panou</w:t>
            </w:r>
            <w:r>
              <w:rPr>
                <w:rFonts w:hint="default" w:ascii="Times New Roman" w:hAnsi="Times New Roman"/>
                <w:i w:val="0"/>
                <w:iCs w:val="0"/>
                <w:sz w:val="20"/>
                <w:szCs w:val="20"/>
                <w:lang w:val="zh-CN" w:eastAsia="en-US"/>
              </w:rPr>
              <w:t xml:space="preserve"> </w:t>
            </w:r>
            <w:r>
              <w:rPr>
                <w:rFonts w:hint="default" w:ascii="Times New Roman" w:hAnsi="Times New Roman"/>
                <w:i w:val="0"/>
                <w:iCs w:val="0"/>
                <w:sz w:val="20"/>
                <w:szCs w:val="20"/>
                <w:lang w:val="ru-RU" w:eastAsia="en-US"/>
              </w:rPr>
              <w:t>10000/100V, 45...55Hz</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en-US"/>
              </w:rPr>
            </w:pPr>
            <w:r>
              <w:rPr>
                <w:rFonts w:hint="default" w:ascii="Times New Roman" w:hAnsi="Times New Roman"/>
                <w:i w:val="0"/>
                <w:iCs w:val="0"/>
                <w:sz w:val="20"/>
                <w:szCs w:val="20"/>
                <w:lang w:eastAsia="ru-RU"/>
              </w:rPr>
              <w:t>Frecvențmetru analogic de panou Ktu=10000/100V, domeniu de măsurare 45...55Hz, conexiune directă.</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vertAlign w:val="baseline"/>
                <w:lang w:val="en-US" w:eastAsia="zh-CN" w:bidi="ar-SA"/>
              </w:rPr>
            </w:pPr>
            <w:r>
              <w:rPr>
                <w:rFonts w:hint="default" w:ascii="Times New Roman" w:hAnsi="Times New Roman" w:cs="Times New Roman"/>
                <w:b/>
                <w:bCs/>
                <w:sz w:val="20"/>
                <w:szCs w:val="20"/>
                <w:vertAlign w:val="baseline"/>
              </w:rPr>
              <w:t>Lotul nr.</w:t>
            </w:r>
            <w:r>
              <w:rPr>
                <w:rFonts w:hint="default" w:ascii="Times New Roman" w:hAnsi="Times New Roman" w:cs="Times New Roman"/>
                <w:b/>
                <w:bCs/>
                <w:sz w:val="20"/>
                <w:szCs w:val="20"/>
                <w:vertAlign w:val="baseline"/>
                <w:lang/>
              </w:rPr>
              <w:t xml:space="preserve"> 4</w:t>
            </w:r>
            <w:r>
              <w:rPr>
                <w:rFonts w:hint="default" w:ascii="Times New Roman" w:hAnsi="Times New Roman" w:cs="Times New Roman"/>
                <w:b/>
                <w:bCs/>
                <w:sz w:val="20"/>
                <w:szCs w:val="20"/>
                <w:vertAlign w:val="baseline"/>
              </w:rPr>
              <w:t xml:space="preserve">. </w:t>
            </w:r>
            <w:r>
              <w:rPr>
                <w:rFonts w:hint="default" w:ascii="Times New Roman" w:hAnsi="Times New Roman"/>
                <w:b/>
                <w:bCs/>
                <w:sz w:val="20"/>
                <w:szCs w:val="20"/>
                <w:vertAlign w:val="baseline"/>
              </w:rPr>
              <w:t>Tablouri de semnalizare luminoasă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o-RO" w:eastAsia="en-US"/>
              </w:rPr>
              <w:t>Tablou de semnalizare luminoasă (afișaj) LED ТСБ-С-АФРП</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u-RU"/>
              </w:rPr>
              <w:t>Tablou electric de semnalizare (cu protejare de interferențe) ТСБ-С-АФРП. Tensiunea de alimentare: de la 30V până la 265V. Consum de curent electric: 7 mA (la 220V). Funcționarea cu următoarele tipuri de relee: РТД, РИС. Funcționarea cu următoarele tipuri de sistemă: УКТЗ, УКТС. Culoarea iluminării: albă. Număr de LED-uri instalate: 4 (patru). Flux luminos total: nu mai puțin de 80 candele. Nepolare. Rezistente la vibrații. Durata de viață: nu mai mică de 10 ani.</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vertAlign w:val="baseline"/>
                <w:lang w:val="en-US" w:eastAsia="zh-CN" w:bidi="ar-SA"/>
              </w:rPr>
            </w:pPr>
            <w:r>
              <w:rPr>
                <w:rFonts w:hint="default" w:ascii="Times New Roman" w:hAnsi="Times New Roman" w:cs="Times New Roman"/>
                <w:b/>
                <w:bCs/>
                <w:sz w:val="20"/>
                <w:szCs w:val="20"/>
                <w:vertAlign w:val="baseline"/>
                <w:lang/>
              </w:rPr>
              <w:t>Lotul nr. 5</w:t>
            </w:r>
            <w:r>
              <w:rPr>
                <w:rFonts w:hint="default" w:ascii="Times New Roman" w:hAnsi="Times New Roman" w:cs="Times New Roman"/>
                <w:b/>
                <w:bCs/>
                <w:sz w:val="20"/>
                <w:szCs w:val="20"/>
                <w:vertAlign w:val="baseline"/>
              </w:rPr>
              <w:t xml:space="preserve">. </w:t>
            </w:r>
            <w:r>
              <w:rPr>
                <w:rFonts w:hint="default" w:ascii="Times New Roman" w:hAnsi="Times New Roman"/>
                <w:b/>
                <w:bCs/>
                <w:sz w:val="20"/>
                <w:szCs w:val="20"/>
                <w:vertAlign w:val="baseline"/>
              </w:rPr>
              <w:t>Senzori pentru contoare de evidență a consumului de gaz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sz w:val="20"/>
                <w:szCs w:val="20"/>
                <w:lang w:val="ro-RO" w:eastAsia="en-US" w:bidi="ar-SA"/>
              </w:rPr>
            </w:pPr>
            <w:r>
              <w:rPr>
                <w:rFonts w:hint="default" w:ascii="Times New Roman" w:hAnsi="Times New Roman"/>
                <w:i w:val="0"/>
                <w:iCs w:val="0"/>
                <w:sz w:val="20"/>
                <w:szCs w:val="20"/>
                <w:lang w:val="zh-CN" w:eastAsia="en-US"/>
              </w:rPr>
              <w:t>Senzor de impuls IN-S10 pentru contoare de gaz, de tip RVG</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vertAlign w:val="baseline"/>
                <w:lang w:val="en-US" w:eastAsia="zh-CN" w:bidi="ar-SA"/>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vertAlign w:val="baseline"/>
                <w:lang w:val="en-US" w:eastAsia="zh-CN" w:bidi="ar-SA"/>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vertAlign w:val="baseline"/>
                <w:lang w:val="en-US" w:eastAsia="zh-CN" w:bidi="ar-SA"/>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0" w:leftChars="0" w:right="-57" w:rightChars="0" w:firstLine="0" w:firstLineChars="0"/>
              <w:jc w:val="both"/>
              <w:textAlignment w:val="auto"/>
              <w:rPr>
                <w:rFonts w:hint="default" w:ascii="Times New Roman" w:hAnsi="Times New Roman" w:eastAsiaTheme="minorEastAsia" w:cstheme="minorBidi"/>
                <w:i w:val="0"/>
                <w:iCs w:val="0"/>
                <w:sz w:val="20"/>
                <w:szCs w:val="20"/>
                <w:lang w:val="zh-CN" w:eastAsia="ru-RU" w:bidi="ar-SA"/>
              </w:rPr>
            </w:pPr>
            <w:r>
              <w:rPr>
                <w:rFonts w:hint="default" w:ascii="Times New Roman" w:hAnsi="Times New Roman"/>
                <w:i w:val="0"/>
                <w:iCs w:val="0"/>
                <w:sz w:val="20"/>
                <w:szCs w:val="20"/>
                <w:lang w:eastAsia="ru-RU"/>
              </w:rPr>
              <w:t>Senzorul de impulsuri de frecvență joasă IN-S10, este destinat pentru transmiterea datelor consumului volumului de gaz prin cablu de la  contorul de gaz rotativ de tip RVG,  către corectorul volumului de gaz. Dispozitivul deasemenea servește și ca senzor de intervenție neautorizată la contorul de gaz de tip RVG. Senzorul de impuls E1 IN-S10, include trei comutatoare cu lamele de tip gherkon (contacte ermetizate) 1.E1, 2.E1 și PCM. Comutatorul 1.E1 generează impulsuri de calcul, ale căror număr este proporțional cu volumul de gaz ce trece prin contor. Când apare un câmp magnetic extern puternic, contactele comutatorului  PCM se comutează, iar contactele comutatorului 2.E1 se decomutează. Senzorul IN-S10 se fixează pe capacul superior al capului contorului de gaz RVG. Lungimea cablului-2,5m.</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vertAlign w:val="baseline"/>
                <w:lang w:val="en-US" w:eastAsia="zh-CN" w:bidi="ar-SA"/>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vertAlign w:val="baseline"/>
                <w:lang w:val="en-US" w:eastAsia="zh-CN" w:bidi="ar-SA"/>
              </w:rPr>
            </w:pPr>
          </w:p>
        </w:tc>
      </w:tr>
    </w:tbl>
    <w:p>
      <w:pPr>
        <w:spacing w:line="360" w:lineRule="auto"/>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Instrumente de măsurare, automatică și verificări</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54"/>
        <w:gridCol w:w="2631"/>
        <w:gridCol w:w="1181"/>
        <w:gridCol w:w="876"/>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Canti-tatea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18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8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u w:val="none"/>
                <w:vertAlign w:val="baseline"/>
              </w:rPr>
            </w:pPr>
            <w:r>
              <w:rPr>
                <w:rFonts w:hint="default" w:ascii="Times New Roman" w:hAnsi="Times New Roman"/>
                <w:b/>
                <w:bCs/>
                <w:vertAlign w:val="baseline"/>
              </w:rPr>
              <w:t>Lotul nr.</w:t>
            </w:r>
            <w:r>
              <w:rPr>
                <w:rFonts w:hint="default" w:ascii="Times New Roman" w:hAnsi="Times New Roman"/>
                <w:b/>
                <w:bCs/>
                <w:vertAlign w:val="baseline"/>
                <w:lang/>
              </w:rPr>
              <w:t xml:space="preserve"> </w:t>
            </w:r>
            <w:r>
              <w:rPr>
                <w:rFonts w:hint="default" w:ascii="Times New Roman" w:hAnsi="Times New Roman" w:cs="Times New Roman"/>
                <w:b/>
                <w:bCs/>
                <w:vertAlign w:val="baseline"/>
              </w:rPr>
              <w:t xml:space="preserve">1. </w:t>
            </w:r>
            <w:r>
              <w:rPr>
                <w:rFonts w:hint="default" w:ascii="Times New Roman" w:hAnsi="Times New Roman"/>
                <w:b/>
                <w:bCs/>
                <w:vertAlign w:val="baseline"/>
              </w:rPr>
              <w:t>Dispozitive de control a flăcării în focar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31682210-5</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Dispozitiv de control a flăcării, de tip „Факел-012-01”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8,0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u w:val="none"/>
                <w:vertAlign w:val="baseline"/>
                <w:lang w:eastAsia="zh-CN"/>
              </w:rPr>
              <w:t>90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b/>
                <w:bCs/>
                <w:u w:val="none"/>
                <w:vertAlign w:val="baseline"/>
                <w:lang w:val="en-US" w:eastAsia="zh-CN" w:bidi="ar-SA"/>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val="zh-CN" w:eastAsia="ru-RU" w:bidi="ar-SA"/>
              </w:rPr>
            </w:pPr>
            <w:r>
              <w:rPr>
                <w:rFonts w:hint="default" w:ascii="Times New Roman" w:hAnsi="Times New Roman"/>
                <w:b/>
                <w:bCs/>
                <w:i w:val="0"/>
                <w:iCs w:val="0"/>
                <w:sz w:val="20"/>
                <w:szCs w:val="20"/>
                <w:lang w:eastAsia="en-US"/>
              </w:rPr>
              <w:t>Total lot 1</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zh-CN"/>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sz w:val="20"/>
                <w:lang w:val="en-US" w:eastAsia="en-US" w:bidi="ar-SA"/>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lang/>
              </w:rPr>
              <w:t>2</w:t>
            </w:r>
            <w:r>
              <w:rPr>
                <w:rFonts w:hint="default" w:ascii="Times New Roman" w:hAnsi="Times New Roman" w:cs="Times New Roman"/>
                <w:b/>
                <w:bCs/>
                <w:vertAlign w:val="baseline"/>
              </w:rPr>
              <w:t xml:space="preserve">. </w:t>
            </w:r>
            <w:r>
              <w:rPr>
                <w:rFonts w:hint="default" w:ascii="Times New Roman" w:hAnsi="Times New Roman"/>
                <w:b/>
                <w:bCs/>
                <w:vertAlign w:val="baseline"/>
              </w:rPr>
              <w:t>Instrumente de măsurare pentru utilajul cazanelor și turbogeneratoarelor. Instrumente de măsurare a mărimilor electrice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38561110-9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Dispozitiv de măsurare a vitezei de rotație (tahometru), de tip ИП-115-0-0-2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ro-RO"/>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38425100-1</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Manometru de tip MTP-100 0-6 kgf/cm2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ro-RO"/>
              </w:rPr>
            </w:pPr>
            <w:r>
              <w:rPr>
                <w:rFonts w:hint="default" w:ascii="Times New Roman" w:hAnsi="Times New Roman" w:cs="Times New Roman"/>
                <w:sz w:val="20"/>
                <w:lang w:eastAsia="en-US"/>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38425100-1</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en-US" w:eastAsia="en-US"/>
              </w:rPr>
              <w:t xml:space="preserve">Manometru de tip </w:t>
            </w:r>
            <w:r>
              <w:rPr>
                <w:rFonts w:hint="default" w:ascii="Times New Roman" w:hAnsi="Times New Roman"/>
                <w:i w:val="0"/>
                <w:iCs w:val="0"/>
                <w:sz w:val="20"/>
                <w:szCs w:val="20"/>
                <w:lang w:val="zh-CN" w:eastAsia="en-US"/>
              </w:rPr>
              <w:t>KM</w:t>
            </w:r>
            <w:r>
              <w:rPr>
                <w:rFonts w:hint="default" w:ascii="Times New Roman" w:hAnsi="Times New Roman"/>
                <w:i w:val="0"/>
                <w:iCs w:val="0"/>
                <w:sz w:val="20"/>
                <w:szCs w:val="20"/>
                <w:lang w:val="en-US" w:eastAsia="en-US"/>
              </w:rPr>
              <w:t>-1</w:t>
            </w:r>
            <w:r>
              <w:rPr>
                <w:rFonts w:hint="default" w:ascii="Times New Roman" w:hAnsi="Times New Roman"/>
                <w:i w:val="0"/>
                <w:iCs w:val="0"/>
                <w:sz w:val="20"/>
                <w:szCs w:val="20"/>
                <w:lang w:val="zh-CN" w:eastAsia="en-US"/>
              </w:rPr>
              <w:t>1</w:t>
            </w:r>
            <w:r>
              <w:rPr>
                <w:rFonts w:hint="default" w:ascii="Times New Roman" w:hAnsi="Times New Roman"/>
                <w:i w:val="0"/>
                <w:iCs w:val="0"/>
                <w:sz w:val="20"/>
                <w:szCs w:val="20"/>
                <w:lang w:val="en-US" w:eastAsia="en-US"/>
              </w:rPr>
              <w:t xml:space="preserve"> 0</w:t>
            </w:r>
            <w:r>
              <w:rPr>
                <w:rFonts w:hint="default" w:ascii="Times New Roman" w:hAnsi="Times New Roman"/>
                <w:i w:val="0"/>
                <w:iCs w:val="0"/>
                <w:sz w:val="20"/>
                <w:szCs w:val="20"/>
                <w:lang w:val="zh-CN" w:eastAsia="en-US"/>
              </w:rPr>
              <w:t>-0,1</w:t>
            </w:r>
            <w:r>
              <w:rPr>
                <w:rFonts w:hint="default" w:ascii="Times New Roman" w:hAnsi="Times New Roman"/>
                <w:i w:val="0"/>
                <w:iCs w:val="0"/>
                <w:sz w:val="20"/>
                <w:szCs w:val="20"/>
                <w:lang w:val="en-US" w:eastAsia="en-US"/>
              </w:rPr>
              <w:t xml:space="preserve"> kgf/cm2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ro-RO"/>
              </w:rPr>
            </w:pPr>
            <w:r>
              <w:rPr>
                <w:rFonts w:hint="default" w:ascii="Times New Roman" w:hAnsi="Times New Roman" w:cs="Times New Roman"/>
                <w:sz w:val="20"/>
                <w:lang w:eastAsia="en-US"/>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38425100-1</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Termosemnalizator de tip ТКП-160Сг-М3</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ro-RO"/>
              </w:rPr>
            </w:pPr>
            <w:r>
              <w:rPr>
                <w:rFonts w:hint="default" w:ascii="Times New Roman" w:hAnsi="Times New Roman" w:cs="Times New Roman"/>
                <w:sz w:val="20"/>
                <w:lang w:eastAsia="en-US"/>
              </w:rPr>
              <w:t>4,0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38341300-0</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Indicator a mărimii tensiunii electrice și a concordanței (corespondenței) de fază 10kV</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ro-RO"/>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7"/>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38400000-9</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en-US"/>
              </w:rPr>
              <w:t>Hidrometru pentru electrolit cu flotor</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ro-RO"/>
              </w:rPr>
            </w:pPr>
            <w:r>
              <w:rPr>
                <w:rFonts w:hint="default" w:ascii="Times New Roman" w:hAnsi="Times New Roman" w:cs="Times New Roman"/>
                <w:sz w:val="20"/>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b/>
                <w:bCs/>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sz w:val="15"/>
                <w:szCs w:val="15"/>
                <w:lang w:val="en-US" w:eastAsia="en-US"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b/>
                <w:bCs/>
                <w:i w:val="0"/>
                <w:iCs w:val="0"/>
                <w:sz w:val="20"/>
                <w:szCs w:val="20"/>
                <w:lang w:eastAsia="ro-RO" w:bidi="ar-SA"/>
              </w:rPr>
            </w:pPr>
            <w:r>
              <w:rPr>
                <w:rFonts w:hint="default" w:ascii="Times New Roman" w:hAnsi="Times New Roman"/>
                <w:b/>
                <w:bCs/>
                <w:i w:val="0"/>
                <w:iCs w:val="0"/>
                <w:sz w:val="20"/>
                <w:szCs w:val="20"/>
                <w:lang w:eastAsia="en-US"/>
              </w:rPr>
              <w:t xml:space="preserve">Total lot </w:t>
            </w:r>
            <w:r>
              <w:rPr>
                <w:rFonts w:hint="default" w:ascii="Times New Roman" w:hAnsi="Times New Roman"/>
                <w:b/>
                <w:bCs/>
                <w:i w:val="0"/>
                <w:iCs w:val="0"/>
                <w:sz w:val="20"/>
                <w:szCs w:val="20"/>
                <w:lang w:eastAsia="en-US"/>
              </w:rPr>
              <w:t>2</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zh-CN"/>
              </w:rPr>
            </w:pPr>
            <w:r>
              <w:rPr>
                <w:rFonts w:hint="default" w:ascii="Times New Roman" w:hAnsi="Times New Roman" w:cs="Times New Roman"/>
                <w:b/>
                <w:bCs/>
                <w:sz w:val="20"/>
                <w:lang w:eastAsia="zh-CN"/>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sz w:val="20"/>
                <w:lang w:eastAsia="ro-RO"/>
              </w:rPr>
            </w:pPr>
            <w:r>
              <w:rPr>
                <w:rFonts w:hint="default" w:ascii="Times New Roman" w:hAnsi="Times New Roman" w:cs="Times New Roman"/>
                <w:b/>
                <w:bCs/>
                <w:sz w:val="20"/>
                <w:lang w:eastAsia="ro-RO"/>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b/>
                <w:bCs/>
                <w:vertAlign w:val="baseline"/>
              </w:rPr>
              <w:t>Lotul nr.</w:t>
            </w:r>
            <w:r>
              <w:rPr>
                <w:rFonts w:hint="default" w:ascii="Times New Roman" w:hAnsi="Times New Roman"/>
                <w:b/>
                <w:bCs/>
                <w:vertAlign w:val="baseline"/>
                <w:lang/>
              </w:rPr>
              <w:t xml:space="preserve"> </w:t>
            </w:r>
            <w:r>
              <w:rPr>
                <w:rFonts w:hint="default" w:ascii="Times New Roman" w:hAnsi="Times New Roman" w:cs="Times New Roman"/>
                <w:b/>
                <w:bCs/>
                <w:vertAlign w:val="baseline"/>
                <w:lang/>
              </w:rPr>
              <w:t>3</w:t>
            </w:r>
            <w:r>
              <w:rPr>
                <w:rFonts w:hint="default" w:ascii="Times New Roman" w:hAnsi="Times New Roman" w:cs="Times New Roman"/>
                <w:b/>
                <w:bCs/>
                <w:vertAlign w:val="baseline"/>
              </w:rPr>
              <w:t xml:space="preserve">. </w:t>
            </w:r>
            <w:r>
              <w:rPr>
                <w:rFonts w:hint="default" w:ascii="Times New Roman" w:hAnsi="Times New Roman"/>
                <w:b/>
                <w:bCs/>
                <w:vertAlign w:val="baseline"/>
              </w:rPr>
              <w:t>Aparate de măsură analogice pentru panou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Kiloampermetru analogic de panou 1000/5A, 0...1,0kA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200/5A, 0...200A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600/5A, 0...600A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Ampermetru analogic de panou 300/5A,</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ru-RU" w:eastAsia="en-US"/>
              </w:rPr>
              <w:t>0...150A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300/5A, 0...100A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75/5A,  0...75A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300/5A, 0...60A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DC, 0...10A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Ampermetru analogic de panou DC, 0...5A</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DC, 0...300A, cu șunt 75mV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Ampermetru analogic de panou DC, 0...400A, cu șunt 75mV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Kilovoltmetru analogic de panou 10000/100V, 0...12,5kV.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Kilovoltmetru analogic de panou 6000/100V, 0...7,2kV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Kilovoltmetru analogic de panou</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ru-RU" w:eastAsia="en-US"/>
              </w:rPr>
              <w:t>6000/100V, 0...6kV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Kilovoltmetru analogic de panou 6000/100V, 0...7,5kV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DC, 0...500V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DC, 0...600V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DC, 0...250V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en-US" w:eastAsia="en-US"/>
              </w:rPr>
              <w:t>Voltmetru analogic de panou AC, 0...500V</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rPr>
            </w:pPr>
            <w:r>
              <w:rPr>
                <w:rFonts w:hint="default" w:ascii="Times New Roman" w:hAnsi="Times New Roman" w:cs="Times New Roman"/>
                <w:sz w:val="20"/>
                <w:lang w:eastAsia="en-US"/>
              </w:rPr>
              <w:t>7,0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Megawattmetru analogic de panou</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ru-RU" w:eastAsia="en-US"/>
              </w:rPr>
              <w:t>600/5A:6000/100V, 0...6MW</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8"/>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31680000-6</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u-RU" w:eastAsia="en-US"/>
              </w:rPr>
              <w:t>Frecvențmetru analogic de panou</w:t>
            </w:r>
            <w:r>
              <w:rPr>
                <w:rFonts w:hint="default" w:ascii="Times New Roman" w:hAnsi="Times New Roman"/>
                <w:i w:val="0"/>
                <w:iCs w:val="0"/>
                <w:sz w:val="20"/>
                <w:szCs w:val="20"/>
                <w:lang w:val="en-US" w:eastAsia="en-US"/>
              </w:rPr>
              <w:t xml:space="preserve"> </w:t>
            </w:r>
            <w:r>
              <w:rPr>
                <w:rFonts w:hint="default" w:ascii="Times New Roman" w:hAnsi="Times New Roman"/>
                <w:i w:val="0"/>
                <w:iCs w:val="0"/>
                <w:sz w:val="20"/>
                <w:szCs w:val="20"/>
                <w:lang w:val="ru-RU" w:eastAsia="en-US"/>
              </w:rPr>
              <w:t>10000/100V, 45...55Hz</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val="0"/>
                <w:bCs w:val="0"/>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u w:val="none"/>
                <w:vertAlign w:val="baseline"/>
                <w:lang w:val="en-US" w:eastAsia="zh-CN" w:bidi="ar-SA"/>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sz w:val="20"/>
                <w:szCs w:val="20"/>
                <w:lang w:eastAsia="en-US" w:bidi="ar-SA"/>
              </w:rPr>
            </w:pPr>
            <w:r>
              <w:rPr>
                <w:rFonts w:hint="default" w:ascii="Times New Roman" w:hAnsi="Times New Roman"/>
                <w:b/>
                <w:bCs/>
                <w:i w:val="0"/>
                <w:iCs w:val="0"/>
                <w:sz w:val="20"/>
                <w:szCs w:val="20"/>
                <w:lang w:eastAsia="en-US"/>
              </w:rPr>
              <w:t xml:space="preserve">Total lot </w:t>
            </w:r>
            <w:r>
              <w:rPr>
                <w:rFonts w:hint="default" w:ascii="Times New Roman" w:hAnsi="Times New Roman"/>
                <w:b/>
                <w:bCs/>
                <w:i w:val="0"/>
                <w:iCs w:val="0"/>
                <w:sz w:val="20"/>
                <w:szCs w:val="20"/>
                <w:lang w:eastAsia="en-US"/>
              </w:rPr>
              <w:t>3</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en-US" w:eastAsia="en-US" w:bidi="ar-SA"/>
              </w:rPr>
            </w:pPr>
            <w:r>
              <w:rPr>
                <w:rFonts w:hint="default" w:ascii="Times New Roman" w:hAnsi="Times New Roman" w:cs="Times New Roman"/>
                <w:sz w:val="20"/>
                <w:lang w:eastAsia="en-US" w:bidi="ar-SA"/>
              </w:rPr>
              <w:t>-</w:t>
            </w:r>
          </w:p>
        </w:tc>
        <w:tc>
          <w:tcPr>
            <w:tcW w:w="87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en-US" w:eastAsia="en-US" w:bidi="ar-SA"/>
              </w:rPr>
            </w:pPr>
            <w:r>
              <w:rPr>
                <w:rFonts w:hint="default" w:ascii="Times New Roman" w:hAnsi="Times New Roman" w:cs="Times New Roman"/>
                <w:sz w:val="20"/>
                <w:lang w:eastAsia="en-US"/>
              </w:rPr>
              <w:t>-</w:t>
            </w:r>
          </w:p>
        </w:tc>
        <w:tc>
          <w:tcPr>
            <w:tcW w:w="126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u w:val="none"/>
                <w:vertAlign w:val="baseline"/>
              </w:rPr>
            </w:pPr>
            <w:r>
              <w:rPr>
                <w:rFonts w:hint="default" w:ascii="Times New Roman" w:hAnsi="Times New Roman"/>
                <w:b/>
                <w:bCs/>
                <w:vertAlign w:val="baseline"/>
              </w:rPr>
              <w:t>Lotul nr.</w:t>
            </w:r>
            <w:r>
              <w:rPr>
                <w:rFonts w:hint="default" w:ascii="Times New Roman" w:hAnsi="Times New Roman"/>
                <w:b/>
                <w:bCs/>
                <w:vertAlign w:val="baseline"/>
                <w:lang/>
              </w:rPr>
              <w:t xml:space="preserve"> </w:t>
            </w:r>
            <w:r>
              <w:rPr>
                <w:rFonts w:hint="default" w:ascii="Times New Roman" w:hAnsi="Times New Roman" w:cs="Times New Roman"/>
                <w:b/>
                <w:bCs/>
                <w:vertAlign w:val="baseline"/>
                <w:lang/>
              </w:rPr>
              <w:t>4</w:t>
            </w:r>
            <w:r>
              <w:rPr>
                <w:rFonts w:hint="default" w:ascii="Times New Roman" w:hAnsi="Times New Roman" w:cs="Times New Roman"/>
                <w:b/>
                <w:bCs/>
                <w:vertAlign w:val="baseline"/>
              </w:rPr>
              <w:t xml:space="preserve">. </w:t>
            </w:r>
            <w:r>
              <w:rPr>
                <w:rFonts w:hint="default" w:ascii="Times New Roman" w:hAnsi="Times New Roman"/>
                <w:b/>
                <w:bCs/>
                <w:vertAlign w:val="baseline"/>
              </w:rPr>
              <w:t>Tablouri de semnalizare luminoasă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9"/>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lang w:val="en-US" w:eastAsia="zh-CN"/>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31682210-5</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ro-RO" w:eastAsia="en-US"/>
              </w:rPr>
              <w:t>Tablou de semnalizare luminoasă (afișaj) LED ТСБ-С-АФРП</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en-US" w:eastAsia="en-US" w:bidi="ar-SA"/>
              </w:rPr>
            </w:pPr>
            <w:r>
              <w:rPr>
                <w:rFonts w:hint="default" w:ascii="Times New Roman" w:hAnsi="Times New Roman" w:cs="Times New Roman"/>
                <w:sz w:val="20"/>
                <w:lang w:eastAsia="en-US" w:bidi="ar-SA"/>
              </w:rPr>
              <w:t>buc.</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val="ru-RU" w:eastAsia="en-US"/>
              </w:rPr>
            </w:pPr>
            <w:r>
              <w:rPr>
                <w:rFonts w:hint="default" w:ascii="Times New Roman" w:hAnsi="Times New Roman" w:cs="Times New Roman"/>
                <w:sz w:val="20"/>
                <w:lang w:eastAsia="en-US"/>
              </w:rPr>
              <w:t>150,0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bookmarkStart w:id="0" w:name="_GoBack"/>
            <w:bookmarkEnd w:id="0"/>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u w:val="none"/>
                <w:vertAlign w:val="baseline"/>
                <w:lang w:val="en-US" w:eastAsia="zh-CN"/>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u w:val="none"/>
                <w:vertAlign w:val="baseline"/>
                <w:lang w:val="en-US" w:eastAsia="zh-CN" w:bidi="ar-SA"/>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sz w:val="20"/>
                <w:szCs w:val="20"/>
                <w:lang w:eastAsia="en-US" w:bidi="ar-SA"/>
              </w:rPr>
            </w:pPr>
            <w:r>
              <w:rPr>
                <w:rFonts w:hint="default" w:ascii="Times New Roman" w:hAnsi="Times New Roman"/>
                <w:b/>
                <w:bCs/>
                <w:i w:val="0"/>
                <w:iCs w:val="0"/>
                <w:sz w:val="20"/>
                <w:szCs w:val="20"/>
                <w:lang w:eastAsia="en-US"/>
              </w:rPr>
              <w:t xml:space="preserve">Total lot </w:t>
            </w:r>
            <w:r>
              <w:rPr>
                <w:rFonts w:hint="default" w:ascii="Times New Roman" w:hAnsi="Times New Roman"/>
                <w:b/>
                <w:bCs/>
                <w:i w:val="0"/>
                <w:iCs w:val="0"/>
                <w:sz w:val="20"/>
                <w:szCs w:val="20"/>
                <w:lang w:eastAsia="en-US"/>
              </w:rPr>
              <w:t>4</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en-US" w:eastAsia="en-US" w:bidi="ar-SA"/>
              </w:rPr>
            </w:pPr>
            <w:r>
              <w:rPr>
                <w:rFonts w:hint="default" w:ascii="Times New Roman" w:hAnsi="Times New Roman" w:cs="Times New Roman"/>
                <w:sz w:val="20"/>
                <w:lang w:eastAsia="en-US" w:bidi="ar-SA"/>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en-US" w:eastAsia="en-US" w:bidi="ar-SA"/>
              </w:rPr>
            </w:pPr>
            <w:r>
              <w:rPr>
                <w:rFonts w:hint="default" w:ascii="Times New Roman" w:hAnsi="Times New Roman" w:cs="Times New Roman"/>
                <w:sz w:val="20"/>
                <w:lang w:eastAsia="en-US"/>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bCs/>
                <w:u w:val="none"/>
                <w:vertAlign w:val="baseline"/>
                <w:lang w:val="en-US" w:eastAsia="zh-CN" w:bidi="ar-SA"/>
              </w:rPr>
            </w:pPr>
            <w:r>
              <w:rPr>
                <w:rFonts w:hint="default" w:ascii="Times New Roman" w:hAnsi="Times New Roman"/>
                <w:b/>
                <w:bCs/>
                <w:vertAlign w:val="baseline"/>
              </w:rPr>
              <w:t xml:space="preserve">Lotul nr. </w:t>
            </w:r>
            <w:r>
              <w:rPr>
                <w:rFonts w:hint="default" w:ascii="Times New Roman" w:hAnsi="Times New Roman" w:cs="Times New Roman"/>
                <w:b/>
                <w:bCs/>
                <w:vertAlign w:val="baseline"/>
                <w:lang/>
              </w:rPr>
              <w:t>5</w:t>
            </w:r>
            <w:r>
              <w:rPr>
                <w:rFonts w:hint="default" w:ascii="Times New Roman" w:hAnsi="Times New Roman" w:cs="Times New Roman"/>
                <w:b/>
                <w:bCs/>
                <w:vertAlign w:val="baseline"/>
              </w:rPr>
              <w:t xml:space="preserve">. </w:t>
            </w:r>
            <w:r>
              <w:rPr>
                <w:rFonts w:hint="default" w:ascii="Times New Roman" w:hAnsi="Times New Roman"/>
                <w:b/>
                <w:bCs/>
                <w:vertAlign w:val="baseline"/>
              </w:rPr>
              <w:t>Senzori pentru contoare de evidență a consumului de gaz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9"/>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95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38550000-5</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sz w:val="20"/>
                <w:szCs w:val="20"/>
                <w:lang w:val="ro-RO" w:eastAsia="en-US" w:bidi="ar-SA"/>
              </w:rPr>
            </w:pPr>
            <w:r>
              <w:rPr>
                <w:rFonts w:hint="default" w:ascii="Times New Roman" w:hAnsi="Times New Roman"/>
                <w:i w:val="0"/>
                <w:iCs w:val="0"/>
                <w:sz w:val="20"/>
                <w:szCs w:val="20"/>
                <w:lang w:val="zh-CN" w:eastAsia="en-US"/>
              </w:rPr>
              <w:t>Senzor de impuls IN-S10 pentru contoare de gaz, de tip RVG</w:t>
            </w:r>
          </w:p>
        </w:tc>
        <w:tc>
          <w:tcPr>
            <w:tcW w:w="118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en-US" w:eastAsia="en-US" w:bidi="ar-SA"/>
              </w:rPr>
            </w:pPr>
            <w:r>
              <w:rPr>
                <w:rFonts w:hint="default" w:ascii="Times New Roman" w:hAnsi="Times New Roman" w:cs="Times New Roman"/>
                <w:sz w:val="20"/>
                <w:lang w:eastAsia="en-US" w:bidi="ar-SA"/>
              </w:rPr>
              <w:t>buc.</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sz w:val="20"/>
                <w:lang w:val="ru-RU" w:eastAsia="en-US" w:bidi="ar-SA"/>
              </w:rPr>
            </w:pPr>
            <w:r>
              <w:rPr>
                <w:rFonts w:hint="default" w:ascii="Times New Roman" w:hAnsi="Times New Roman" w:cs="Times New Roman"/>
                <w:sz w:val="20"/>
                <w:lang w:eastAsia="en-US"/>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u w:val="none"/>
                <w:vertAlign w:val="baseline"/>
                <w:lang w:val="en-US" w:eastAsia="zh-CN" w:bidi="ar-SA"/>
              </w:rPr>
            </w:pPr>
            <w:r>
              <w:rPr>
                <w:rFonts w:hint="default" w:ascii="Times New Roman" w:hAnsi="Times New Roman"/>
                <w:u w:val="none"/>
                <w:vertAlign w:val="baseline"/>
                <w:lang w:eastAsia="zh-CN"/>
              </w:rPr>
              <w:t>60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stheme="minorBidi"/>
                <w:u w:val="none"/>
                <w:vertAlign w:val="baseline"/>
                <w:lang w:val="en-US" w:eastAsia="zh-CN" w:bidi="ar-SA"/>
              </w:rPr>
            </w:pPr>
            <w:r>
              <w:rPr>
                <w:rFonts w:hint="default" w:ascii="Times New Roman" w:hAnsi="Times New Roman" w:eastAsiaTheme="minorEastAsia"/>
                <w:u w:val="none"/>
                <w:vertAlign w:val="baseline"/>
                <w:lang w:val="en-US" w:eastAsia="zh-CN"/>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eastAsia="en-US"/>
              </w:rPr>
            </w:pPr>
            <w:r>
              <w:rPr>
                <w:rFonts w:hint="default" w:ascii="Times New Roman" w:hAnsi="Times New Roman"/>
                <w:b/>
                <w:bCs/>
                <w:i w:val="0"/>
                <w:iCs w:val="0"/>
                <w:sz w:val="20"/>
                <w:szCs w:val="20"/>
                <w:lang w:eastAsia="en-US"/>
              </w:rPr>
              <w:t xml:space="preserve">Total lot </w:t>
            </w:r>
            <w:r>
              <w:rPr>
                <w:rFonts w:hint="default" w:ascii="Times New Roman" w:hAnsi="Times New Roman"/>
                <w:b/>
                <w:bCs/>
                <w:i w:val="0"/>
                <w:iCs w:val="0"/>
                <w:sz w:val="20"/>
                <w:szCs w:val="20"/>
                <w:lang w:eastAsia="en-US"/>
              </w:rPr>
              <w:t>5</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rPr>
            </w:pPr>
            <w:r>
              <w:rPr>
                <w:rFonts w:hint="default" w:ascii="Times New Roman" w:hAnsi="Times New Roman" w:cs="Times New Roman"/>
                <w:sz w:val="20"/>
                <w:lang w:eastAsia="en-US"/>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u w:val="none"/>
                <w:vertAlign w:val="baseline"/>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eastAsia="en-US"/>
              </w:rPr>
            </w:pPr>
            <w:r>
              <w:rPr>
                <w:rFonts w:hint="default" w:ascii="Times New Roman" w:hAnsi="Times New Roman"/>
                <w:b/>
                <w:bCs/>
                <w:i w:val="0"/>
                <w:iCs w:val="0"/>
                <w:sz w:val="20"/>
                <w:szCs w:val="20"/>
                <w:lang w:eastAsia="en-US"/>
              </w:rPr>
              <w:t>TOTAL</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bidi="ar-SA"/>
              </w:rPr>
            </w:pPr>
            <w:r>
              <w:rPr>
                <w:rFonts w:hint="default" w:ascii="Times New Roman" w:hAnsi="Times New Roman" w:cs="Times New Roman"/>
                <w:sz w:val="20"/>
                <w:lang w:eastAsia="en-US" w:bidi="ar-SA"/>
              </w:rPr>
              <w:t>-</w:t>
            </w:r>
          </w:p>
        </w:tc>
        <w:tc>
          <w:tcPr>
            <w:tcW w:w="8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lang w:eastAsia="en-US"/>
              </w:rPr>
            </w:pPr>
            <w:r>
              <w:rPr>
                <w:rFonts w:hint="default" w:ascii="Times New Roman" w:hAnsi="Times New Roman" w:cs="Times New Roman"/>
                <w:sz w:val="20"/>
                <w:lang w:eastAsia="en-US"/>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u w:val="none"/>
                <w:vertAlign w:val="baseline"/>
                <w:lang w:eastAsia="zh-CN" w:bidi="ar-SA"/>
              </w:rPr>
            </w:pPr>
            <w:r>
              <w:rPr>
                <w:rFonts w:hint="default" w:ascii="Times New Roman" w:hAnsi="Times New Roman" w:cs="Times New Roman"/>
                <w:b/>
                <w:bCs/>
                <w:u w:val="none"/>
                <w:vertAlign w:val="baseline"/>
                <w:lang w:eastAsia="zh-CN" w:bidi="ar-SA"/>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829448D0"/>
    <w:multiLevelType w:val="singleLevel"/>
    <w:tmpl w:val="829448D0"/>
    <w:lvl w:ilvl="0" w:tentative="0">
      <w:start w:val="1"/>
      <w:numFmt w:val="decimal"/>
      <w:lvlText w:val="%1."/>
      <w:lvlJc w:val="left"/>
      <w:pPr>
        <w:tabs>
          <w:tab w:val="left" w:pos="425"/>
        </w:tabs>
        <w:ind w:left="425" w:leftChars="0" w:hanging="425" w:firstLineChars="0"/>
      </w:pPr>
      <w:rPr>
        <w:rFonts w:hint="default"/>
      </w:rPr>
    </w:lvl>
  </w:abstractNum>
  <w:abstractNum w:abstractNumId="2">
    <w:nsid w:val="927F314B"/>
    <w:multiLevelType w:val="singleLevel"/>
    <w:tmpl w:val="927F314B"/>
    <w:lvl w:ilvl="0" w:tentative="0">
      <w:start w:val="1"/>
      <w:numFmt w:val="decimal"/>
      <w:lvlText w:val="%1."/>
      <w:lvlJc w:val="left"/>
      <w:pPr>
        <w:tabs>
          <w:tab w:val="left" w:pos="425"/>
        </w:tabs>
        <w:ind w:left="425" w:leftChars="0" w:hanging="425" w:firstLineChars="0"/>
      </w:pPr>
      <w:rPr>
        <w:rFonts w:hint="default"/>
      </w:rPr>
    </w:lvl>
  </w:abstractNum>
  <w:abstractNum w:abstractNumId="3">
    <w:nsid w:val="25C9E4AE"/>
    <w:multiLevelType w:val="singleLevel"/>
    <w:tmpl w:val="25C9E4AE"/>
    <w:lvl w:ilvl="0" w:tentative="0">
      <w:start w:val="1"/>
      <w:numFmt w:val="decimal"/>
      <w:lvlText w:val="%1."/>
      <w:lvlJc w:val="left"/>
      <w:pPr>
        <w:tabs>
          <w:tab w:val="left" w:pos="425"/>
        </w:tabs>
        <w:ind w:left="425" w:leftChars="0" w:hanging="425" w:firstLineChars="0"/>
      </w:pPr>
      <w:rPr>
        <w:rFonts w:hint="default"/>
      </w:rPr>
    </w:lvl>
  </w:abstractNum>
  <w:abstractNum w:abstractNumId="4">
    <w:nsid w:val="3DBDFD1A"/>
    <w:multiLevelType w:val="singleLevel"/>
    <w:tmpl w:val="3DBDFD1A"/>
    <w:lvl w:ilvl="0" w:tentative="0">
      <w:start w:val="1"/>
      <w:numFmt w:val="decimal"/>
      <w:lvlText w:val="%1."/>
      <w:lvlJc w:val="left"/>
      <w:pPr>
        <w:tabs>
          <w:tab w:val="left" w:pos="425"/>
        </w:tabs>
        <w:ind w:left="425" w:leftChars="0" w:hanging="425" w:firstLineChars="0"/>
      </w:pPr>
      <w:rPr>
        <w:rFonts w:hint="default"/>
      </w:rPr>
    </w:lvl>
  </w:abstractNum>
  <w:abstractNum w:abstractNumId="5">
    <w:nsid w:val="48F1B431"/>
    <w:multiLevelType w:val="singleLevel"/>
    <w:tmpl w:val="48F1B431"/>
    <w:lvl w:ilvl="0" w:tentative="0">
      <w:start w:val="1"/>
      <w:numFmt w:val="decimal"/>
      <w:lvlText w:val="%1."/>
      <w:lvlJc w:val="left"/>
      <w:pPr>
        <w:tabs>
          <w:tab w:val="left" w:pos="425"/>
        </w:tabs>
        <w:ind w:left="425" w:leftChars="0" w:hanging="425" w:firstLineChars="0"/>
      </w:pPr>
      <w:rPr>
        <w:rFonts w:hint="default"/>
      </w:rPr>
    </w:lvl>
  </w:abstractNum>
  <w:abstractNum w:abstractNumId="6">
    <w:nsid w:val="5B5E625A"/>
    <w:multiLevelType w:val="singleLevel"/>
    <w:tmpl w:val="5B5E625A"/>
    <w:lvl w:ilvl="0" w:tentative="0">
      <w:start w:val="1"/>
      <w:numFmt w:val="decimal"/>
      <w:lvlText w:val="%1."/>
      <w:lvlJc w:val="left"/>
      <w:pPr>
        <w:tabs>
          <w:tab w:val="left" w:pos="425"/>
        </w:tabs>
        <w:ind w:left="425" w:leftChars="0" w:hanging="425" w:firstLineChars="0"/>
      </w:pPr>
      <w:rPr>
        <w:rFonts w:hint="default"/>
      </w:rPr>
    </w:lvl>
  </w:abstractNum>
  <w:abstractNum w:abstractNumId="7">
    <w:nsid w:val="6D0E26EE"/>
    <w:multiLevelType w:val="singleLevel"/>
    <w:tmpl w:val="6D0E26EE"/>
    <w:lvl w:ilvl="0" w:tentative="0">
      <w:start w:val="1"/>
      <w:numFmt w:val="decimal"/>
      <w:lvlText w:val="%1."/>
      <w:lvlJc w:val="left"/>
      <w:pPr>
        <w:tabs>
          <w:tab w:val="left" w:pos="425"/>
        </w:tabs>
        <w:ind w:left="425" w:leftChars="0" w:hanging="425" w:firstLineChars="0"/>
      </w:pPr>
      <w:rPr>
        <w:rFonts w:hint="default"/>
      </w:rPr>
    </w:lvl>
  </w:abstractNum>
  <w:abstractNum w:abstractNumId="8">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8"/>
  </w:num>
  <w:num w:numId="2">
    <w:abstractNumId w:val="2"/>
  </w:num>
  <w:num w:numId="3">
    <w:abstractNumId w:val="4"/>
  </w:num>
  <w:num w:numId="4">
    <w:abstractNumId w:val="6"/>
  </w:num>
  <w:num w:numId="5">
    <w:abstractNumId w:val="1"/>
  </w:num>
  <w:num w:numId="6">
    <w:abstractNumId w:val="0"/>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1F9C"/>
    <w:rsid w:val="00502C23"/>
    <w:rsid w:val="008A3100"/>
    <w:rsid w:val="00F213D0"/>
    <w:rsid w:val="01341857"/>
    <w:rsid w:val="0147153B"/>
    <w:rsid w:val="0160637B"/>
    <w:rsid w:val="02462A4F"/>
    <w:rsid w:val="02A756F6"/>
    <w:rsid w:val="03057D24"/>
    <w:rsid w:val="03127C01"/>
    <w:rsid w:val="035D4591"/>
    <w:rsid w:val="038041DD"/>
    <w:rsid w:val="03962305"/>
    <w:rsid w:val="04AF3F3E"/>
    <w:rsid w:val="04EF43C3"/>
    <w:rsid w:val="04FA0515"/>
    <w:rsid w:val="05045994"/>
    <w:rsid w:val="058E399B"/>
    <w:rsid w:val="06A30084"/>
    <w:rsid w:val="06E361CF"/>
    <w:rsid w:val="074C2609"/>
    <w:rsid w:val="075B04E7"/>
    <w:rsid w:val="0856189A"/>
    <w:rsid w:val="08660D9D"/>
    <w:rsid w:val="08E32BEA"/>
    <w:rsid w:val="095835E2"/>
    <w:rsid w:val="0A1F41F1"/>
    <w:rsid w:val="0AEC39F9"/>
    <w:rsid w:val="0BAA5EE2"/>
    <w:rsid w:val="0C722C9C"/>
    <w:rsid w:val="0CE06DF7"/>
    <w:rsid w:val="0D26085E"/>
    <w:rsid w:val="0D34791F"/>
    <w:rsid w:val="0D7F51EF"/>
    <w:rsid w:val="0DE66214"/>
    <w:rsid w:val="0DFA0062"/>
    <w:rsid w:val="0EA22E69"/>
    <w:rsid w:val="0FD72B12"/>
    <w:rsid w:val="10425480"/>
    <w:rsid w:val="10962649"/>
    <w:rsid w:val="10E36DA6"/>
    <w:rsid w:val="114F1E9C"/>
    <w:rsid w:val="119028A6"/>
    <w:rsid w:val="11C71B03"/>
    <w:rsid w:val="11CF269B"/>
    <w:rsid w:val="12041AFB"/>
    <w:rsid w:val="122172CE"/>
    <w:rsid w:val="124A57A9"/>
    <w:rsid w:val="12B44C98"/>
    <w:rsid w:val="12FC2E9E"/>
    <w:rsid w:val="136F4921"/>
    <w:rsid w:val="13AA13D0"/>
    <w:rsid w:val="13AE706D"/>
    <w:rsid w:val="13CB50AE"/>
    <w:rsid w:val="140A5C07"/>
    <w:rsid w:val="143213CE"/>
    <w:rsid w:val="14475CDC"/>
    <w:rsid w:val="14783188"/>
    <w:rsid w:val="148C1946"/>
    <w:rsid w:val="149C2A0B"/>
    <w:rsid w:val="14C31A74"/>
    <w:rsid w:val="14F133ED"/>
    <w:rsid w:val="15433EAE"/>
    <w:rsid w:val="15CF515F"/>
    <w:rsid w:val="15EE00B6"/>
    <w:rsid w:val="16176152"/>
    <w:rsid w:val="16690ECB"/>
    <w:rsid w:val="166B683B"/>
    <w:rsid w:val="16E8230B"/>
    <w:rsid w:val="17841624"/>
    <w:rsid w:val="17DE743B"/>
    <w:rsid w:val="17E470BF"/>
    <w:rsid w:val="17FF7745"/>
    <w:rsid w:val="18294330"/>
    <w:rsid w:val="19050E57"/>
    <w:rsid w:val="192C06DB"/>
    <w:rsid w:val="1A096D87"/>
    <w:rsid w:val="1A235F91"/>
    <w:rsid w:val="1A8B564F"/>
    <w:rsid w:val="1AA324CC"/>
    <w:rsid w:val="1ABB391B"/>
    <w:rsid w:val="1AC106C5"/>
    <w:rsid w:val="1AEB276C"/>
    <w:rsid w:val="1AF423FA"/>
    <w:rsid w:val="1B0A44F5"/>
    <w:rsid w:val="1B717BA4"/>
    <w:rsid w:val="1BCF2EAD"/>
    <w:rsid w:val="1BF974FC"/>
    <w:rsid w:val="1C193A9D"/>
    <w:rsid w:val="1C1C6023"/>
    <w:rsid w:val="1C4A0392"/>
    <w:rsid w:val="1C8708F3"/>
    <w:rsid w:val="1CAF2C3E"/>
    <w:rsid w:val="1CD35F20"/>
    <w:rsid w:val="1D1F7306"/>
    <w:rsid w:val="1DB03E28"/>
    <w:rsid w:val="1DBC67A0"/>
    <w:rsid w:val="1E2A35E1"/>
    <w:rsid w:val="1E475809"/>
    <w:rsid w:val="1EC52674"/>
    <w:rsid w:val="1ED12D01"/>
    <w:rsid w:val="1ED63AA6"/>
    <w:rsid w:val="1EEC7A8C"/>
    <w:rsid w:val="1F062428"/>
    <w:rsid w:val="1F1E3E22"/>
    <w:rsid w:val="20181907"/>
    <w:rsid w:val="2065633E"/>
    <w:rsid w:val="2114738E"/>
    <w:rsid w:val="21A621B6"/>
    <w:rsid w:val="21BC67F2"/>
    <w:rsid w:val="223613C5"/>
    <w:rsid w:val="22575BBF"/>
    <w:rsid w:val="229C02F2"/>
    <w:rsid w:val="233D0DFF"/>
    <w:rsid w:val="238734D8"/>
    <w:rsid w:val="244417EA"/>
    <w:rsid w:val="244E0A02"/>
    <w:rsid w:val="24CC4FDE"/>
    <w:rsid w:val="24ED7C15"/>
    <w:rsid w:val="25415D2D"/>
    <w:rsid w:val="25917193"/>
    <w:rsid w:val="259D1413"/>
    <w:rsid w:val="25E8259B"/>
    <w:rsid w:val="2695315B"/>
    <w:rsid w:val="26957341"/>
    <w:rsid w:val="26F07AEA"/>
    <w:rsid w:val="274043A6"/>
    <w:rsid w:val="27F66EE0"/>
    <w:rsid w:val="28487711"/>
    <w:rsid w:val="28921BC8"/>
    <w:rsid w:val="28DE416E"/>
    <w:rsid w:val="28F306BC"/>
    <w:rsid w:val="292F2A9F"/>
    <w:rsid w:val="295419DA"/>
    <w:rsid w:val="29C56816"/>
    <w:rsid w:val="2A107102"/>
    <w:rsid w:val="2A41096D"/>
    <w:rsid w:val="2AE62756"/>
    <w:rsid w:val="2B2341D4"/>
    <w:rsid w:val="2B2B15E0"/>
    <w:rsid w:val="2B8A559C"/>
    <w:rsid w:val="2BA128A4"/>
    <w:rsid w:val="2C1D34E2"/>
    <w:rsid w:val="2CDC6DA8"/>
    <w:rsid w:val="2D56652B"/>
    <w:rsid w:val="2D566D3D"/>
    <w:rsid w:val="2DCC08AF"/>
    <w:rsid w:val="2E8E57F1"/>
    <w:rsid w:val="2EDC6965"/>
    <w:rsid w:val="2F3918C8"/>
    <w:rsid w:val="2F5A4E26"/>
    <w:rsid w:val="2FAB6462"/>
    <w:rsid w:val="2FB84BD7"/>
    <w:rsid w:val="3034171D"/>
    <w:rsid w:val="30976DA2"/>
    <w:rsid w:val="3098299F"/>
    <w:rsid w:val="30983C2F"/>
    <w:rsid w:val="30DF4C88"/>
    <w:rsid w:val="312476AC"/>
    <w:rsid w:val="319934B1"/>
    <w:rsid w:val="32117518"/>
    <w:rsid w:val="32A40826"/>
    <w:rsid w:val="32DB0B8E"/>
    <w:rsid w:val="33164C7B"/>
    <w:rsid w:val="33A96A3E"/>
    <w:rsid w:val="343E58D0"/>
    <w:rsid w:val="3453761A"/>
    <w:rsid w:val="34D058C0"/>
    <w:rsid w:val="34D348B8"/>
    <w:rsid w:val="35B4714A"/>
    <w:rsid w:val="36202A8B"/>
    <w:rsid w:val="371C5779"/>
    <w:rsid w:val="374239A8"/>
    <w:rsid w:val="379445C9"/>
    <w:rsid w:val="37C7238E"/>
    <w:rsid w:val="38070BF9"/>
    <w:rsid w:val="38251BCB"/>
    <w:rsid w:val="38286CC9"/>
    <w:rsid w:val="38627659"/>
    <w:rsid w:val="38874FCD"/>
    <w:rsid w:val="38A21BCA"/>
    <w:rsid w:val="3957406F"/>
    <w:rsid w:val="3998008B"/>
    <w:rsid w:val="39AB195F"/>
    <w:rsid w:val="39E9692C"/>
    <w:rsid w:val="3A2E45A5"/>
    <w:rsid w:val="3ACD651F"/>
    <w:rsid w:val="3B131FE2"/>
    <w:rsid w:val="3B2C03F0"/>
    <w:rsid w:val="3C3025F0"/>
    <w:rsid w:val="3C6D2133"/>
    <w:rsid w:val="3C7030B7"/>
    <w:rsid w:val="3CD15AA7"/>
    <w:rsid w:val="3CEE333F"/>
    <w:rsid w:val="3D7F5473"/>
    <w:rsid w:val="3D98229D"/>
    <w:rsid w:val="3DF53D49"/>
    <w:rsid w:val="3DF60935"/>
    <w:rsid w:val="3DFF4976"/>
    <w:rsid w:val="3E274987"/>
    <w:rsid w:val="3E324F16"/>
    <w:rsid w:val="3E6B550E"/>
    <w:rsid w:val="3EDF5891"/>
    <w:rsid w:val="3EEF3E6C"/>
    <w:rsid w:val="3F7057BD"/>
    <w:rsid w:val="402712A9"/>
    <w:rsid w:val="406477B5"/>
    <w:rsid w:val="406903B9"/>
    <w:rsid w:val="40DF6FE1"/>
    <w:rsid w:val="422E6A20"/>
    <w:rsid w:val="42F22356"/>
    <w:rsid w:val="430B6522"/>
    <w:rsid w:val="432230E1"/>
    <w:rsid w:val="43EC32A0"/>
    <w:rsid w:val="442B4CA6"/>
    <w:rsid w:val="446A7138"/>
    <w:rsid w:val="448F2A7E"/>
    <w:rsid w:val="44CD4C98"/>
    <w:rsid w:val="44D212C3"/>
    <w:rsid w:val="4582269B"/>
    <w:rsid w:val="458B32BF"/>
    <w:rsid w:val="45A72013"/>
    <w:rsid w:val="45ED64C7"/>
    <w:rsid w:val="461846CD"/>
    <w:rsid w:val="4669356C"/>
    <w:rsid w:val="46C95B1B"/>
    <w:rsid w:val="47A07192"/>
    <w:rsid w:val="47BB545D"/>
    <w:rsid w:val="47E732D5"/>
    <w:rsid w:val="48686BDB"/>
    <w:rsid w:val="48783ACD"/>
    <w:rsid w:val="48927A1F"/>
    <w:rsid w:val="49057076"/>
    <w:rsid w:val="493C0430"/>
    <w:rsid w:val="49991CBB"/>
    <w:rsid w:val="49A46B7D"/>
    <w:rsid w:val="49F92586"/>
    <w:rsid w:val="4A3459A1"/>
    <w:rsid w:val="4A7B35D0"/>
    <w:rsid w:val="4AED437B"/>
    <w:rsid w:val="4B2B3590"/>
    <w:rsid w:val="4B8F7878"/>
    <w:rsid w:val="4C6C31D0"/>
    <w:rsid w:val="4CBE1EFE"/>
    <w:rsid w:val="4D0549EA"/>
    <w:rsid w:val="4D4E2860"/>
    <w:rsid w:val="4E1B06BB"/>
    <w:rsid w:val="4EA35EC7"/>
    <w:rsid w:val="4F6D14D3"/>
    <w:rsid w:val="50083210"/>
    <w:rsid w:val="503179CC"/>
    <w:rsid w:val="505066D1"/>
    <w:rsid w:val="505A30FE"/>
    <w:rsid w:val="515D3A2F"/>
    <w:rsid w:val="51816D85"/>
    <w:rsid w:val="51FD0610"/>
    <w:rsid w:val="53380017"/>
    <w:rsid w:val="533D68E5"/>
    <w:rsid w:val="537E6888"/>
    <w:rsid w:val="540839FD"/>
    <w:rsid w:val="544F4A67"/>
    <w:rsid w:val="554C7D7D"/>
    <w:rsid w:val="55776205"/>
    <w:rsid w:val="55AC5AD2"/>
    <w:rsid w:val="55B71BC6"/>
    <w:rsid w:val="56773FF1"/>
    <w:rsid w:val="56FA0D19"/>
    <w:rsid w:val="56FE6A8B"/>
    <w:rsid w:val="57686C8A"/>
    <w:rsid w:val="577F10CA"/>
    <w:rsid w:val="578F06BB"/>
    <w:rsid w:val="579F77F4"/>
    <w:rsid w:val="58510B4E"/>
    <w:rsid w:val="58D6288E"/>
    <w:rsid w:val="59051627"/>
    <w:rsid w:val="59784FE2"/>
    <w:rsid w:val="5AC72C37"/>
    <w:rsid w:val="5B0E1573"/>
    <w:rsid w:val="5B3C6840"/>
    <w:rsid w:val="5B8B1AB5"/>
    <w:rsid w:val="5BD42B40"/>
    <w:rsid w:val="5C341831"/>
    <w:rsid w:val="5CF43F2D"/>
    <w:rsid w:val="5D04560C"/>
    <w:rsid w:val="5D782062"/>
    <w:rsid w:val="5D9670B3"/>
    <w:rsid w:val="5DCF37AB"/>
    <w:rsid w:val="5E4E14BA"/>
    <w:rsid w:val="5E940365"/>
    <w:rsid w:val="5EDD34B2"/>
    <w:rsid w:val="5F291A68"/>
    <w:rsid w:val="5F8E0E6F"/>
    <w:rsid w:val="5FC74908"/>
    <w:rsid w:val="60BA7FC0"/>
    <w:rsid w:val="61054F06"/>
    <w:rsid w:val="610A2A1F"/>
    <w:rsid w:val="61D80EC5"/>
    <w:rsid w:val="630F7A14"/>
    <w:rsid w:val="632520E6"/>
    <w:rsid w:val="63414F5F"/>
    <w:rsid w:val="647C0C01"/>
    <w:rsid w:val="654E43BA"/>
    <w:rsid w:val="655E1B91"/>
    <w:rsid w:val="674B093A"/>
    <w:rsid w:val="67F81C99"/>
    <w:rsid w:val="681B32D5"/>
    <w:rsid w:val="688E4077"/>
    <w:rsid w:val="68976726"/>
    <w:rsid w:val="68E57E27"/>
    <w:rsid w:val="68ED7DC4"/>
    <w:rsid w:val="68F7247B"/>
    <w:rsid w:val="6920240C"/>
    <w:rsid w:val="69950310"/>
    <w:rsid w:val="69AC0C58"/>
    <w:rsid w:val="69F875E7"/>
    <w:rsid w:val="6AF75CE4"/>
    <w:rsid w:val="6B52785D"/>
    <w:rsid w:val="6B67048D"/>
    <w:rsid w:val="6B89226B"/>
    <w:rsid w:val="6BAF473A"/>
    <w:rsid w:val="6BC35925"/>
    <w:rsid w:val="6CFC59D4"/>
    <w:rsid w:val="6DE34AE4"/>
    <w:rsid w:val="6E3C219F"/>
    <w:rsid w:val="6F4938C2"/>
    <w:rsid w:val="6F6C0CDE"/>
    <w:rsid w:val="6F935C45"/>
    <w:rsid w:val="6FD10864"/>
    <w:rsid w:val="6FD3369D"/>
    <w:rsid w:val="70022762"/>
    <w:rsid w:val="7020227D"/>
    <w:rsid w:val="70515D4C"/>
    <w:rsid w:val="71D21478"/>
    <w:rsid w:val="71F22B08"/>
    <w:rsid w:val="72632F3A"/>
    <w:rsid w:val="72AC1CC9"/>
    <w:rsid w:val="72E36382"/>
    <w:rsid w:val="73131A58"/>
    <w:rsid w:val="733D60BC"/>
    <w:rsid w:val="739E1612"/>
    <w:rsid w:val="73DD005B"/>
    <w:rsid w:val="742A7022"/>
    <w:rsid w:val="7477213F"/>
    <w:rsid w:val="74BD341A"/>
    <w:rsid w:val="74CB2F3E"/>
    <w:rsid w:val="74D74BBC"/>
    <w:rsid w:val="75662603"/>
    <w:rsid w:val="75B72E5F"/>
    <w:rsid w:val="75CD2DB2"/>
    <w:rsid w:val="75E33D48"/>
    <w:rsid w:val="768F6393"/>
    <w:rsid w:val="77F47144"/>
    <w:rsid w:val="780D04DE"/>
    <w:rsid w:val="7820118F"/>
    <w:rsid w:val="78667397"/>
    <w:rsid w:val="78925C5D"/>
    <w:rsid w:val="78A26F7E"/>
    <w:rsid w:val="78F86B66"/>
    <w:rsid w:val="792A06CF"/>
    <w:rsid w:val="79CE426D"/>
    <w:rsid w:val="7A5B4DD2"/>
    <w:rsid w:val="7AE377C7"/>
    <w:rsid w:val="7B0B2BDE"/>
    <w:rsid w:val="7B6B5529"/>
    <w:rsid w:val="7B974C50"/>
    <w:rsid w:val="7BF628C7"/>
    <w:rsid w:val="7C4F1F14"/>
    <w:rsid w:val="7E0B0AB2"/>
    <w:rsid w:val="7E7365A2"/>
    <w:rsid w:val="7E806AE6"/>
    <w:rsid w:val="7E972490"/>
    <w:rsid w:val="7F9C080C"/>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2</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A_Basistii</cp:lastModifiedBy>
  <dcterms:modified xsi:type="dcterms:W3CDTF">2025-06-23T14:14:25Z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