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sz w:val="20"/>
          <w:szCs w:val="20"/>
          <w:lang w:eastAsia="ru-RU"/>
        </w:rPr>
      </w:pPr>
      <w:r>
        <w:rPr>
          <w:sz w:val="20"/>
          <w:szCs w:val="20"/>
          <w:lang w:eastAsia="ru-RU"/>
        </w:rPr>
        <w:t xml:space="preserve">Anexa nr.1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la Ordinul ministrului finanţelor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                                               nr.   115   din 15.09.2021</w:t>
      </w:r>
      <w:r>
        <w:rPr>
          <w:sz w:val="20"/>
          <w:szCs w:val="20"/>
          <w:lang w:eastAsia="ru-RU"/>
        </w:rPr>
      </w:r>
      <w:r>
        <w:rPr>
          <w:sz w:val="20"/>
          <w:szCs w:val="20"/>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pPr>
      <w:r/>
      <w:r/>
    </w:p>
    <w:p>
      <w:pPr>
        <w:pStyle w:val="822"/>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23"/>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9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Pr>
          <w:color w:val="000000" w:themeColor="text1"/>
          <w:lang w:val="it-IT"/>
        </w:rPr>
      </w:r>
      <w:r>
        <w:rPr>
          <w:color w:val="000000" w:themeColor="text1"/>
          <w:lang w:val="it-IT"/>
        </w:rPr>
      </w:r>
    </w:p>
    <w:p>
      <w:pPr>
        <w:pStyle w:val="99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 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livrări/prestări efectuate în ultimii 3 ani de activitate (anexa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specialitate propus pentru implementarea contractului (anexa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susţinător financiar (anexa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r>
        <w:rPr>
          <w:color w:val="000000" w:themeColor="text1"/>
        </w:rPr>
      </w:r>
    </w:p>
    <w:p>
      <w:pPr>
        <w:pStyle w:val="99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r>
        <w:rPr>
          <w:lang w:val="it-IT"/>
        </w:rPr>
      </w:r>
    </w:p>
    <w:p>
      <w:pPr>
        <w:pStyle w:val="990"/>
        <w:numPr>
          <w:ilvl w:val="0"/>
          <w:numId w:val="6"/>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r>
        <w:rPr>
          <w:lang w:val="ro-RO"/>
        </w:rPr>
      </w:r>
    </w:p>
    <w:p>
      <w:pPr>
        <w:pStyle w:val="99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r>
        <w:rPr>
          <w:lang w:val="it-IT"/>
        </w:rPr>
      </w:r>
    </w:p>
    <w:p>
      <w:pPr>
        <w:pStyle w:val="99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694/2020.</w:t>
      </w:r>
      <w:r>
        <w:rPr>
          <w:color w:val="000000" w:themeColor="text1"/>
          <w:lang w:val="it-IT"/>
        </w:rPr>
      </w:r>
      <w:r>
        <w:rPr>
          <w:color w:val="000000" w:themeColor="text1"/>
          <w:lang w:val="it-IT"/>
        </w:rPr>
      </w:r>
    </w:p>
    <w:p>
      <w:pPr>
        <w:pStyle w:val="990"/>
        <w:numPr>
          <w:ilvl w:val="0"/>
          <w:numId w:val="6"/>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r>
        <w:rPr>
          <w:lang w:val="it-IT"/>
        </w:rPr>
      </w:r>
    </w:p>
    <w:p>
      <w:pPr>
        <w:pStyle w:val="990"/>
        <w:numPr>
          <w:ilvl w:val="0"/>
          <w:numId w:val="6"/>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r>
        <w:rPr>
          <w:lang w:val="it-IT"/>
        </w:rPr>
      </w:r>
    </w:p>
    <w:p>
      <w:pPr>
        <w:pStyle w:val="99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r>
        <w:rPr>
          <w:lang w:val="it-IT"/>
        </w:rPr>
      </w:r>
    </w:p>
    <w:p>
      <w:pPr>
        <w:pStyle w:val="99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r>
        <w:rPr>
          <w:lang w:val="it-IT"/>
        </w:rPr>
      </w:r>
    </w:p>
    <w:p>
      <w:pPr>
        <w:pStyle w:val="99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Pr>
          <w:lang w:val="it-IT"/>
        </w:rPr>
      </w:r>
      <w:r>
        <w:rPr>
          <w:lang w:val="it-IT"/>
        </w:rPr>
      </w:r>
    </w:p>
    <w:p>
      <w:pPr>
        <w:pStyle w:val="99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9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r>
        <w:rPr>
          <w:lang w:val="it-IT"/>
        </w:rPr>
      </w:r>
    </w:p>
    <w:p>
      <w:pPr>
        <w:pStyle w:val="99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Pr>
          <w:lang w:val="it-IT"/>
        </w:rPr>
      </w:r>
      <w:r>
        <w:rPr>
          <w:lang w:val="it-IT"/>
        </w:rPr>
      </w:r>
    </w:p>
    <w:p>
      <w:pPr>
        <w:pStyle w:val="99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9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9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9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9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themeColor="text1"/>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Pr>
          <w:color w:val="000000" w:themeColor="text1"/>
          <w:lang w:val="it-IT"/>
        </w:rPr>
      </w:r>
      <w:r>
        <w:rPr>
          <w:color w:val="000000" w:themeColor="text1"/>
          <w:lang w:val="it-IT"/>
        </w:rPr>
      </w:r>
    </w:p>
    <w:p>
      <w:pPr>
        <w:pStyle w:val="82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r>
        <w:rPr>
          <w:lang w:val="ro-RO"/>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r>
        <w:rPr>
          <w:lang w:val="ro-RO"/>
        </w:rPr>
      </w:r>
    </w:p>
    <w:p>
      <w:pPr>
        <w:pStyle w:val="99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r>
        <w:rPr>
          <w:lang w:val="it-IT"/>
        </w:rPr>
      </w:r>
    </w:p>
    <w:p>
      <w:pPr>
        <w:pStyle w:val="99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r>
        <w:rPr>
          <w:lang w:val="it-IT"/>
        </w:rPr>
      </w:r>
    </w:p>
    <w:p>
      <w:pPr>
        <w:pStyle w:val="99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calificare în cadrul procedurii de achiziții p</w:t>
      </w:r>
      <w:r>
        <w:rPr>
          <w:color w:val="000000" w:themeColor="text1"/>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este temei de descalificare de la procedura de achiziție publică.</w:t>
      </w:r>
      <w:r>
        <w:rPr>
          <w:color w:val="000000" w:themeColor="text1"/>
        </w:rPr>
      </w:r>
      <w:r>
        <w:rPr>
          <w:color w:val="000000" w:themeColor="text1"/>
        </w:rPr>
      </w:r>
    </w:p>
    <w:p>
      <w:pPr>
        <w:pStyle w:val="99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9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 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9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9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9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9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9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r>
        <w:rPr>
          <w:lang w:val="ro-RO"/>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r>
        <w:rPr>
          <w:color w:val="ff0000"/>
          <w:lang w:val="it-IT"/>
        </w:rPr>
      </w:r>
    </w:p>
    <w:p>
      <w:pPr>
        <w:pStyle w:val="99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r>
        <w:rPr>
          <w:lang w:val="it-IT"/>
        </w:rPr>
      </w:r>
    </w:p>
    <w:p>
      <w:pPr>
        <w:pStyle w:val="99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r>
        <w:rPr>
          <w:lang w:val="it-IT"/>
        </w:rPr>
      </w:r>
    </w:p>
    <w:p>
      <w:pPr>
        <w:pStyle w:val="99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r>
        <w:rPr>
          <w:lang w:val="it-IT"/>
        </w:rPr>
      </w:r>
    </w:p>
    <w:p>
      <w:pPr>
        <w:pStyle w:val="99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9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w:t>
      </w:r>
      <w:r>
        <w:rPr>
          <w:color w:val="000000" w:themeColor="text1"/>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w:t>
      </w:r>
      <w:r>
        <w:rPr>
          <w:color w:val="000000" w:themeColor="text1"/>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themeColor="text1"/>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82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bookmarkEnd w:id="35"/>
      <w:r/>
      <w:bookmarkEnd w:id="36"/>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82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r>
        <w:rPr>
          <w:bCs/>
          <w:iCs/>
        </w:rPr>
      </w:r>
    </w:p>
    <w:p>
      <w:pPr>
        <w:pStyle w:val="990"/>
        <w:numPr>
          <w:ilvl w:val="0"/>
          <w:numId w:val="16"/>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r>
        <w:rPr>
          <w:bCs/>
          <w:iCs/>
          <w:lang w:val="ro-RO"/>
        </w:rPr>
      </w:r>
    </w:p>
    <w:p>
      <w:pPr>
        <w:pStyle w:val="990"/>
        <w:numPr>
          <w:ilvl w:val="0"/>
          <w:numId w:val="16"/>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113/2019.</w:t>
      </w:r>
      <w:bookmarkEnd w:id="41"/>
      <w:r>
        <w:rPr>
          <w:b/>
          <w:i/>
          <w:lang w:val="it-IT"/>
        </w:rPr>
      </w:r>
      <w:r>
        <w:rPr>
          <w:b/>
          <w:i/>
          <w:lang w:val="it-IT"/>
        </w:rPr>
      </w:r>
    </w:p>
    <w:p>
      <w:pPr>
        <w:pStyle w:val="990"/>
        <w:numPr>
          <w:ilvl w:val="0"/>
          <w:numId w:val="16"/>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r>
        <w:rPr>
          <w:bCs/>
          <w:i/>
          <w:lang w:val="it-IT"/>
        </w:rPr>
      </w:r>
    </w:p>
    <w:p>
      <w:pPr>
        <w:pStyle w:val="990"/>
        <w:numPr>
          <w:ilvl w:val="0"/>
          <w:numId w:val="16"/>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r>
        <w:rPr>
          <w:b/>
          <w:i/>
          <w:lang w:val="it-IT"/>
        </w:rPr>
      </w:r>
    </w:p>
    <w:p>
      <w:pPr>
        <w:pStyle w:val="990"/>
        <w:numPr>
          <w:ilvl w:val="0"/>
          <w:numId w:val="16"/>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w:t>
      </w:r>
      <w:r>
        <w:rPr>
          <w:bCs/>
          <w:iCs/>
          <w:lang w:val="it-IT"/>
        </w:rPr>
        <w:t xml:space="preserve"> la nivelul țării din care să rezulte ca ofertantul deține stații de alimentare în localitățile indicate în documetația de atribuire. Carburantul se livrează la stația de alimentare în baza cardurilor emise de către Furnizor. Ofertantul oferă autorității c</w:t>
      </w:r>
      <w:r>
        <w:rPr>
          <w:bCs/>
          <w:iCs/>
          <w:lang w:val="it-IT"/>
        </w:rPr>
        <w:t xml:space="preserve">ontractante posibilitatea de a achiziționa carburant (fără plată în numerar) prin intermediul cardurilor valorice la stațiile de alimentare ale furnizorului la nivelul fiecăreia dintre localitățile 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r>
        <w:rPr>
          <w:b/>
          <w:iCs/>
        </w:rPr>
      </w:r>
    </w:p>
    <w:p>
      <w:pPr>
        <w:pStyle w:val="990"/>
        <w:numPr>
          <w:ilvl w:val="0"/>
          <w:numId w:val="18"/>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situaţia detaliată a tuturor achiziţiil</w:t>
      </w:r>
      <w:r>
        <w:rPr>
          <w:bCs/>
          <w:iCs/>
        </w:rPr>
        <w:t xml:space="preserve">or de carburant efectuate de către fiecare autovehicul al său. Posibilitatea achizitorului de a obţine la orice staţie de distribuţie pe bază de card, informaţii privind valoarea rămasă pentru fiecare card în parte. Furnizorul gestionează lista cardurilor </w:t>
      </w:r>
      <w:r>
        <w:rPr>
          <w:bCs/>
          <w:iCs/>
        </w:rPr>
        <w:t xml:space="preserve">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r>
        <w:rPr>
          <w:bCs/>
          <w:iCs/>
        </w:rPr>
      </w:r>
    </w:p>
    <w:p>
      <w:pPr>
        <w:pStyle w:val="990"/>
        <w:numPr>
          <w:ilvl w:val="0"/>
          <w:numId w:val="18"/>
        </w:numPr>
        <w:pBdr/>
        <w:tabs>
          <w:tab w:val="left" w:leader="none" w:pos="851"/>
          <w:tab w:val="left" w:leader="none" w:pos="993"/>
        </w:tabs>
        <w:spacing w:after="120"/>
        <w:ind/>
        <w:rPr>
          <w:lang w:val="ro-RO"/>
        </w:rPr>
      </w:pPr>
      <w:r>
        <w:rPr>
          <w:rFonts w:eastAsiaTheme="majorEastAsia"/>
          <w:b/>
          <w:i/>
          <w:iCs/>
        </w:rPr>
        <w:t xml:space="preserve">de  furnizare a energiei 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w:t>
      </w:r>
      <w:r>
        <w:rPr>
          <w:bCs/>
          <w:iCs/>
        </w:rPr>
        <w:t xml:space="preserve">ate cu Legea nr. 174/2017 cu privire la energetică și Legea nr. 107/2016 cu privire la energia electrică, iar cheltuielile se suportă de către Beneficiar. Controlul echipamentului de măsurare și al sigiliilor aplicate acestuia se efectuează de către operat</w:t>
      </w:r>
      <w:r>
        <w:rPr>
          <w:bCs/>
          <w:iCs/>
        </w:rPr>
        <w:t xml:space="preserve">orul de sistem, după necesitate, și numai în prezența reprezentantului Beneficiarului. Citirea indicilor echipamentului de măsurare în scopul facturării energiei electrice consumate de Beneficiar, se efectuează de operatorul de sistem lunar. Personalul ope</w:t>
      </w:r>
      <w:r>
        <w:rPr>
          <w:bCs/>
          <w:iCs/>
        </w:rPr>
        <w:t xml:space="preserve">ratorului de sistem și utilizatorul de sistem sunt în drept să stabilească, de comun acord, timpul efectuării activităților pentru citirea indicilor echipamentului de măsurare. Cantitatea energiei electrice furnizate Beneficiarului se determină în baza ind</w:t>
      </w:r>
      <w:r>
        <w:rPr>
          <w:bCs/>
          <w:iCs/>
        </w:rPr>
        <w:t xml:space="preserve">icilor echipamentului de măsurare, citite la fiecare loc de consum, sau, în cazurile prevăzute în Regulamentul pentru furnizarea energiei electrice, se calculează prin estimare. În cazul deteriorării echipamentului de măsurare sau dacă se constată încălcar</w:t>
      </w:r>
      <w:r>
        <w:rPr>
          <w:bCs/>
          <w:iCs/>
        </w:rPr>
        <w:t xml:space="preserve">ea de către Beneficiar a prevederilor Legii cu privire la energia electrică, care a dus la consum de energie electrică prin evitarea echipamentului de măsurare, prin denaturarea indicațiilor echipamentului de măsurare sau alte modalități de consum neînregi</w:t>
      </w:r>
      <w:r>
        <w:rPr>
          <w:bCs/>
          <w:iCs/>
        </w:rPr>
        <w:t xml:space="preserve">strat de echipamentul de 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r>
        <w:rPr>
          <w:bCs/>
          <w:iCs/>
        </w:rPr>
      </w:r>
    </w:p>
    <w:p>
      <w:pPr>
        <w:pStyle w:val="990"/>
        <w:numPr>
          <w:ilvl w:val="0"/>
          <w:numId w:val="17"/>
        </w:numPr>
        <w:pBdr/>
        <w:tabs>
          <w:tab w:val="left" w:leader="none" w:pos="851"/>
          <w:tab w:val="left" w:leader="none" w:pos="993"/>
        </w:tabs>
        <w:spacing w:after="120"/>
        <w:ind/>
        <w:rPr>
          <w:i/>
          <w:iCs/>
        </w:rPr>
      </w:pPr>
      <w:r>
        <w:rPr>
          <w:rFonts w:eastAsiaTheme="majorEastAsia"/>
          <w:b/>
          <w:i/>
          <w:iCs/>
        </w:rPr>
        <w:t xml:space="preserve">a produselor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r>
        <w:rPr>
          <w:bCs/>
          <w:iCs/>
        </w:rPr>
      </w:r>
    </w:p>
    <w:p>
      <w:pPr>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r>
        <w:rPr>
          <w:bCs/>
          <w:iCs/>
        </w:rPr>
      </w:r>
    </w:p>
    <w:p>
      <w:pPr>
        <w:pBdr/>
        <w:spacing w:after="120"/>
        <w:ind w:firstLine="567"/>
        <w:jc w:val="center"/>
        <w:rPr>
          <w:b/>
          <w:bCs/>
        </w:rPr>
      </w:pPr>
      <w:r>
        <w:rPr>
          <w:b/>
          <w:bCs/>
        </w:rPr>
        <w:t xml:space="preserve">Calcularea prețului unitar se efectuează conform formulei:</w:t>
      </w:r>
      <w:r>
        <w:rPr>
          <w:b/>
          <w:bCs/>
        </w:rPr>
      </w:r>
      <w:r>
        <w:rPr>
          <w:b/>
          <w:bCs/>
        </w:rP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eastAsia="Cambria Math" w:cs="Cambria Math"/>
                </w:rPr>
              </m:ctrlPr>
            </m:fPr>
            <m:num>
              <m:d>
                <m:dPr>
                  <m:ctrlPr>
                    <w:rPr>
                      <w:rFonts w:ascii="Cambria Math" w:hAnsi="Cambria Math" w:eastAsia="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r>
        <w:rPr>
          <w:bCs/>
          <w:iCs/>
        </w:rPr>
      </w:r>
    </w:p>
    <w:p>
      <w:pPr>
        <w:pStyle w:val="990"/>
        <w:numPr>
          <w:ilvl w:val="0"/>
          <w:numId w:val="17"/>
        </w:numPr>
        <w:pBdr/>
        <w:tabs>
          <w:tab w:val="left" w:leader="none" w:pos="851"/>
          <w:tab w:val="left" w:leader="none" w:pos="993"/>
        </w:tabs>
        <w:spacing w:after="120"/>
        <w:ind/>
        <w:rPr>
          <w:lang w:val="ro-RO"/>
        </w:rPr>
      </w:pPr>
      <w:r>
        <w:rPr>
          <w:rFonts w:eastAsiaTheme="majorEastAsia"/>
          <w:b/>
          <w:i/>
          <w:iCs/>
        </w:rPr>
        <w:t xml:space="preserve">a energiei 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anunțul de participare, publicat de către autoritatea contractantă în Buletinul achiziți</w:t>
      </w:r>
      <w:r>
        <w:rPr>
          <w:color w:val="000000" w:themeColor="text1"/>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w:t>
      </w:r>
      <w:r>
        <w:t xml:space="preserve">sau nu este de acord cu prelungirea perioadei de valabilitate a ofertei. Ofertantul care nu este de acord cu 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pPr>
      <w:r>
        <w:rPr>
          <w:b/>
        </w:rPr>
        <w:t xml:space="preserve">58. </w:t>
      </w:r>
      <w:bookmarkStart w:id="61" w:name="_Hlk71620894"/>
      <w:r>
        <w:t xml:space="preserve">Preţurile pentru bunurile/serviciile solicitate se indică în lei moldoveneşti, cu două cifre după virgulă, cu excepţia cazurilor în care anexa nr. 2 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şi semnată în format electronic, de către administratorul companiei indicat  în Extrasul Registrului d</w:t>
      </w:r>
      <w:r>
        <w:t xml:space="preserve">e Stat al persoanelor juridice sau de către persoana împuternicită atât și în cazul delegării sau împuternicirii persoanei,  la ofertă se anexează actul/documentul de împuternicire și se prezintă conform cerinţelor expuse în anexa nr. 2 în conformitate cu </w:t>
      </w:r>
      <w:r>
        <w:t xml:space="preserve">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completînd anexa nr. 11.</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se verifică după caz, direct de către autoritatea contractantă prin procedurile automate desfășurate în SIA RSAP, prin accesarea unei baze de </w:t>
      </w:r>
      <w:r>
        <w:t xml:space="preserve">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o însoțesc, nu corespunde cerințelor prestabilite în invitația/anunțul de participare, inclusiv în documentația de atribuire sau aceasta nu este </w:t>
      </w:r>
      <w:r>
        <w:t xml:space="preserve">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w:t>
      </w:r>
      <w:r>
        <w:t xml:space="preserve">procedurii de atribuire prevăzută la art. 31 alin. (1) al Legii nr. 131/2015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r>
        <w:rPr>
          <w:bCs/>
          <w:color w:val="000000" w:themeColor="text1"/>
          <w:lang w:eastAsia="it-IT"/>
        </w:rPr>
      </w:r>
    </w:p>
    <w:p>
      <w:pPr>
        <w:pStyle w:val="1006"/>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w:t>
      </w:r>
      <w:r>
        <w:t xml:space="preserve">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r>
        <w:rPr>
          <w:bCs/>
          <w:color w:val="000000"/>
        </w:rPr>
      </w:r>
      <w:r>
        <w:rPr>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sz w:val="22"/>
          <w:szCs w:val="22"/>
          <w:lang w:val="it-IT"/>
        </w:rPr>
        <w:t xml:space="preserve">Anexa nr. 1</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la Documentația standard nr._____</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din “____” ________ 202</w:t>
      </w:r>
      <w:r>
        <w:rPr>
          <w:sz w:val="22"/>
          <w:szCs w:val="22"/>
          <w:lang w:val="it-IT"/>
        </w:rPr>
        <w:t xml:space="preserve">6</w:t>
      </w:r>
      <w:r>
        <w:rPr>
          <w:sz w:val="22"/>
          <w:szCs w:val="22"/>
          <w:lang w:val="it-IT"/>
        </w:rPr>
      </w:r>
      <w:r>
        <w:rPr>
          <w:sz w:val="22"/>
          <w:szCs w:val="22"/>
          <w:lang w:val="it-IT"/>
        </w:rPr>
      </w:r>
    </w:p>
    <w:p>
      <w:pPr>
        <w:pStyle w:val="1034"/>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9"/>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5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sz w:val="22"/>
                <w:szCs w:val="22"/>
              </w:rPr>
            </w:pPr>
            <w:r>
              <w:rPr>
                <w:rFonts w:eastAsia="Calibri"/>
                <w:sz w:val="22"/>
                <w:szCs w:val="22"/>
              </w:rPr>
              <w:t xml:space="preserve">Agenția Teritorială de Asistență Socială Centru</w:t>
            </w:r>
            <w:r>
              <w:rPr>
                <w:rFonts w:eastAsia="Calibri"/>
                <w:sz w:val="22"/>
                <w:szCs w:val="22"/>
              </w:rPr>
            </w:r>
            <w:r>
              <w:rPr>
                <w:rFonts w:eastAsia="Calibri"/>
                <w:sz w:val="22"/>
                <w:szCs w:val="22"/>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b/>
                <w:bCs/>
              </w:rPr>
            </w:pPr>
            <w:r>
              <w:rPr>
                <w:rFonts w:eastAsia="Calibri"/>
                <w:b/>
                <w:bCs/>
              </w:rPr>
              <w:t xml:space="preserve">1023601000164</w:t>
            </w:r>
            <w:r>
              <w:rPr>
                <w:rFonts w:eastAsia="Calibri"/>
                <w:b/>
                <w:bCs/>
              </w:rPr>
            </w:r>
            <w:r>
              <w:rPr>
                <w:rFonts w:eastAsia="Calibri"/>
                <w:b/>
                <w:bCs/>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Or. Ialoveni, str. Alexandru cel Bun 25</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067877177</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bookmarkStart w:id="70" w:name="_Hlk189137284"/>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bookmarkEnd w:id="70"/>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www.restart.md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Olesea Garștea</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Adresa de e-mail sau pagina web oficială de la care se va putea obține accesul liber, direct, total și gratuit la documentația de atribuire </w:t>
            </w: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Tipul autorității contractante și obiectul principal de activitate</w:t>
            </w: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bunurilor/ serviciilor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54"/>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 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54"/>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sz w:val="22"/>
                <w:szCs w:val="22"/>
              </w:rPr>
            </w:pPr>
            <w:r>
              <w:rPr>
                <w:i/>
                <w:sz w:val="22"/>
                <w:szCs w:val="22"/>
                <w:lang w:eastAsia="zh-CN"/>
              </w:rPr>
              <w:t xml:space="preserve">(Numai în cazul anunțurilor transmise spre publicare în Jurnalul Oficial al Uniunii Europene,  în continuare JOUE)</w:t>
            </w:r>
            <w:r>
              <w:rPr>
                <w:rFonts w:eastAsia="Calibri"/>
                <w:sz w:val="22"/>
                <w:szCs w:val="22"/>
              </w:rPr>
            </w:r>
            <w:r>
              <w:rPr>
                <w:rFonts w:eastAsia="Calibri"/>
                <w:sz w:val="22"/>
                <w:szCs w:val="22"/>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color w:val="000000"/>
          <w:sz w:val="22"/>
          <w:szCs w:val="22"/>
          <w:shd w:val="clear" w:color="auto" w:fill="ffffff"/>
        </w:rPr>
      </w:pPr>
      <w:r>
        <w:rPr>
          <w:rFonts w:eastAsia="Calibri"/>
          <w:b/>
          <w:i/>
          <w:color w:val="ff0000"/>
          <w:sz w:val="22"/>
          <w:szCs w:val="22"/>
        </w:rPr>
        <w:t xml:space="preserve">Notă: </w:t>
      </w:r>
      <w:r>
        <w:rPr>
          <w:rFonts w:eastAsia="Calibri"/>
          <w:i/>
          <w:sz w:val="22"/>
          <w:szCs w:val="22"/>
        </w:rPr>
        <w:t xml:space="preserve">A</w:t>
      </w:r>
      <w:r>
        <w:rPr>
          <w:rFonts w:eastAsia="Calibri"/>
          <w:i/>
          <w:color w:val="000000"/>
          <w:sz w:val="22"/>
          <w:szCs w:val="22"/>
          <w:shd w:val="clear" w:color="auto" w:fill="ffffff"/>
        </w:rPr>
        <w:t xml:space="preserve">nunțurile de intenție privind achiziţiile publice pre</w:t>
      </w:r>
      <w:r>
        <w:rPr>
          <w:rFonts w:eastAsia="Calibri"/>
          <w:i/>
          <w:color w:val="000000"/>
          <w:sz w:val="22"/>
          <w:szCs w:val="22"/>
          <w:shd w:val="clear" w:color="auto" w:fill="ffffff"/>
        </w:rPr>
        <w:t xml:space="preserve">conizate se publică în Buletinul achiziţiilor publice în cel mult 30 de zile de la data aprobării bugetului propriu al autorităţii contractante, în mod separat pentru fiecare procedură de achiziție (art.28 al Legii nr.131/2015 privind achizițiile publice).</w:t>
      </w:r>
      <w:r>
        <w:rPr>
          <w:rFonts w:eastAsia="Calibri"/>
          <w:i/>
          <w:color w:val="000000"/>
          <w:sz w:val="22"/>
          <w:szCs w:val="22"/>
          <w:shd w:val="clear" w:color="auto" w:fill="ffffff"/>
        </w:rPr>
      </w:r>
      <w:r>
        <w:rPr>
          <w:rFonts w:eastAsia="Calibri"/>
          <w:i/>
          <w:color w:val="000000"/>
          <w:sz w:val="22"/>
          <w:szCs w:val="22"/>
          <w:shd w:val="clear" w:color="auto" w:fill="ffffff"/>
        </w:rPr>
      </w:r>
    </w:p>
    <w:p>
      <w:pPr>
        <w:pBdr/>
        <w:spacing/>
        <w:ind/>
        <w:jc w:val="right"/>
        <w:rPr>
          <w:sz w:val="22"/>
          <w:szCs w:val="22"/>
          <w:lang w:val="it-IT"/>
        </w:rPr>
      </w:pPr>
      <w:r>
        <w:rPr>
          <w:lang w:val="it-IT"/>
        </w:rPr>
        <w:t xml:space="preserve">Anexa nr. 2</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 INCLUSIV PENTRU PROCEDURILE DE PRESELECȚIE/PROCEDURILE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ro-RO"/>
        </w:rPr>
        <w:t xml:space="preserve">             </w:t>
      </w:r>
      <w:r>
        <w:rPr>
          <w:b/>
          <w:u w:val="single"/>
          <w:shd w:val="clear" w:color="auto" w:fill="ffffff" w:themeFill="background1"/>
          <w:lang w:val="ro-RO"/>
        </w:rPr>
        <w:t xml:space="preserve"> </w:t>
      </w:r>
      <w:r>
        <w:rPr>
          <w:b/>
          <w:u w:val="single"/>
          <w:shd w:val="clear" w:color="auto" w:fill="ffffff" w:themeFill="background1"/>
          <w:lang w:val="it-IT" w:eastAsia="ru-RU"/>
        </w:rPr>
        <w:t xml:space="preserve">Produse petroliere pentru anul 2026</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w:t>
      </w:r>
      <w:r>
        <w:rPr>
          <w:b/>
          <w:lang w:val="ro-RO"/>
        </w:rPr>
        <w:t xml:space="preserve">        </w:t>
      </w:r>
      <w:r>
        <w:rPr>
          <w:b/>
          <w:u w:val="single"/>
          <w:lang w:val="it-IT" w:eastAsia="ru-RU"/>
        </w:rPr>
        <w:t xml:space="preserve">Cererea Ofertelor de Prețuri (COP)</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w:t>
      </w:r>
      <w:r>
        <w:rPr>
          <w:b w:val="0"/>
          <w:bCs w:val="0"/>
          <w:lang w:val="ru-RU" w:eastAsia="ru-RU"/>
        </w:rPr>
        <w:t xml:space="preserve">Agenția Teritorială de Asistență Socială</w:t>
      </w:r>
      <w:r>
        <w:rPr>
          <w:b w:val="0"/>
          <w:bCs w:val="0"/>
          <w:lang w:val="ro-RO"/>
        </w:rPr>
        <w:t xml:space="preserve"> </w:t>
      </w:r>
      <w:r>
        <w:rPr>
          <w:b w:val="0"/>
          <w:bCs w:val="0"/>
          <w:lang w:val="ru-RU" w:eastAsia="ru-RU"/>
        </w:rPr>
        <w:t xml:space="preserve">Centru-Vest Ungheni</w:t>
      </w:r>
      <w:r>
        <w:rPr>
          <w:b w:val="0"/>
          <w:bCs w:val="0"/>
          <w:lang w:val="ru-RU" w:eastAsia="ru-RU"/>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IDNO:</w:t>
      </w:r>
      <w:r>
        <w:rPr>
          <w:b w:val="0"/>
          <w:bCs w:val="0"/>
          <w:lang w:val="ru-RU" w:eastAsia="ru-RU"/>
        </w:rPr>
        <w:t xml:space="preserve">1024601000035</w:t>
      </w:r>
      <w:r>
        <w:rPr>
          <w:b w:val="0"/>
          <w:bCs w:val="0"/>
          <w:lang w:val="ru-RU" w:eastAsia="ru-RU"/>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Adresa</w:t>
      </w:r>
      <w:r>
        <w:rPr>
          <w:b/>
          <w:lang w:val="ro-RO"/>
        </w:rPr>
        <w:t xml:space="preserve"> </w:t>
      </w:r>
      <w:r>
        <w:rPr>
          <w:b w:val="0"/>
          <w:bCs w:val="0"/>
          <w:lang w:val="ro-RO"/>
        </w:rPr>
        <w:t xml:space="preserve"> </w:t>
      </w:r>
      <w:r>
        <w:rPr>
          <w:b w:val="0"/>
          <w:bCs w:val="0"/>
          <w:shd w:val="clear" w:color="auto" w:fill="ffffff" w:themeFill="background1"/>
          <w:lang w:val="ru-RU" w:eastAsia="ru-RU"/>
        </w:rPr>
        <w:t xml:space="preserve">mun.Ungheni, str.Națională nr.50</w:t>
      </w:r>
      <w:r>
        <w:rPr>
          <w:b w:val="0"/>
          <w:bCs w:val="0"/>
          <w:lang w:val="ru-RU" w:eastAsia="ru-RU"/>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val="0"/>
          <w:bCs w:val="0"/>
          <w:shd w:val="clear" w:color="auto" w:fill="ffffff" w:themeFill="background1"/>
          <w:lang w:val="ru-RU" w:eastAsia="ru-RU"/>
        </w:rPr>
        <w:t xml:space="preserve">068384781</w:t>
      </w:r>
      <w:r>
        <w:rPr>
          <w:b/>
          <w:lang w:val="ru-RU" w:eastAsia="ru-RU"/>
        </w:rPr>
      </w:r>
      <w:r>
        <w:rPr>
          <w:b/>
          <w:lang w:val="ru-RU" w:eastAsia="ru-RU"/>
        </w:rPr>
      </w:r>
    </w:p>
    <w:p>
      <w:pPr>
        <w:pBdr/>
        <w:shd w:val="clear" w:color="auto" w:fill="ffffff" w:themeFill="background1"/>
        <w:tabs>
          <w:tab w:val="left" w:leader="none" w:pos="284"/>
          <w:tab w:val="right" w:leader="none" w:pos="9531"/>
        </w:tabs>
        <w:spacing w:before="120"/>
        <w:ind w:hanging="284" w:left="284"/>
        <w:rPr>
          <w:b w:val="0"/>
          <w:bCs w:val="0"/>
        </w:rPr>
      </w:pPr>
      <w:r>
        <w:rPr>
          <w:b/>
          <w:lang w:val="it-IT" w:eastAsia="ru-RU"/>
        </w:rPr>
        <w:t xml:space="preserve">Adresa de e-mail și pagina web oficială ale autorității contractante:</w:t>
      </w:r>
      <w:r>
        <w:rPr>
          <w:b/>
          <w:lang w:val="ro-RO"/>
        </w:rPr>
        <w:t xml:space="preserve">  </w:t>
      </w:r>
      <w:r>
        <w:rPr>
          <w:b w:val="0"/>
          <w:bCs w:val="0"/>
          <w:lang w:val="it-IT" w:eastAsia="ru-RU"/>
        </w:rPr>
        <w:t xml:space="preserve">atas.centruvest@</w:t>
      </w:r>
      <w:r>
        <w:rPr>
          <w:b w:val="0"/>
          <w:bCs w:val="0"/>
          <w:lang w:val="it-IT" w:eastAsia="ru-RU"/>
        </w:rPr>
        <w:t xml:space="preserve">social.gov.md</w:t>
      </w:r>
      <w:r>
        <w:rPr>
          <w:b w:val="0"/>
          <w:bCs w:val="0"/>
          <w:lang w:val="it-IT" w:eastAsia="ru-RU"/>
        </w:rPr>
      </w:r>
      <w:r>
        <w:rPr>
          <w:b w:val="0"/>
          <w:bCs w:val="0"/>
        </w:rPr>
      </w:r>
    </w:p>
    <w:p>
      <w:pPr>
        <w:numPr>
          <w:ilvl w:val="0"/>
          <w:numId w:val="10"/>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0"/>
        </w:numPr>
        <w:pBdr/>
        <w:shd w:val="clear" w:color="auto" w:fill="ffffff" w:themeFill="background1"/>
        <w:tabs>
          <w:tab w:val="left" w:leader="none" w:pos="284"/>
          <w:tab w:val="right" w:leader="none" w:pos="9531"/>
        </w:tabs>
        <w:spacing w:before="120"/>
        <w:ind w:hanging="288" w:left="288"/>
        <w:rPr>
          <w:b w:val="0"/>
          <w:bCs w:val="0"/>
        </w:rPr>
      </w:pPr>
      <w:r>
        <w:rPr>
          <w:b/>
          <w:lang w:val="it-IT" w:eastAsia="ru-RU"/>
        </w:rPr>
        <w:t xml:space="preserve">Tipul autorității contractante și obiectul principal de activitate (dacă este cazul, mențiunea că autoritat</w:t>
      </w:r>
      <w:r>
        <w:rPr>
          <w:b/>
          <w:lang w:val="it-IT" w:eastAsia="ru-RU"/>
        </w:rPr>
        <w:t xml:space="preserve">ea contractantă este o autoritate centrală de achiziție sau că achiziția implică o altă formă de achiziție comună): </w:t>
      </w:r>
      <w:r>
        <w:rPr>
          <w:b w:val="0"/>
          <w:bCs w:val="0"/>
          <w:lang w:val="ro-RO"/>
        </w:rPr>
        <w:t xml:space="preserve">Autoritate contractantă buget de stat</w:t>
      </w:r>
      <w:r>
        <w:rPr>
          <w:b w:val="0"/>
          <w:bCs w:val="0"/>
          <w:lang w:val="it-IT" w:eastAsia="ru-RU"/>
        </w:rPr>
      </w:r>
      <w:r>
        <w:rPr>
          <w:b w:val="0"/>
          <w:bCs w:val="0"/>
        </w:rPr>
      </w:r>
    </w:p>
    <w:p>
      <w:pPr>
        <w:numPr>
          <w:ilvl w:val="0"/>
          <w:numId w:val="10"/>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procedura de achiziție privind livrarea/prestarea următoarelor bunuri/servicii:</w:t>
      </w:r>
      <w:r>
        <w:rPr>
          <w:b/>
          <w:lang w:val="it-IT" w:eastAsia="ru-RU"/>
        </w:rPr>
      </w:r>
      <w:r>
        <w:rPr>
          <w:b/>
          <w:lang w:val="it-IT" w:eastAsia="ru-RU"/>
        </w:rPr>
      </w:r>
    </w:p>
    <w:tbl>
      <w:tblPr>
        <w:tblW w:w="10075" w:type="dxa"/>
        <w:tblInd w:w="-455" w:type="dxa"/>
        <w:tblBorders/>
        <w:tblLayout w:type="fixed"/>
        <w:tblLook w:val="04A0" w:firstRow="1" w:lastRow="0" w:firstColumn="1" w:lastColumn="0" w:noHBand="0" w:noVBand="1"/>
      </w:tblPr>
      <w:tblGrid>
        <w:gridCol w:w="597"/>
        <w:gridCol w:w="1276"/>
        <w:gridCol w:w="208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bunurilor/ serviciilor</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t xml:space="preserve">09100000-0</w:t>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hd w:val="clear" w:color="auto" w:fill="ffffff" w:themeFill="background1"/>
              <w:spacing/>
              <w:ind/>
              <w:jc w:val="center"/>
              <w:rPr>
                <w:b/>
                <w:bCs/>
                <w:sz w:val="20"/>
                <w:szCs w:val="20"/>
                <w:lang w:val="ro-RO"/>
              </w:rPr>
            </w:pPr>
            <w:r>
              <w:rPr>
                <w:b/>
                <w:sz w:val="20"/>
                <w:szCs w:val="20"/>
                <w:lang w:val="ru-RU" w:eastAsia="ru-RU"/>
              </w:rPr>
              <w:t xml:space="preserve">Lotul 1</w:t>
            </w:r>
            <w:r>
              <w:rPr>
                <w:b/>
                <w:sz w:val="20"/>
                <w:szCs w:val="20"/>
                <w:lang w:val="ro-RO"/>
              </w:rPr>
              <w:t xml:space="preserve">-</w:t>
            </w:r>
            <w:r>
              <w:rPr>
                <w:sz w:val="20"/>
                <w:szCs w:val="20"/>
                <w:lang w:val="ru-RU" w:eastAsia="ru-RU"/>
              </w:rPr>
            </w:r>
            <w:r>
              <w:rPr>
                <w:b/>
                <w:bCs/>
                <w:sz w:val="20"/>
                <w:szCs w:val="20"/>
                <w:lang w:val="ro-RO"/>
              </w:rPr>
            </w:r>
          </w:p>
          <w:p>
            <w:pPr>
              <w:pBdr/>
              <w:shd w:val="clear" w:color="auto" w:fill="ffffff" w:themeFill="background1"/>
              <w:spacing/>
              <w:ind/>
              <w:jc w:val="center"/>
              <w:rPr>
                <w:sz w:val="20"/>
                <w:szCs w:val="20"/>
                <w:lang w:val="ru-RU" w:eastAsia="ru-RU"/>
              </w:rPr>
            </w:pPr>
            <w:r>
              <w:rPr>
                <w:b/>
                <w:sz w:val="20"/>
                <w:szCs w:val="20"/>
                <w:lang w:val="ro-RO"/>
              </w:rPr>
              <w:t xml:space="preserve">Produse petroliere</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t xml:space="preserve">09132000-3</w:t>
            </w:r>
            <w:r>
              <w:rPr>
                <w:sz w:val="18"/>
                <w:szCs w:val="18"/>
                <w:lang w:val="ru-RU" w:eastAsia="ru-RU"/>
              </w:rPr>
            </w:r>
            <w:r>
              <w:rPr>
                <w:sz w:val="18"/>
                <w:szCs w:val="18"/>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lang w:val="ru-RU" w:eastAsia="ru-RU"/>
                <w14:ligatures w14:val="none"/>
              </w:rPr>
            </w:pPr>
            <w:r>
              <w:rPr>
                <w:i/>
                <w:sz w:val="22"/>
                <w:szCs w:val="22"/>
                <w:lang w:val="ru-RU" w:eastAsia="ru-RU"/>
              </w:rPr>
            </w:r>
            <w:r>
              <w:rPr>
                <w:sz w:val="22"/>
                <w:szCs w:val="22"/>
                <w:lang w:val="ru-RU" w:eastAsia="ru-RU"/>
              </w:rPr>
              <w:t xml:space="preserve">Benzina Premium </w:t>
            </w:r>
            <w:r>
              <w:rPr>
                <w:sz w:val="22"/>
                <w:szCs w:val="22"/>
              </w:rPr>
            </w:r>
            <w:r>
              <w:rPr>
                <w:sz w:val="22"/>
                <w:szCs w:val="22"/>
                <w:lang w:val="ru-RU" w:eastAsia="ru-RU"/>
                <w14:ligatures w14:val="none"/>
              </w:rPr>
            </w:r>
          </w:p>
          <w:p>
            <w:pPr>
              <w:pBdr/>
              <w:spacing/>
              <w:ind/>
              <w:rPr>
                <w:sz w:val="22"/>
                <w:szCs w:val="22"/>
                <w14:ligatures w14:val="none"/>
              </w:rPr>
            </w:pPr>
            <w:r>
              <w:rPr>
                <w:sz w:val="22"/>
                <w:szCs w:val="22"/>
                <w:lang w:val="ru-RU" w:eastAsia="ru-RU"/>
              </w:rPr>
              <w:t xml:space="preserve">A 95</w:t>
            </w:r>
            <w:r>
              <w:rPr>
                <w:sz w:val="22"/>
                <w:szCs w:val="22"/>
                <w:lang w:val="ru-RU" w:eastAsia="ru-RU"/>
              </w:rPr>
            </w:r>
            <w:r>
              <w:rPr>
                <w:sz w:val="22"/>
                <w:szCs w:val="22"/>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7 000,00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left"/>
              <w:rPr>
                <w:sz w:val="20"/>
                <w:szCs w:val="20"/>
                <w:lang w:val="ru-RU" w:eastAsia="ru-RU"/>
              </w:rPr>
            </w:pPr>
            <w:r>
              <w:rPr>
                <w:sz w:val="20"/>
                <w:szCs w:val="20"/>
                <w:lang w:val="ru-RU" w:eastAsia="ru-RU"/>
              </w:rPr>
            </w:r>
            <w:r>
              <w:rPr>
                <w:sz w:val="20"/>
                <w:szCs w:val="20"/>
                <w:lang w:val="ru-RU" w:eastAsia="ru-RU"/>
              </w:rPr>
              <w:t xml:space="preserve">B</w:t>
            </w:r>
            <w:r>
              <w:rPr>
                <w:sz w:val="20"/>
                <w:szCs w:val="20"/>
                <w:lang w:val="ru-RU" w:eastAsia="ru-RU"/>
              </w:rPr>
              <w:t xml:space="preserve">enzină, cifra octanică 95. Conform standardelor naționale în vigoare. Alimentarea vehiculelor la staţiile furnizorului, pe întreg teritoriu al Republicii Moldova, prin intermediul sistemului de carduri electronice emise de către furnizor pentru fiecare veh</w:t>
            </w:r>
            <w:r>
              <w:rPr>
                <w:sz w:val="20"/>
                <w:szCs w:val="20"/>
                <w:lang w:val="ru-RU" w:eastAsia="ru-RU"/>
              </w:rPr>
              <w:t xml:space="preserve">icul</w:t>
            </w:r>
            <w:r>
              <w:rPr>
                <w:sz w:val="20"/>
                <w:szCs w:val="20"/>
                <w:lang w:val="ro-RO"/>
              </w:rPr>
              <w:t xml:space="preserve">.</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109 083,00</w:t>
            </w:r>
            <w:r>
              <w:rPr>
                <w:b/>
                <w:bCs/>
                <w:sz w:val="20"/>
                <w:szCs w:val="20"/>
                <w:lang w:val="ru-RU" w:eastAsia="ru-RU"/>
              </w:rPr>
            </w:r>
            <w:r>
              <w:rPr>
                <w:b/>
                <w:bCs/>
                <w:sz w:val="20"/>
                <w:szCs w:val="20"/>
              </w:rPr>
            </w:r>
          </w:p>
        </w:tc>
      </w:tr>
      <w:tr>
        <w:trPr>
          <w:trHeight w:val="3401"/>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2</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r>
            <w:r>
              <w:rPr>
                <w:sz w:val="18"/>
                <w:szCs w:val="18"/>
                <w:lang w:val="ru-RU" w:eastAsia="ru-RU"/>
              </w:rPr>
              <w:t xml:space="preserve">09134200-9</w:t>
            </w:r>
            <w:r>
              <w:rPr>
                <w:sz w:val="18"/>
                <w:szCs w:val="18"/>
                <w:lang w:val="ru-RU" w:eastAsia="ru-RU"/>
              </w:rPr>
            </w:r>
            <w:r>
              <w:rPr>
                <w:sz w:val="18"/>
                <w:szCs w:val="18"/>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rPr>
            </w:pPr>
            <w:r>
              <w:rPr>
                <w:sz w:val="22"/>
                <w:szCs w:val="22"/>
              </w:rPr>
            </w:r>
            <w:r>
              <w:rPr>
                <w:sz w:val="22"/>
                <w:szCs w:val="22"/>
              </w:rPr>
              <w:t xml:space="preserve">Motorina Euro 5</w:t>
            </w:r>
            <w:r>
              <w:rPr>
                <w:sz w:val="22"/>
                <w:szCs w:val="22"/>
              </w:rPr>
            </w:r>
            <w:r>
              <w:rPr>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12 000,00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pPr>
            <w:r>
              <w:rPr>
                <w:sz w:val="20"/>
                <w:szCs w:val="20"/>
                <w:lang w:val="ru-RU" w:eastAsia="ru-RU"/>
              </w:rPr>
              <w:t xml:space="preserve">Motorină EURO 5.</w:t>
            </w:r>
            <w:r/>
          </w:p>
          <w:p>
            <w:pPr>
              <w:pBdr/>
              <w:shd w:val="clear" w:color="auto" w:fill="ffffff" w:themeFill="background1"/>
              <w:spacing w:before="120"/>
              <w:ind/>
              <w:jc w:val="center"/>
              <w:rPr/>
            </w:pPr>
            <w:r>
              <w:rPr>
                <w:sz w:val="20"/>
                <w:szCs w:val="20"/>
                <w:lang w:val="ru-RU" w:eastAsia="ru-RU"/>
              </w:rPr>
              <w:t xml:space="preserve">Conform standardelor naționale în vigoare.</w:t>
            </w:r>
            <w:r/>
          </w:p>
          <w:p>
            <w:pPr>
              <w:pBdr/>
              <w:shd w:val="clear" w:color="auto" w:fill="ffffff" w:themeFill="background1"/>
              <w:spacing w:before="120"/>
              <w:ind/>
              <w:jc w:val="center"/>
              <w:rPr>
                <w:sz w:val="20"/>
                <w:szCs w:val="20"/>
                <w:lang w:val="ru-RU" w:eastAsia="ru-RU"/>
              </w:rPr>
            </w:pPr>
            <w:r>
              <w:rPr>
                <w:sz w:val="20"/>
                <w:szCs w:val="20"/>
                <w:lang w:val="ru-RU" w:eastAsia="ru-RU"/>
              </w:rPr>
              <w:t xml:space="preserve">Alimentarea vehiculelor la staţiile furnizorului, pe întreg teritoriul Republicii Moldova, prin intermediul sistemului de carduri electronice emise de către furnizor pentru fiecare vehicul</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219 200,00</w:t>
            </w:r>
            <w:r>
              <w:rPr>
                <w:b/>
                <w:bCs/>
                <w:sz w:val="20"/>
                <w:szCs w:val="20"/>
                <w:lang w:val="ru-RU" w:eastAsia="ru-RU"/>
              </w:rPr>
            </w:r>
            <w:r>
              <w:rPr>
                <w:b/>
                <w:bCs/>
                <w:sz w:val="20"/>
                <w:szCs w:val="20"/>
              </w:rPr>
            </w:r>
          </w:p>
        </w:tc>
      </w:tr>
      <w:tr>
        <w:trPr>
          <w:trHeight w:val="324"/>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3</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t xml:space="preserve">09133000-0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14:ligatures w14:val="none"/>
              </w:rPr>
            </w:pPr>
            <w:r>
              <w:rPr>
                <w:sz w:val="22"/>
                <w:szCs w:val="22"/>
              </w:rPr>
              <w:t xml:space="preserve">Gaz lichefiat GPL</w:t>
            </w:r>
            <w:r>
              <w:rPr>
                <w:sz w:val="22"/>
                <w:szCs w:val="22"/>
              </w:rPr>
            </w:r>
            <w:r>
              <w:rPr>
                <w:sz w:val="22"/>
                <w:szCs w:val="22"/>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500,00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highlight w:val="none"/>
                <w:lang w:val="ru-RU" w:eastAsia="ru-RU"/>
              </w:rPr>
            </w:pPr>
            <w:r>
              <w:rPr>
                <w:sz w:val="20"/>
                <w:szCs w:val="20"/>
                <w:lang w:val="ru-RU" w:eastAsia="ru-RU"/>
              </w:rPr>
            </w:r>
            <w:r>
              <w:rPr>
                <w:sz w:val="20"/>
                <w:szCs w:val="20"/>
                <w:lang w:val="ru-RU" w:eastAsia="ru-RU"/>
              </w:rPr>
              <w:t xml:space="preserve">Carduri valorice; GOST 20448-90 SM SR EN 589:2016</w:t>
            </w:r>
            <w:r>
              <w:rPr>
                <w:sz w:val="20"/>
                <w:szCs w:val="20"/>
                <w:lang w:val="ru-RU" w:eastAsia="ru-RU"/>
              </w:rPr>
            </w:r>
            <w:r>
              <w:rPr>
                <w:sz w:val="20"/>
                <w:szCs w:val="20"/>
                <w:highlight w:val="none"/>
                <w:lang w:val="ru-RU" w:eastAsia="ru-RU"/>
              </w:rPr>
            </w:r>
          </w:p>
          <w:p>
            <w:pPr>
              <w:pBdr/>
              <w:shd w:val="clear" w:color="auto" w:fill="ffffff" w:themeFill="background1"/>
              <w:spacing w:before="120"/>
              <w:ind/>
              <w:jc w:val="center"/>
              <w:rPr>
                <w:sz w:val="20"/>
                <w:szCs w:val="20"/>
                <w:lang w:val="ru-RU" w:eastAsia="ru-RU"/>
              </w:rPr>
            </w:pPr>
            <w:r>
              <w:rPr>
                <w:sz w:val="20"/>
                <w:szCs w:val="20"/>
                <w:highlight w:val="none"/>
                <w:lang w:val="ru-RU" w:eastAsia="ru-RU"/>
              </w:rPr>
            </w:r>
            <w:r>
              <w:rPr>
                <w:sz w:val="20"/>
                <w:szCs w:val="20"/>
                <w:highlight w:val="none"/>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5 417,00</w:t>
            </w:r>
            <w:r>
              <w:rPr>
                <w:b/>
                <w:bCs/>
                <w:sz w:val="20"/>
                <w:szCs w:val="20"/>
                <w:lang w:val="ru-RU" w:eastAsia="ru-RU"/>
              </w:rPr>
            </w:r>
            <w:r>
              <w:rPr>
                <w:b/>
                <w:bCs/>
                <w:sz w:val="20"/>
                <w:szCs w:val="20"/>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333 700,00</w:t>
            </w:r>
            <w:r>
              <w:rPr>
                <w:b/>
                <w:bCs/>
                <w:sz w:val="20"/>
                <w:szCs w:val="20"/>
                <w:lang w:val="ru-RU" w:eastAsia="ru-RU"/>
              </w:rPr>
            </w:r>
            <w:r>
              <w:rPr>
                <w:b/>
                <w:bCs/>
                <w:sz w:val="20"/>
                <w:szCs w:val="20"/>
              </w:rPr>
            </w:r>
          </w:p>
        </w:tc>
      </w:tr>
    </w:tbl>
    <w:p>
      <w:pPr>
        <w:numPr>
          <w:ilvl w:val="0"/>
          <w:numId w:val="10"/>
        </w:numPr>
        <w:pBdr/>
        <w:shd w:val="clear" w:color="auto" w:fill="ffffff" w:themeFill="background1"/>
        <w:tabs>
          <w:tab w:val="right" w:leader="none" w:pos="426"/>
        </w:tabs>
        <w:spacing w:before="120"/>
        <w:ind w:left="360"/>
        <w:rPr>
          <w:b/>
          <w:lang w:eastAsia="ru-RU"/>
        </w:rPr>
      </w:pPr>
      <w:r>
        <w:rPr>
          <w:b/>
          <w:lang w:eastAsia="ru-RU"/>
        </w:rPr>
        <w:t xml:space="preserve">În cazul procedurilor de preselecție se indică numărul minim al candidaţilor şi, dacă este cazul, numărul maxim al acestora.________________________________</w:t>
      </w:r>
      <w:r>
        <w:rPr>
          <w:b/>
          <w:lang w:eastAsia="ru-RU"/>
        </w:rPr>
      </w:r>
      <w:r>
        <w:rPr>
          <w:b/>
          <w:lang w:eastAsia="ru-RU"/>
        </w:rPr>
      </w:r>
    </w:p>
    <w:p>
      <w:pPr>
        <w:numPr>
          <w:ilvl w:val="0"/>
          <w:numId w:val="10"/>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1"/>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1"/>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1"/>
        </w:numPr>
        <w:pBdr/>
        <w:shd w:val="clear" w:color="auto" w:fill="ffffff" w:themeFill="background1"/>
        <w:tabs>
          <w:tab w:val="right" w:leader="none" w:pos="426"/>
        </w:tabs>
        <w:spacing/>
        <w:ind/>
        <w:rPr>
          <w:b/>
          <w:bCs/>
          <w:u w:val="single"/>
        </w:rPr>
      </w:pPr>
      <w:r>
        <w:rPr>
          <w:b/>
          <w:bCs/>
          <w:u w:val="single"/>
          <w:lang w:val="ru-RU" w:eastAsia="ru-RU"/>
        </w:rPr>
        <w:t xml:space="preserve">Pentru</w:t>
      </w:r>
      <w:r>
        <w:rPr>
          <w:b/>
          <w:bCs/>
          <w:u w:val="single"/>
          <w:lang w:eastAsia="ru-RU"/>
        </w:rPr>
        <w:t xml:space="preserve"> </w:t>
      </w:r>
      <w:r>
        <w:rPr>
          <w:b/>
          <w:bCs/>
          <w:u w:val="single"/>
          <w:lang w:val="ru-RU" w:eastAsia="ru-RU"/>
        </w:rPr>
        <w:t xml:space="preserve">toate</w:t>
      </w:r>
      <w:r>
        <w:rPr>
          <w:b/>
          <w:bCs/>
          <w:u w:val="single"/>
          <w:lang w:eastAsia="ru-RU"/>
        </w:rPr>
        <w:t xml:space="preserve"> </w:t>
      </w:r>
      <w:r>
        <w:rPr>
          <w:b/>
          <w:bCs/>
          <w:u w:val="single"/>
          <w:lang w:val="ru-RU" w:eastAsia="ru-RU"/>
        </w:rPr>
        <w:t xml:space="preserve">loturile;</w:t>
      </w:r>
      <w:r>
        <w:rPr>
          <w:b/>
          <w:bCs/>
          <w:u w:val="single"/>
          <w:lang w:val="ru-RU" w:eastAsia="ru-RU"/>
        </w:rPr>
      </w:r>
      <w:r>
        <w:rPr>
          <w:b/>
          <w:bCs/>
          <w:u w:val="single"/>
          <w:lang w:val="ru-RU" w:eastAsia="ru-RU"/>
        </w:rPr>
      </w:r>
    </w:p>
    <w:p>
      <w:pPr>
        <w:numPr>
          <w:ilvl w:val="0"/>
          <w:numId w:val="11"/>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0"/>
        </w:numPr>
        <w:pBdr/>
        <w:shd w:val="clear" w:color="auto" w:fill="ffffff" w:themeFill="background1"/>
        <w:tabs>
          <w:tab w:val="right" w:leader="none" w:pos="426"/>
        </w:tabs>
        <w:spacing w:before="120"/>
        <w:ind w:firstLine="0" w:left="0"/>
        <w:rPr>
          <w:b/>
          <w:bCs/>
          <w:u w:val="single"/>
        </w:rPr>
      </w:pPr>
      <w:r>
        <w:rPr>
          <w:bCs/>
          <w:lang w:val="en-US" w:eastAsia="ru-RU"/>
        </w:rPr>
        <w:t xml:space="preserve">Admiterea sau interzicerea ofertelor alternative: </w:t>
      </w:r>
      <w:r>
        <w:rPr>
          <w:b/>
          <w:bCs/>
          <w:u w:val="single"/>
          <w:lang w:val="ro-RO"/>
        </w:rPr>
        <w:t xml:space="preserve">Nu se admite</w:t>
      </w:r>
      <w:r>
        <w:rPr>
          <w:b/>
          <w:bCs/>
          <w:u w:val="single"/>
          <w:lang w:val="en-US" w:eastAsia="ru-RU"/>
        </w:rPr>
      </w:r>
    </w:p>
    <w:p>
      <w:pPr>
        <w:pBdr/>
        <w:shd w:val="clear" w:color="auto" w:fill="ffffff" w:themeFill="background1"/>
        <w:tabs>
          <w:tab w:val="right" w:leader="none" w:pos="426"/>
        </w:tabs>
        <w:spacing/>
        <w:ind/>
        <w:rPr>
          <w:bCs/>
          <w:sz w:val="20"/>
          <w:lang w:val="en-US" w:eastAsia="ru-RU"/>
        </w:rPr>
      </w:pPr>
      <w:r>
        <w:rPr>
          <w:bCs/>
          <w:sz w:val="20"/>
          <w:lang w:val="en-US" w:eastAsia="ru-RU"/>
        </w:rPr>
        <w:t xml:space="preserve">                                                                                                               (indicați se admite sau nu se admite)</w:t>
      </w:r>
      <w:r>
        <w:rPr>
          <w:bCs/>
          <w:sz w:val="20"/>
          <w:lang w:val="en-US" w:eastAsia="ru-RU"/>
        </w:rPr>
      </w:r>
      <w:r>
        <w:rPr>
          <w:bCs/>
          <w:sz w:val="20"/>
          <w:lang w:val="en-US" w:eastAsia="ru-RU"/>
        </w:rPr>
      </w:r>
    </w:p>
    <w:p>
      <w:pPr>
        <w:numPr>
          <w:ilvl w:val="0"/>
          <w:numId w:val="10"/>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Termenii și condițiile de livrare/prestare solicitați: </w:t>
      </w:r>
      <w:r>
        <w:rPr>
          <w:b/>
          <w:bCs/>
          <w:lang w:val="it-IT" w:eastAsia="ru-RU"/>
        </w:rPr>
      </w:r>
      <w:r>
        <w:rPr>
          <w:b/>
          <w:bCs/>
          <w:lang w:val="ro-RO"/>
        </w:rPr>
        <w:t xml:space="preserve">B</w:t>
      </w:r>
      <w:r>
        <w:rPr>
          <w:b/>
          <w:bCs/>
          <w:lang w:val="it-IT" w:eastAsia="ru-RU"/>
        </w:rPr>
        <w:t xml:space="preserve">unurile se livrează pe bază de carduri</w:t>
      </w:r>
      <w:r>
        <w:rPr>
          <w:b/>
          <w:bCs/>
          <w:lang w:val="ro-RO"/>
        </w:rPr>
        <w:t xml:space="preserve"> </w:t>
      </w:r>
      <w:r>
        <w:rPr>
          <w:b/>
          <w:bCs/>
          <w:lang w:val="it-IT" w:eastAsia="ru-RU"/>
        </w:rPr>
        <w:t xml:space="preserve">valorice, cu posibilitatea de a alimenta automobilele în toate staţiile ofertantului. Cardurile vor fi personalizate pe numele achizitorului, respectiv ”ATAS </w:t>
      </w:r>
      <w:r>
        <w:rPr>
          <w:b/>
          <w:bCs/>
          <w:lang w:val="ro-RO"/>
        </w:rPr>
        <w:t xml:space="preserve">Centru-Vest</w:t>
      </w:r>
      <w:r>
        <w:rPr>
          <w:b/>
          <w:bCs/>
          <w:lang w:val="it-IT" w:eastAsia="ru-RU"/>
        </w:rPr>
        <w:t xml:space="preserve">” şi pe numărul de înmatriculare al autoturismului, care vor conferi utilizatorului dreptul </w:t>
      </w:r>
      <w:r>
        <w:rPr>
          <w:b/>
          <w:bCs/>
          <w:lang w:val="it-IT" w:eastAsia="ru-RU"/>
        </w:rPr>
        <w:t xml:space="preserve">de alimentare numai pentru autovehicolul al cărui număr de înmatriculare este menţionat pe card. În decurs de 2 zile, conform necesităților</w:t>
      </w:r>
      <w:r>
        <w:rPr>
          <w:b/>
          <w:bCs/>
          <w:lang w:val="ro-RO"/>
        </w:rPr>
        <w:t xml:space="preserve"> </w:t>
      </w:r>
      <w:r>
        <w:rPr>
          <w:b/>
          <w:bCs/>
          <w:lang w:val="it-IT" w:eastAsia="ru-RU"/>
        </w:rPr>
        <w:t xml:space="preserve">reale ale cumpărătorului. Operatorul Economic trebuie sa aibă stații de alimentare în orașele </w:t>
      </w:r>
      <w:r>
        <w:rPr>
          <w:b/>
          <w:bCs/>
          <w:lang w:val="ro-RO"/>
        </w:rPr>
        <w:t xml:space="preserve">Ungheni</w:t>
      </w:r>
      <w:r>
        <w:rPr>
          <w:b/>
          <w:bCs/>
          <w:lang w:val="it-IT" w:eastAsia="ru-RU"/>
        </w:rPr>
        <w:t xml:space="preserve">, </w:t>
      </w:r>
      <w:r>
        <w:rPr>
          <w:b/>
          <w:bCs/>
          <w:lang w:val="ro-RO"/>
        </w:rPr>
        <w:t xml:space="preserve">Nisporeni</w:t>
      </w:r>
      <w:r>
        <w:rPr>
          <w:b/>
          <w:bCs/>
          <w:lang w:val="it-IT" w:eastAsia="ru-RU"/>
        </w:rPr>
        <w:t xml:space="preserve">, </w:t>
      </w:r>
      <w:r>
        <w:rPr>
          <w:b/>
          <w:bCs/>
          <w:lang w:val="ro-RO"/>
        </w:rPr>
        <w:t xml:space="preserve">Călărași </w:t>
      </w:r>
      <w:r>
        <w:rPr>
          <w:b/>
          <w:bCs/>
          <w:lang w:val="it-IT" w:eastAsia="ru-RU"/>
        </w:rPr>
        <w:t xml:space="preserve">și mun. Chișinău.</w:t>
      </w:r>
      <w:r/>
      <w:r>
        <w:rPr>
          <w:bCs/>
          <w:lang w:val="it-IT" w:eastAsia="ru-RU"/>
        </w:rPr>
      </w:r>
      <w:r>
        <w:rPr>
          <w:bCs/>
          <w:lang w:val="it-IT" w:eastAsia="ru-RU"/>
        </w:rPr>
      </w:r>
    </w:p>
    <w:p>
      <w:pPr>
        <w:numPr>
          <w:ilvl w:val="0"/>
          <w:numId w:val="10"/>
        </w:numPr>
        <w:pBdr/>
        <w:shd w:val="clear" w:color="auto" w:fill="ffffff" w:themeFill="background1"/>
        <w:tabs>
          <w:tab w:val="left" w:leader="none" w:pos="0"/>
          <w:tab w:val="left" w:leader="none" w:pos="284"/>
          <w:tab w:val="left" w:leader="none" w:pos="426"/>
        </w:tabs>
        <w:spacing w:before="120"/>
        <w:ind w:hanging="284" w:left="284"/>
        <w:rPr>
          <w:b/>
          <w:bCs/>
        </w:rPr>
      </w:pPr>
      <w:r>
        <w:rPr>
          <w:bCs/>
          <w:lang w:val="it-IT" w:eastAsia="ru-RU"/>
        </w:rPr>
        <w:t xml:space="preserve">Termenul de valabilitate a contractului:</w:t>
      </w:r>
      <w:r>
        <w:rPr>
          <w:b/>
          <w:bCs/>
          <w:lang w:val="ro-RO"/>
        </w:rPr>
        <w:t xml:space="preserve">31.12.2026</w:t>
      </w:r>
      <w:r>
        <w:rPr>
          <w:b/>
          <w:bCs/>
          <w:lang w:val="it-IT" w:eastAsia="ru-RU"/>
        </w:rPr>
      </w:r>
    </w:p>
    <w:p>
      <w:pPr>
        <w:numPr>
          <w:ilvl w:val="0"/>
          <w:numId w:val="10"/>
        </w:numPr>
        <w:pBdr/>
        <w:tabs>
          <w:tab w:val="right" w:leader="none" w:pos="426"/>
        </w:tabs>
        <w:spacing w:before="120"/>
        <w:ind w:left="360"/>
        <w:rPr>
          <w:bCs/>
          <w:lang w:val="it-IT" w:eastAsia="ru-RU"/>
        </w:rPr>
      </w:pPr>
      <w:r>
        <w:rPr>
          <w:bCs/>
          <w:lang w:val="it-IT" w:eastAsia="ru-RU"/>
        </w:rPr>
        <w:t xml:space="preserve">Contract de achiziție rezervat atelierelor protejate sau că acesta poate fi executat numai în cadrul unor programe de angajare protejată (după caz): </w:t>
      </w:r>
      <w:r>
        <w:rPr>
          <w:bCs/>
          <w:lang w:val="ro-RO"/>
        </w:rPr>
        <w:t xml:space="preserve">NU</w:t>
      </w:r>
      <w:r>
        <w:rPr>
          <w:bCs/>
          <w:lang w:val="it-IT" w:eastAsia="ru-RU"/>
        </w:rPr>
      </w:r>
      <w:r>
        <w:rPr>
          <w:bCs/>
          <w:lang w:val="it-IT" w:eastAsia="ru-RU"/>
        </w:rPr>
      </w:r>
    </w:p>
    <w:p>
      <w:pPr>
        <w:pBdr/>
        <w:shd w:val="clear" w:color="auto" w:fill="ffffff" w:themeFill="background1"/>
        <w:tabs>
          <w:tab w:val="right" w:leader="none" w:pos="426"/>
        </w:tabs>
        <w:spacing/>
        <w:ind w:hanging="630" w:left="7560"/>
        <w:contextualSpacing w:val="true"/>
        <w:rPr>
          <w:bCs/>
          <w:sz w:val="20"/>
          <w:lang w:val="ru-RU" w:eastAsia="ru-RU"/>
        </w:rPr>
      </w:pPr>
      <w:r>
        <w:rPr>
          <w:bCs/>
          <w:sz w:val="20"/>
          <w:lang w:eastAsia="ru-RU"/>
        </w:rPr>
        <w:t xml:space="preserve">     </w:t>
      </w:r>
      <w:r>
        <w:rPr>
          <w:bCs/>
          <w:sz w:val="20"/>
          <w:lang w:val="ru-RU" w:eastAsia="ru-RU"/>
        </w:rPr>
        <w:t xml:space="preserve">(indicați</w:t>
      </w:r>
      <w:r>
        <w:rPr>
          <w:bCs/>
          <w:sz w:val="20"/>
          <w:lang w:eastAsia="ru-RU"/>
        </w:rPr>
        <w:t xml:space="preserve"> </w:t>
      </w:r>
      <w:r>
        <w:rPr>
          <w:bCs/>
          <w:sz w:val="20"/>
          <w:lang w:val="ru-RU" w:eastAsia="ru-RU"/>
        </w:rPr>
        <w:t xml:space="preserve">da</w:t>
      </w:r>
      <w:r>
        <w:rPr>
          <w:bCs/>
          <w:sz w:val="20"/>
          <w:lang w:eastAsia="ru-RU"/>
        </w:rPr>
        <w:t xml:space="preserve"> </w:t>
      </w:r>
      <w:r>
        <w:rPr>
          <w:bCs/>
          <w:sz w:val="20"/>
          <w:lang w:val="ru-RU" w:eastAsia="ru-RU"/>
        </w:rPr>
        <w:t xml:space="preserve">sau</w:t>
      </w:r>
      <w:r>
        <w:rPr>
          <w:bCs/>
          <w:sz w:val="20"/>
          <w:lang w:eastAsia="ru-RU"/>
        </w:rPr>
        <w:t xml:space="preserve"> </w:t>
      </w:r>
      <w:r>
        <w:rPr>
          <w:bCs/>
          <w:sz w:val="20"/>
          <w:lang w:val="ru-RU" w:eastAsia="ru-RU"/>
        </w:rPr>
        <w:t xml:space="preserve">nu)</w:t>
      </w:r>
      <w:r>
        <w:rPr>
          <w:bCs/>
          <w:sz w:val="20"/>
          <w:lang w:val="ru-RU" w:eastAsia="ru-RU"/>
        </w:rPr>
      </w:r>
      <w:r>
        <w:rPr>
          <w:bCs/>
          <w:sz w:val="20"/>
          <w:lang w:val="ru-RU" w:eastAsia="ru-RU"/>
        </w:rPr>
      </w:r>
    </w:p>
    <w:p>
      <w:pPr>
        <w:numPr>
          <w:ilvl w:val="0"/>
          <w:numId w:val="10"/>
        </w:numPr>
        <w:pBdr/>
        <w:shd w:val="clear" w:color="auto" w:fill="ffffff" w:themeFill="background1"/>
        <w:tabs>
          <w:tab w:val="right" w:leader="none" w:pos="426"/>
        </w:tabs>
        <w:spacing w:before="120"/>
        <w:ind w:left="360"/>
        <w:rPr>
          <w:b/>
          <w:bCs/>
        </w:rPr>
      </w:pPr>
      <w:r>
        <w:rPr>
          <w:bCs/>
          <w:lang w:val="it-IT" w:eastAsia="ru-RU"/>
        </w:rPr>
        <w:tab/>
        <w:t xml:space="preserve">Prestarea serviciului este rezervată unei anumite profesii în temeiul unor legi sau al unor acte administrative (după caz): </w:t>
      </w:r>
      <w:r>
        <w:rPr>
          <w:b/>
          <w:bCs/>
          <w:lang w:val="ro-RO"/>
        </w:rPr>
        <w:t xml:space="preserve">Nu se aplică</w:t>
      </w:r>
      <w:r>
        <w:rPr>
          <w:b/>
          <w:bCs/>
          <w:lang w:val="it-IT" w:eastAsia="ru-RU"/>
        </w:rPr>
      </w:r>
      <w:r>
        <w:rPr>
          <w:b/>
          <w:bCs/>
          <w:lang w:val="it-IT" w:eastAsia="ru-RU"/>
        </w:rPr>
      </w:r>
    </w:p>
    <w:p>
      <w:pPr>
        <w:pBdr/>
        <w:shd w:val="clear" w:color="auto" w:fill="ffffff" w:themeFill="background1"/>
        <w:tabs>
          <w:tab w:val="right" w:leader="none" w:pos="426"/>
        </w:tabs>
        <w:spacing/>
        <w:ind/>
        <w:contextualSpacing w:val="true"/>
        <w:jc w:val="center"/>
        <w:rPr>
          <w:bCs/>
          <w:sz w:val="20"/>
          <w:lang w:val="en-US" w:eastAsia="ru-RU"/>
        </w:rPr>
      </w:pPr>
      <w:r>
        <w:rPr>
          <w:bCs/>
          <w:sz w:val="20"/>
          <w:lang w:val="en-US" w:eastAsia="ru-RU"/>
        </w:rPr>
        <w:t xml:space="preserve">(se menționează respectivele acte cu putere de lege și acte administrative)</w:t>
      </w:r>
      <w:r>
        <w:rPr>
          <w:bCs/>
          <w:sz w:val="20"/>
          <w:lang w:val="en-US" w:eastAsia="ru-RU"/>
        </w:rPr>
      </w:r>
      <w:r>
        <w:rPr>
          <w:bCs/>
          <w:sz w:val="20"/>
          <w:lang w:val="en-US"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Scurta descriere a criteriilor privin</w:t>
      </w:r>
      <w:r>
        <w:rPr>
          <w:bCs/>
          <w:lang w:val="it-IT" w:eastAsia="ru-RU"/>
        </w:rPr>
        <w:t xml:space="preserve">d eligibilitatea operatorilor economici care pot determina eliminarea acestora și a criteriilor de selecție/de preselecție; nivelul minim (nivelurile minime) al (ale) cerințelor eventual impuse; se menționează informațiile solicitate (DUAE, documentație): </w:t>
      </w:r>
      <w:r>
        <w:rPr>
          <w:bCs/>
          <w:lang w:val="it-IT" w:eastAsia="ru-RU"/>
        </w:rPr>
      </w:r>
      <w:r>
        <w:rPr>
          <w:bCs/>
          <w:lang w:val="it-IT" w:eastAsia="ru-RU"/>
        </w:rPr>
      </w:r>
    </w:p>
    <w:tbl>
      <w:tblPr>
        <w:tblStyle w:val="1055"/>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criteriului/cerinței)</w:t>
            </w:r>
            <w:r>
              <w:rPr>
                <w:bCs/>
                <w:iCs/>
                <w:sz w:val="20"/>
                <w:szCs w:val="20"/>
                <w:lang w:val="en-GB" w:eastAsia="ru-RU"/>
              </w:rPr>
            </w:r>
            <w:r>
              <w:rPr>
                <w:bCs/>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w:t>
            </w: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Formularul DUAE</w:t>
            </w:r>
            <w:r>
              <w:rPr>
                <w:bCs/>
                <w:iCs/>
                <w:lang w:val="ru-RU" w:eastAsia="ru-RU"/>
              </w:rPr>
            </w: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Original, completat și confirmat prin aplicarea semnăturii electronice a participantului *(se va prezenta la</w:t>
            </w:r>
            <w:r>
              <w:rPr>
                <w:bCs/>
                <w:iCs/>
                <w:lang w:val="ro-RO"/>
              </w:rPr>
              <w:t xml:space="preserve"> </w:t>
            </w:r>
            <w:r/>
            <w:r>
              <w:rPr>
                <w:bCs/>
                <w:iCs/>
                <w:lang w:val="ru-RU" w:eastAsia="ru-RU"/>
              </w:rPr>
              <w:t xml:space="preserve">depunerea ofertei de către toți ofertanți)</w:t>
            </w:r>
            <w:r/>
            <w:r>
              <w:rPr>
                <w:bCs/>
                <w:iCs/>
                <w:lang w:val="ru-RU" w:eastAsia="ru-RU"/>
              </w:rPr>
            </w:r>
            <w:r>
              <w:rPr>
                <w:bCs/>
                <w:iCs/>
                <w:lang w:val="ru-RU" w:eastAsia="ru-RU"/>
              </w:rPr>
            </w:r>
            <w:r>
              <w:rPr>
                <w:bCs/>
                <w:iCs/>
                <w:lang w:val="ru-RU" w:eastAsia="ru-RU"/>
              </w:rPr>
            </w:r>
            <w:r>
              <w:rPr>
                <w:bCs/>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2</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tehnică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nr.22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3</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de preț</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nr.23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4</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Cerere de participare la procedura de achiziție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nr.7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5</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Declaraţie privind confirmarea identității beneficiarilor efectivi și neîncadrarea acestora în</w:t>
            </w:r>
            <w:r>
              <w:rPr>
                <w:bCs/>
                <w:iCs/>
                <w:lang w:val="ro-RO"/>
              </w:rPr>
              <w:t xml:space="preserve"> </w:t>
            </w:r>
            <w:r/>
            <w:r>
              <w:rPr>
                <w:bCs/>
                <w:iCs/>
                <w:lang w:val="ru-RU" w:eastAsia="ru-RU"/>
              </w:rPr>
              <w:t xml:space="preserve">situația condamnării pentru participarea la activităţi ale unei organizaţii sau grupări</w:t>
            </w:r>
            <w:r>
              <w:rPr>
                <w:bCs/>
                <w:iCs/>
                <w:lang w:val="ro-RO"/>
              </w:rPr>
              <w:t xml:space="preserve"> </w:t>
            </w:r>
            <w:r/>
            <w:r>
              <w:rPr>
                <w:bCs/>
                <w:iCs/>
                <w:lang w:val="ru-RU" w:eastAsia="ru-RU"/>
              </w:rPr>
            </w:r>
            <w:r>
              <w:rPr>
                <w:bCs/>
                <w:iCs/>
                <w:lang w:val="ru-RU" w:eastAsia="ru-RU"/>
              </w:rPr>
              <w:t xml:space="preserve">criminale, pentru corupţie, fraudă şi/sau spălare de bani.</w:t>
            </w:r>
            <w:r/>
            <w:r>
              <w:rPr>
                <w:bCs/>
                <w:iCs/>
                <w:lang w:val="ru-RU" w:eastAsia="ru-RU"/>
              </w:rPr>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Conform Ordinul Ministrului Finanțelor nr. 145 din 24 noiembrie 2020. Completată și semnată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6</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Certificat de efectuare sistematică a plăților</w:t>
            </w:r>
            <w:r>
              <w:rPr>
                <w:bCs/>
                <w:iCs/>
                <w:lang w:val="ro-RO"/>
              </w:rPr>
              <w:t xml:space="preserve"> </w:t>
            </w:r>
            <w:r/>
            <w:r>
              <w:rPr>
                <w:bCs/>
                <w:iCs/>
                <w:lang w:val="ru-RU" w:eastAsia="ru-RU"/>
              </w:rPr>
              <w:t xml:space="preserve">impozitelor, contribuțiilor</w:t>
            </w:r>
            <w:r/>
            <w:r>
              <w:rPr>
                <w:bCs/>
                <w:iCs/>
                <w:lang w:val="ru-RU" w:eastAsia="ru-RU"/>
              </w:rPr>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 – eliberat de Inspectoratul Fiscal (valabilitatea certificatului – 15 zile din data eliberării); confirmat prin semnatura electronică a participantului *</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o-RO"/>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7</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atribuire a contului bancar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banca deținătoare de cont-semnat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8</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Extras din Registru de Stat a persoanei juridice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9</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Declarația privind valabilitatea ofertei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nr.8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10</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conformitate ce confirmă calitatea bunurilor oferite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Organismul abilitat-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11</w:t>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Prezentarea actului ce atestă dreptul de a</w:t>
            </w:r>
            <w:r>
              <w:rPr>
                <w:bCs/>
                <w:iCs/>
                <w:lang w:val="ro-RO"/>
              </w:rPr>
              <w:t xml:space="preserve"> </w:t>
            </w:r>
            <w:r/>
            <w:r>
              <w:rPr>
                <w:bCs/>
                <w:iCs/>
                <w:lang w:val="ru-RU" w:eastAsia="ru-RU"/>
              </w:rPr>
              <w:t xml:space="preserve">comercializa benzină / motorină</w:t>
            </w:r>
            <w:r>
              <w:rPr>
                <w:bCs/>
                <w:iCs/>
                <w:lang w:val="ro-RO"/>
              </w:rPr>
              <w:t xml:space="preserve"> / gaz lichefiat GPL </w:t>
            </w:r>
            <w:r/>
            <w:r>
              <w:rPr>
                <w:bCs/>
                <w:iCs/>
                <w:lang w:val="ru-RU" w:eastAsia="ru-RU"/>
              </w:rPr>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Copia Licenței de activitate și/sau Autorizația</w:t>
            </w:r>
            <w:r>
              <w:rPr>
                <w:bCs/>
                <w:iCs/>
                <w:lang w:val="ro-RO"/>
              </w:rPr>
              <w:t xml:space="preserve"> </w:t>
            </w:r>
            <w:r/>
            <w:r>
              <w:rPr>
                <w:bCs/>
                <w:iCs/>
                <w:lang w:val="ru-RU" w:eastAsia="ru-RU"/>
              </w:rPr>
              <w:t xml:space="preserve">de funcționare confirmat prin ștampilei și</w:t>
            </w:r>
            <w:r>
              <w:rPr>
                <w:bCs/>
                <w:iCs/>
                <w:lang w:val="ro-RO"/>
              </w:rPr>
              <w:t xml:space="preserve"> </w:t>
            </w:r>
            <w:r/>
            <w:r>
              <w:rPr>
                <w:bCs/>
                <w:iCs/>
                <w:lang w:val="ru-RU" w:eastAsia="ru-RU"/>
              </w:rPr>
            </w:r>
            <w:r>
              <w:rPr>
                <w:bCs/>
                <w:iCs/>
                <w:lang w:val="ru-RU" w:eastAsia="ru-RU"/>
              </w:rPr>
              <w:t xml:space="preserve">semnăturii Participantului.</w:t>
            </w:r>
            <w:r/>
            <w:r>
              <w:rPr>
                <w:bCs/>
                <w:iCs/>
                <w:lang w:val="ru-RU" w:eastAsia="ru-RU"/>
              </w:rPr>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12</w:t>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Lista staţiilor de alimentare pentru care</w:t>
            </w:r>
            <w:r>
              <w:rPr>
                <w:bCs/>
                <w:iCs/>
                <w:lang w:val="ro-RO"/>
              </w:rPr>
              <w:t xml:space="preserve"> </w:t>
            </w:r>
            <w:r/>
            <w:r>
              <w:rPr>
                <w:bCs/>
                <w:iCs/>
                <w:lang w:val="ru-RU" w:eastAsia="ru-RU"/>
              </w:rPr>
              <w:t xml:space="preserve">este propusă oferta</w:t>
            </w:r>
            <w:r/>
            <w:r>
              <w:rPr>
                <w:bCs/>
                <w:iCs/>
                <w:lang w:val="ru-RU" w:eastAsia="ru-RU"/>
              </w:rPr>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Original semnat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13</w:t>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Prezentarea de dovezi privind conformitatea produselor, identificată prin referire la specificaţii sau standarde relevante. </w:t>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Copia Certificatului de conformitate sau declarație de conformitate eliberat/eliberată de un organism de certificare acreditat</w:t>
            </w:r>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14</w:t>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NOTĂ: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color w:val="5b9bd5" w:themeColor="accent1"/>
              </w:rPr>
            </w:pPr>
            <w:r>
              <w:rPr>
                <w:bCs/>
                <w:iCs/>
                <w:color w:val="5b9bd5" w:themeColor="accent1"/>
                <w:lang w:val="ru-RU" w:eastAsia="ru-RU"/>
              </w:rPr>
              <w:t xml:space="preserve">- Contractele vor fi perfectate de către operatorii economici în parte ce ține de datele de identitate ale</w:t>
            </w:r>
            <w:r>
              <w:rPr>
                <w:bCs/>
                <w:iCs/>
                <w:color w:val="5b9bd5" w:themeColor="accent1"/>
                <w:lang w:val="ro-RO"/>
              </w:rPr>
              <w:t xml:space="preserve"> </w:t>
            </w:r>
            <w:r>
              <w:rPr>
                <w:bCs/>
                <w:iCs/>
                <w:color w:val="5b9bd5" w:themeColor="accent1"/>
                <w:lang w:val="ru-RU" w:eastAsia="ru-RU"/>
              </w:rPr>
              <w:t xml:space="preserve">operatorului economic, rechizitele bancare, suma totală a contractului și specificațiile tehnice și de preț. Va fi completat modelul de contract remis de către autoritatea contractantă la expirarea termenului de așteptare.</w:t>
            </w:r>
            <w:r>
              <w:rPr>
                <w:color w:val="5b9bd5" w:themeColor="accent1"/>
              </w:rPr>
            </w:r>
            <w:r>
              <w:rPr>
                <w:bCs/>
                <w:iCs/>
                <w:color w:val="5b9bd5" w:themeColor="accent1"/>
                <w:lang w:val="ru-RU" w:eastAsia="ru-RU"/>
              </w:rPr>
            </w:r>
          </w:p>
          <w:p>
            <w:pPr>
              <w:pBdr/>
              <w:shd w:val="clear" w:color="auto" w:fill="ffffff" w:themeFill="background1"/>
              <w:tabs>
                <w:tab w:val="left" w:leader="none" w:pos="612"/>
              </w:tabs>
              <w:spacing w:after="120" w:before="120"/>
              <w:ind/>
              <w:rPr>
                <w:bCs/>
                <w:iCs/>
                <w:color w:val="5b9bd5" w:themeColor="accent1"/>
              </w:rPr>
            </w:pPr>
            <w:r>
              <w:rPr>
                <w:bCs/>
                <w:iCs/>
                <w:color w:val="5b9bd5" w:themeColor="accent1"/>
                <w:lang w:val="ru-RU" w:eastAsia="ru-RU"/>
              </w:rPr>
              <w:t xml:space="preserve">- Semnătura electronica se va aplica pe spațiu curat (alb) al documentului, astfel încât datele de pe semnătură și datele din document să fie vizibile. </w:t>
            </w:r>
            <w:r>
              <w:rPr>
                <w:bCs/>
                <w:iCs/>
                <w:color w:val="5b9bd5" w:themeColor="accent1"/>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p>
        </w:tc>
      </w:tr>
    </w:tbl>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Garanția pentru ofertă, după caz________</w:t>
      </w:r>
      <w:r>
        <w:rPr>
          <w:bCs/>
          <w:lang w:val="ro-RO"/>
        </w:rPr>
        <w:t xml:space="preserve">-</w:t>
      </w:r>
      <w:r>
        <w:rPr>
          <w:bCs/>
          <w:lang w:val="it-IT" w:eastAsia="ru-RU"/>
        </w:rPr>
        <w:t xml:space="preserve">______</w:t>
      </w:r>
      <w:r>
        <w:rPr>
          <w:bCs/>
        </w:rPr>
        <w:t xml:space="preserve">, </w:t>
      </w:r>
      <w:r>
        <w:rPr>
          <w:bCs/>
          <w:lang w:val="it-IT" w:eastAsia="ru-RU"/>
        </w:rPr>
        <w:t xml:space="preserve">cuantumul_______</w:t>
      </w:r>
      <w:r>
        <w:rPr>
          <w:bCs/>
          <w:lang w:val="ro-RO"/>
        </w:rPr>
        <w:t xml:space="preserve">-</w:t>
      </w:r>
      <w:r>
        <w:rPr>
          <w:bCs/>
          <w:lang w:val="it-IT" w:eastAsia="ru-RU"/>
        </w:rPr>
        <w:t xml:space="preserve">__________.</w:t>
      </w:r>
      <w:r>
        <w:rPr>
          <w:bCs/>
          <w:lang w:val="it-IT" w:eastAsia="ru-RU"/>
        </w:rPr>
      </w:r>
      <w:r>
        <w:rPr>
          <w:bCs/>
          <w:lang w:val="it-IT" w:eastAsia="ru-RU"/>
        </w:rPr>
      </w:r>
    </w:p>
    <w:p>
      <w:pPr>
        <w:pStyle w:val="990"/>
        <w:numPr>
          <w:ilvl w:val="0"/>
          <w:numId w:val="10"/>
        </w:numPr>
        <w:pBdr/>
        <w:spacing/>
        <w:ind w:hanging="426" w:left="426"/>
        <w:rPr>
          <w:bCs/>
          <w:lang w:val="it-IT" w:eastAsia="ru-RU"/>
        </w:rPr>
      </w:pPr>
      <w:r>
        <w:rPr>
          <w:bCs/>
          <w:lang w:val="it-IT" w:eastAsia="ru-RU"/>
        </w:rPr>
        <w:t xml:space="preserve">Garanția de bună execuție a contractului, după caz________</w:t>
      </w:r>
      <w:r>
        <w:rPr>
          <w:bCs/>
          <w:lang w:val="ro-RO"/>
        </w:rPr>
        <w:t xml:space="preserve">-</w:t>
      </w:r>
      <w:r>
        <w:rPr>
          <w:bCs/>
          <w:lang w:val="it-IT" w:eastAsia="ru-RU"/>
        </w:rPr>
        <w:t xml:space="preserve">______, cuantumul_.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Motivul recurgerii la procedura accelerată (în cazul licitației deschise, restrânse și a procedurii negociate), după caz_______________________________________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rPr>
          <w:b/>
          <w:bCs/>
        </w:rPr>
      </w:pPr>
      <w:r>
        <w:rPr>
          <w:bCs/>
          <w:lang w:val="it-IT" w:eastAsia="ru-RU"/>
        </w:rPr>
        <w:t xml:space="preserve">Tehnici și instrumente specifice de atribuire (dacă este cazul specificați dacă se va utiliza acordul-cadru, sistemul dinamic de achiziție sau licitația electronică):</w:t>
      </w:r>
      <w:r>
        <w:rPr>
          <w:bCs/>
          <w:lang w:val="ro-RO"/>
        </w:rPr>
        <w:t xml:space="preserve"> </w:t>
      </w:r>
      <w:r>
        <w:rPr>
          <w:b/>
          <w:bCs/>
          <w:lang w:val="ro-RO"/>
        </w:rPr>
        <w:t xml:space="preserve">Licitația electronică </w:t>
      </w:r>
      <w:r>
        <w:rPr>
          <w:b/>
          <w:bCs/>
          <w:lang w:val="ro-RO"/>
        </w:rPr>
        <w:t xml:space="preserve">pas minim 1%, runde - conform SIA RSAP, data - conform SIA RSAP</w:t>
      </w:r>
      <w:r>
        <w:rPr>
          <w:b/>
          <w:bCs/>
          <w:lang w:val="ro-RO"/>
        </w:rPr>
      </w:r>
      <w:r>
        <w:rPr>
          <w:b/>
          <w:bCs/>
          <w:lang w:val="it-IT" w:eastAsia="ru-RU"/>
        </w:rPr>
      </w:r>
    </w:p>
    <w:p>
      <w:pPr>
        <w:numPr>
          <w:ilvl w:val="0"/>
          <w:numId w:val="10"/>
        </w:numPr>
        <w:pBdr/>
        <w:tabs>
          <w:tab w:val="right" w:leader="none" w:pos="426"/>
        </w:tabs>
        <w:spacing w:before="120"/>
        <w:ind w:firstLine="0" w:left="0"/>
        <w:rPr>
          <w:lang w:val="it-IT" w:eastAsia="ru-RU"/>
        </w:rPr>
      </w:pPr>
      <w:r>
        <w:rPr>
          <w:bCs/>
          <w:lang w:val="it-IT" w:eastAsia="ru-RU"/>
        </w:rPr>
        <w:t xml:space="preserve">Condiții speciale de care depinde îndeplinirea contractului (indicați după caz): </w:t>
      </w:r>
      <w:r>
        <w:rPr>
          <w:bCs/>
          <w:lang w:val="it-IT" w:eastAsia="ru-RU"/>
        </w:rPr>
      </w:r>
    </w:p>
    <w:p>
      <w:pPr>
        <w:pBdr/>
        <w:tabs>
          <w:tab w:val="right" w:leader="none" w:pos="426"/>
        </w:tabs>
        <w:spacing w:before="120"/>
        <w:ind w:firstLine="0" w:left="0"/>
        <w:rPr>
          <w:b/>
          <w:bCs/>
        </w:rPr>
      </w:pPr>
      <w:r>
        <w:rPr>
          <w:b/>
          <w:bCs/>
          <w:lang w:val="it-IT" w:eastAsia="ru-RU"/>
        </w:rPr>
        <w:t xml:space="preserve">Ofertele se vor prezenta în conformitate cu secțiunea a 3-a din Documentația Standard pentru realizarea achizițiilor</w:t>
      </w:r>
      <w:r>
        <w:rPr>
          <w:b/>
          <w:bCs/>
        </w:rPr>
        <w:t xml:space="preserve"> </w:t>
      </w:r>
      <w:r>
        <w:rPr>
          <w:b/>
          <w:bCs/>
        </w:rPr>
      </w:r>
      <w:r>
        <w:rPr>
          <w:b/>
          <w:bCs/>
          <w:lang w:val="it-IT" w:eastAsia="ru-RU"/>
        </w:rPr>
        <w:t xml:space="preserve">publice de bunuri și servicii aprobată prin ord.Ministerului Finanțelor nr.115 din 15.09.2021</w:t>
      </w:r>
      <w:r/>
      <w:r>
        <w:rPr>
          <w:b/>
          <w:bCs/>
        </w:rPr>
      </w:r>
    </w:p>
    <w:p>
      <w:pPr>
        <w:numPr>
          <w:ilvl w:val="0"/>
          <w:numId w:val="10"/>
        </w:numPr>
        <w:pBdr/>
        <w:tabs>
          <w:tab w:val="right" w:leader="none" w:pos="426"/>
        </w:tabs>
        <w:spacing w:before="120"/>
        <w:ind w:firstLine="0" w:left="0"/>
        <w:rPr>
          <w:bCs/>
          <w:lang w:val="it-IT" w:eastAsia="ru-RU"/>
        </w:rPr>
      </w:pPr>
      <w:r/>
      <w:bookmarkStart w:id="72" w:name="_Hlk71621175"/>
      <w:r>
        <w:rPr>
          <w:bCs/>
          <w:lang w:val="it-IT" w:eastAsia="ru-RU"/>
        </w:rPr>
        <w:t xml:space="preserve">Ofertele se prezintă în valuta</w:t>
      </w:r>
      <w:r>
        <w:rPr>
          <w:bCs/>
          <w:lang w:val="ro-RO"/>
        </w:rPr>
        <w:t xml:space="preserve"> lei MDL.</w:t>
      </w:r>
      <w:r>
        <w:rPr>
          <w:bCs/>
          <w:lang w:val="it-IT" w:eastAsia="ru-RU"/>
        </w:rPr>
      </w:r>
    </w:p>
    <w:p>
      <w:pPr>
        <w:numPr>
          <w:ilvl w:val="0"/>
          <w:numId w:val="10"/>
        </w:numPr>
        <w:pBdr/>
        <w:tabs>
          <w:tab w:val="right" w:leader="none" w:pos="426"/>
        </w:tabs>
        <w:spacing w:before="120"/>
        <w:ind w:firstLine="0" w:left="0"/>
        <w:rPr>
          <w:b/>
          <w:bCs/>
        </w:rPr>
      </w:pPr>
      <w:r>
        <w:rPr>
          <w:bCs/>
          <w:lang w:val="it-IT" w:eastAsia="ru-RU"/>
        </w:rPr>
        <w:t xml:space="preserve">Criteriul de evaluare aplicat pentru atribuirea contractului: </w:t>
      </w:r>
      <w:r>
        <w:rPr>
          <w:bCs/>
          <w:lang w:val="it-IT" w:eastAsia="ru-RU"/>
        </w:rPr>
        <w:t xml:space="preserve">p</w:t>
      </w:r>
      <w:r>
        <w:rPr>
          <w:b/>
          <w:bCs/>
          <w:lang w:val="it-IT" w:eastAsia="ru-RU"/>
        </w:rPr>
        <w:t xml:space="preserve">rețul cel mai scăzut conform cerințelor solicitate</w:t>
      </w:r>
      <w:r>
        <w:rPr>
          <w:b/>
          <w:bCs/>
          <w:lang w:val="ro-RO"/>
        </w:rPr>
        <w:t xml:space="preserve"> (Ținînd cont de cel mai mare discount oferit de ofertant)</w:t>
      </w:r>
      <w:r>
        <w:rPr>
          <w:b/>
          <w:bCs/>
          <w:lang w:val="it-IT" w:eastAsia="ru-RU"/>
        </w:rPr>
      </w:r>
    </w:p>
    <w:p>
      <w:pPr>
        <w:numPr>
          <w:ilvl w:val="0"/>
          <w:numId w:val="10"/>
        </w:numPr>
        <w:pBdr/>
        <w:tabs>
          <w:tab w:val="right" w:leader="none" w:pos="426"/>
        </w:tabs>
        <w:spacing w:before="120"/>
        <w:ind w:firstLine="0" w:left="0"/>
        <w:jc w:val="both"/>
        <w:rPr>
          <w:bCs/>
          <w:lang w:val="it-IT" w:eastAsia="ru-RU"/>
        </w:rPr>
      </w:pPr>
      <w:r>
        <w:rPr>
          <w:bCs/>
          <w:lang w:val="it-IT" w:eastAsia="ru-RU"/>
        </w:rPr>
        <w:t xml:space="preserve">Factorii de evaluare a ofertei celei mai avantajoase din punct de vedere economic, precum și ponderile lor:</w:t>
      </w:r>
      <w:r>
        <w:rPr>
          <w:bCs/>
          <w:lang w:val="it-IT" w:eastAsia="ru-RU"/>
        </w:rPr>
      </w:r>
      <w:r>
        <w:rPr>
          <w:bCs/>
          <w:lang w:val="it-IT" w:eastAsia="ru-RU"/>
        </w:rPr>
      </w:r>
    </w:p>
    <w:p>
      <w:pPr>
        <w:pBdr/>
        <w:tabs>
          <w:tab w:val="right" w:leader="none" w:pos="426"/>
        </w:tabs>
        <w:spacing w:before="120"/>
        <w:ind w:left="360"/>
        <w:rPr>
          <w:bCs/>
          <w:lang w:val="it-IT" w:eastAsia="ru-RU"/>
        </w:rPr>
      </w:pPr>
      <w:r>
        <w:rPr>
          <w:bCs/>
          <w:lang w:val="it-IT" w:eastAsia="ru-RU"/>
        </w:rPr>
      </w:r>
      <w:r>
        <w:rPr>
          <w:bCs/>
          <w:lang w:val="it-IT" w:eastAsia="ru-RU"/>
        </w:rPr>
      </w:r>
      <w:r>
        <w:rPr>
          <w:bCs/>
          <w:lang w:val="it-IT" w:eastAsia="ru-RU"/>
        </w:rPr>
      </w:r>
    </w:p>
    <w:tbl>
      <w:tblPr>
        <w:tblStyle w:val="1055"/>
        <w:tblW w:w="0" w:type="auto"/>
        <w:tblBorders/>
        <w:tblLook w:val="04A0" w:firstRow="1" w:lastRow="0" w:firstColumn="1" w:lastColumn="0" w:noHBand="0" w:noVBand="1"/>
      </w:tblPr>
      <w:tblGrid>
        <w:gridCol w:w="565"/>
        <w:gridCol w:w="6475"/>
        <w:gridCol w:w="1715"/>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Denumirea</w:t>
            </w:r>
            <w:r>
              <w:rPr>
                <w:bCs/>
                <w:iCs/>
                <w:sz w:val="20"/>
                <w:szCs w:val="20"/>
                <w:lang w:eastAsia="ru-RU"/>
              </w:rPr>
              <w:t xml:space="preserve"> </w:t>
            </w:r>
            <w:r>
              <w:rPr>
                <w:bCs/>
                <w:iCs/>
                <w:sz w:val="20"/>
                <w:szCs w:val="20"/>
                <w:lang w:val="ru-RU" w:eastAsia="ru-RU"/>
              </w:rPr>
              <w:t xml:space="preserve">factorului</w:t>
            </w:r>
            <w:r>
              <w:rPr>
                <w:bCs/>
                <w:iCs/>
                <w:sz w:val="20"/>
                <w:szCs w:val="20"/>
                <w:lang w:eastAsia="ru-RU"/>
              </w:rPr>
              <w:t xml:space="preserve"> </w:t>
            </w:r>
            <w:r>
              <w:rPr>
                <w:bCs/>
                <w:iCs/>
                <w:sz w:val="20"/>
                <w:szCs w:val="20"/>
                <w:lang w:val="ru-RU" w:eastAsia="ru-RU"/>
              </w:rPr>
              <w:t xml:space="preserve">de</w:t>
            </w:r>
            <w:r>
              <w:rPr>
                <w:bCs/>
                <w:iCs/>
                <w:sz w:val="20"/>
                <w:szCs w:val="20"/>
                <w:lang w:eastAsia="ru-RU"/>
              </w:rPr>
              <w:t xml:space="preserve"> </w:t>
            </w:r>
            <w:r>
              <w:rPr>
                <w:bCs/>
                <w:iCs/>
                <w:sz w:val="20"/>
                <w:szCs w:val="20"/>
                <w:lang w:val="ru-RU" w:eastAsia="ru-RU"/>
              </w:rPr>
              <w:t xml:space="preserve">evaluare</w:t>
            </w:r>
            <w:r>
              <w:rPr>
                <w:bCs/>
                <w:iCs/>
                <w:sz w:val="20"/>
                <w:szCs w:val="20"/>
                <w:lang w:val="ru-RU" w:eastAsia="ru-RU"/>
              </w:rPr>
            </w:r>
            <w:r>
              <w:rPr>
                <w:bCs/>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Ponderea%</w:t>
            </w:r>
            <w:r>
              <w:rPr>
                <w:bCs/>
                <w:iCs/>
                <w:sz w:val="20"/>
                <w:szCs w:val="20"/>
                <w:lang w:val="ru-RU" w:eastAsia="ru-RU"/>
              </w:rPr>
            </w:r>
            <w:r>
              <w:rPr>
                <w:bCs/>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u w:val="single"/>
              </w:rPr>
            </w:pPr>
            <w:r>
              <w:rPr>
                <w:bCs/>
                <w:iCs/>
                <w:lang w:val="ro-RO"/>
              </w:rPr>
              <w:t xml:space="preserve">                                          </w:t>
            </w:r>
            <w:r>
              <w:rPr>
                <w:bCs/>
                <w:iCs/>
                <w:u w:val="single"/>
                <w:lang w:val="ro-RO"/>
              </w:rPr>
              <w:t xml:space="preserve"> Nu se aplică</w:t>
            </w:r>
            <w:r>
              <w:rPr>
                <w:bCs/>
                <w:iCs/>
                <w:u w:val="single"/>
                <w:lang w:val="ru-RU" w:eastAsia="ru-RU"/>
              </w:rPr>
            </w:r>
            <w:r>
              <w:rPr>
                <w:bCs/>
                <w:iCs/>
                <w:u w:val="single"/>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Termenul limită de depunere/deschidere a ofertelor:</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rPr>
          <w:bCs/>
          <w:lang w:val="en-US" w:eastAsia="ru-RU"/>
        </w:rPr>
      </w:pPr>
      <w:r>
        <w:rPr>
          <w:bCs/>
          <w:lang w:eastAsia="ru-RU"/>
        </w:rPr>
        <w:t xml:space="preserve">conform SIA RSAP /p</w:t>
      </w:r>
      <w:r>
        <w:rPr>
          <w:bCs/>
          <w:lang w:val="en-US" w:eastAsia="ru-RU"/>
        </w:rPr>
        <w:t xml:space="preserve">ână</w:t>
      </w:r>
      <w:r>
        <w:rPr>
          <w:bCs/>
          <w:lang w:eastAsia="ru-RU"/>
        </w:rPr>
        <w:t xml:space="preserve"> </w:t>
      </w:r>
      <w:r>
        <w:rPr>
          <w:bCs/>
          <w:lang w:val="en-US" w:eastAsia="ru-RU"/>
        </w:rPr>
        <w:t xml:space="preserve">la: </w:t>
      </w:r>
      <w:r>
        <w:rPr>
          <w:bCs/>
          <w:i/>
          <w:lang w:val="en-US" w:eastAsia="ru-RU"/>
        </w:rPr>
        <w:t xml:space="preserve">[ora</w:t>
      </w:r>
      <w:r>
        <w:rPr>
          <w:bCs/>
          <w:i/>
          <w:lang w:eastAsia="ru-RU"/>
        </w:rPr>
        <w:t xml:space="preserve"> </w:t>
      </w:r>
      <w:r>
        <w:rPr>
          <w:bCs/>
          <w:i/>
          <w:lang w:val="en-US" w:eastAsia="ru-RU"/>
        </w:rPr>
        <w:t xml:space="preserve">exactă]</w:t>
      </w:r>
      <w:r>
        <w:rPr>
          <w:bCs/>
          <w:i/>
          <w:lang w:val="en-US" w:eastAsia="ru-RU"/>
        </w:rPr>
        <w:t xml:space="preserve">Conform informației din SIA RSAP „MTender”</w:t>
      </w:r>
      <w:r>
        <w:rPr>
          <w:bCs/>
          <w:i/>
          <w:lang w:val="en-US" w:eastAsia="ru-RU"/>
        </w:rPr>
      </w:r>
      <w:r>
        <w:rPr>
          <w:bCs/>
          <w:lang w:val="en-US" w:eastAsia="ru-RU"/>
        </w:rPr>
      </w:r>
    </w:p>
    <w:p>
      <w:pPr>
        <w:numPr>
          <w:ilvl w:val="0"/>
          <w:numId w:val="12"/>
        </w:numPr>
        <w:pBdr/>
        <w:shd w:val="clear" w:color="auto" w:fill="ffffff" w:themeFill="background1"/>
        <w:tabs>
          <w:tab w:val="right" w:leader="none" w:pos="426"/>
        </w:tabs>
        <w:spacing w:before="120"/>
        <w:ind/>
        <w:rPr>
          <w:b/>
          <w:lang w:val="ru-RU" w:eastAsia="ru-RU"/>
        </w:rPr>
      </w:pPr>
      <w:r>
        <w:rPr>
          <w:bCs/>
          <w:lang w:val="ru-RU" w:eastAsia="ru-RU"/>
        </w:rPr>
        <w:t xml:space="preserve">pe: </w:t>
      </w:r>
      <w:r>
        <w:rPr>
          <w:bCs/>
          <w:i/>
          <w:lang w:val="ru-RU" w:eastAsia="ru-RU"/>
        </w:rPr>
        <w:t xml:space="preserve">[data]</w:t>
      </w:r>
      <w:r>
        <w:rPr>
          <w:bCs/>
          <w:i/>
          <w:lang w:val="ru-RU" w:eastAsia="ru-RU"/>
        </w:rPr>
        <w:t xml:space="preserve">Conform informației din SIA RSAP „MTender”</w:t>
      </w:r>
      <w:r>
        <w:rPr>
          <w:bCs/>
          <w:i/>
          <w:lang w:val="ru-RU" w:eastAsia="ru-RU"/>
        </w:rPr>
      </w:r>
      <w:r>
        <w:rPr>
          <w:b/>
          <w:lang w:val="ru-RU" w:eastAsia="ru-RU"/>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Adresa la care trebuie transmise ofertele sau cererile de participare: </w:t>
      </w:r>
      <w:r>
        <w:rPr>
          <w:bCs/>
          <w:lang w:val="it-IT" w:eastAsia="ru-RU"/>
        </w:rPr>
      </w:r>
      <w:r>
        <w:rPr>
          <w:bCs/>
          <w:lang w:val="it-IT" w:eastAsia="ru-RU"/>
        </w:rPr>
      </w:r>
    </w:p>
    <w:p>
      <w:pPr>
        <w:pBdr/>
        <w:shd w:val="clear" w:color="auto" w:fill="ffffff" w:themeFill="background1"/>
        <w:tabs>
          <w:tab w:val="right" w:leader="none" w:pos="426"/>
        </w:tabs>
        <w:spacing w:before="120"/>
        <w:ind w:left="450"/>
        <w:jc w:val="both"/>
        <w:rPr>
          <w:bCs/>
          <w:lang w:val="it-IT" w:eastAsia="ru-RU"/>
        </w:rPr>
      </w:pPr>
      <w:r>
        <w:rPr>
          <w:bCs/>
          <w:i/>
          <w:lang w:val="it-IT" w:eastAsia="ru-RU"/>
        </w:rPr>
        <w:t xml:space="preserve">Ofertele sau cererile de participare vor fi depuse electronic prin intermediul SIA RSAP</w:t>
      </w:r>
      <w:r>
        <w:rPr>
          <w:bCs/>
          <w:lang w:val="it-IT" w:eastAsia="ru-RU"/>
        </w:rPr>
      </w:r>
      <w:r>
        <w:rPr>
          <w:bCs/>
          <w:lang w:val="it-IT" w:eastAsia="ru-RU"/>
        </w:rPr>
      </w:r>
    </w:p>
    <w:p>
      <w:pPr>
        <w:numPr>
          <w:ilvl w:val="0"/>
          <w:numId w:val="10"/>
        </w:numPr>
        <w:pBdr/>
        <w:tabs>
          <w:tab w:val="right" w:leader="none" w:pos="426"/>
        </w:tabs>
        <w:spacing w:before="120"/>
        <w:ind w:firstLine="0" w:left="0"/>
        <w:rPr>
          <w:bCs/>
          <w:lang w:val="it-IT" w:eastAsia="ru-RU"/>
        </w:rPr>
      </w:pPr>
      <w:r>
        <w:rPr>
          <w:bCs/>
          <w:lang w:val="it-IT" w:eastAsia="ru-RU"/>
        </w:rPr>
        <w:t xml:space="preserve">Termenul de valabilitate a ofertelor: </w:t>
      </w:r>
      <w:r>
        <w:rPr>
          <w:bCs/>
          <w:lang w:val="it-IT" w:eastAsia="ru-RU"/>
        </w:rPr>
        <w:t xml:space="preserve">60 zile</w:t>
      </w:r>
      <w:r>
        <w:rPr>
          <w:bCs/>
          <w:lang w:val="it-IT" w:eastAsia="ru-RU"/>
        </w:rPr>
      </w:r>
      <w:r>
        <w:rPr>
          <w:bCs/>
          <w:lang w:val="it-IT" w:eastAsia="ru-RU"/>
        </w:rPr>
      </w:r>
    </w:p>
    <w:p>
      <w:pPr>
        <w:numPr>
          <w:ilvl w:val="0"/>
          <w:numId w:val="10"/>
        </w:numPr>
        <w:pBdr/>
        <w:tabs>
          <w:tab w:val="right" w:leader="none" w:pos="426"/>
        </w:tabs>
        <w:spacing w:before="120"/>
        <w:ind w:firstLine="0" w:left="0"/>
        <w:rPr>
          <w:bCs/>
          <w:u w:val="single"/>
        </w:rPr>
      </w:pPr>
      <w:r>
        <w:rPr>
          <w:bCs/>
          <w:lang w:val="ru-RU" w:eastAsia="ru-RU"/>
        </w:rPr>
        <w:t xml:space="preserve">Locul</w:t>
      </w:r>
      <w:r>
        <w:rPr>
          <w:bCs/>
          <w:lang w:eastAsia="ru-RU"/>
        </w:rPr>
        <w:t xml:space="preserve"> </w:t>
      </w:r>
      <w:r>
        <w:rPr>
          <w:bCs/>
          <w:lang w:val="ru-RU" w:eastAsia="ru-RU"/>
        </w:rPr>
        <w:t xml:space="preserve">deschiderii</w:t>
      </w:r>
      <w:r>
        <w:rPr>
          <w:bCs/>
          <w:lang w:eastAsia="ru-RU"/>
        </w:rPr>
        <w:t xml:space="preserve"> </w:t>
      </w:r>
      <w:r>
        <w:rPr>
          <w:bCs/>
          <w:lang w:val="ru-RU" w:eastAsia="ru-RU"/>
        </w:rPr>
        <w:t xml:space="preserve">ofertelor: </w:t>
      </w:r>
      <w:r>
        <w:rPr>
          <w:bCs/>
          <w:u w:val="single"/>
          <w:lang w:val="ru-RU" w:eastAsia="ru-RU"/>
        </w:rPr>
        <w:t xml:space="preserve">SIA RSAP „MTender”</w:t>
      </w:r>
      <w:r>
        <w:rPr>
          <w:bCs/>
          <w:u w:val="single"/>
          <w:lang w:val="ru-RU" w:eastAsia="ru-RU"/>
        </w:rPr>
      </w:r>
      <w:r>
        <w:rPr>
          <w:bCs/>
          <w:u w:val="single"/>
          <w:lang w:val="ru-RU" w:eastAsia="ru-RU"/>
        </w:rPr>
      </w:r>
    </w:p>
    <w:p>
      <w:pPr>
        <w:pBdr/>
        <w:shd w:val="clear" w:color="auto" w:fill="ffffff" w:themeFill="background1"/>
        <w:tabs>
          <w:tab w:val="right" w:leader="none" w:pos="426"/>
        </w:tabs>
        <w:spacing/>
        <w:ind/>
        <w:contextualSpacing w:val="true"/>
        <w:rPr>
          <w:bCs/>
          <w:sz w:val="20"/>
          <w:lang w:val="it-IT" w:eastAsia="ru-RU"/>
        </w:rPr>
      </w:pPr>
      <w:r>
        <w:rPr>
          <w:bCs/>
          <w:sz w:val="20"/>
          <w:lang w:val="it-IT" w:eastAsia="ru-RU"/>
        </w:rPr>
        <w:t xml:space="preserve">                                                            (SIA RSAP sau adresa deschiderii)</w:t>
      </w:r>
      <w:r>
        <w:rPr>
          <w:bCs/>
          <w:sz w:val="20"/>
          <w:lang w:val="it-IT" w:eastAsia="ru-RU"/>
        </w:rPr>
      </w:r>
      <w:r>
        <w:rPr>
          <w:bCs/>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Cs/>
          <w:i/>
          <w:lang w:val="it-IT" w:eastAsia="ru-RU"/>
        </w:rPr>
      </w:pPr>
      <w:r>
        <w:rPr>
          <w:bCs/>
          <w:i/>
          <w:lang w:val="it-IT" w:eastAsia="ru-RU"/>
        </w:rPr>
        <w:t xml:space="preserve">Ofertele întârziate vor fi respinse. </w:t>
      </w:r>
      <w:r>
        <w:rPr>
          <w:bCs/>
          <w:i/>
          <w:lang w:val="it-IT" w:eastAsia="ru-RU"/>
        </w:rPr>
      </w:r>
      <w:r>
        <w:rPr>
          <w:bCs/>
          <w:i/>
          <w:lang w:val="it-IT" w:eastAsia="ru-RU"/>
        </w:rPr>
      </w:r>
    </w:p>
    <w:p>
      <w:pPr>
        <w:numPr>
          <w:ilvl w:val="0"/>
          <w:numId w:val="10"/>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Persoanele autorizate să asiste la deschiderea ofertelor: </w:t>
      </w:r>
      <w:r>
        <w:rPr>
          <w:bCs/>
          <w:i/>
          <w:lang w:val="it-IT" w:eastAsia="ru-RU"/>
        </w:rPr>
        <w:t xml:space="preserve">Ofertanții sau reprezentanții acestora au dreptul să participe la deschiderea ofertelor, cu excepția cazului cînd ofertele au fost depuse prin SIA RSAP</w:t>
      </w:r>
      <w:r>
        <w:rPr>
          <w:bCs/>
          <w:lang w:val="it-IT" w:eastAsia="ru-RU"/>
        </w:rPr>
        <w:t xml:space="preserve">.</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hanging="450" w:left="450"/>
        <w:rPr>
          <w:lang w:val="it-IT" w:eastAsia="ru-RU"/>
        </w:rPr>
      </w:pPr>
      <w:r>
        <w:rPr>
          <w:bCs/>
          <w:lang w:val="it-IT" w:eastAsia="ru-RU"/>
        </w:rPr>
        <w:t xml:space="preserve">Limba sau limbile în care trebuie redactate ofertele sau cererile de participare:</w:t>
      </w:r>
      <w:r>
        <w:rPr>
          <w:bCs/>
          <w:lang w:val="it-IT" w:eastAsia="ru-RU"/>
        </w:rPr>
      </w:r>
    </w:p>
    <w:p>
      <w:pPr>
        <w:pBdr/>
        <w:shd w:val="clear" w:color="auto" w:fill="ffffff" w:themeFill="background1"/>
        <w:tabs>
          <w:tab w:val="right" w:leader="none" w:pos="426"/>
        </w:tabs>
        <w:spacing w:before="120"/>
        <w:ind w:firstLine="0" w:left="450"/>
        <w:rPr>
          <w:b/>
          <w:bCs/>
        </w:rPr>
      </w:pPr>
      <w:r>
        <w:rPr>
          <w:b/>
          <w:bCs/>
          <w:lang w:val="ro-RO"/>
        </w:rPr>
        <w:t xml:space="preserve">L</w:t>
      </w:r>
      <w:r>
        <w:rPr>
          <w:b/>
          <w:bCs/>
          <w:lang w:val="it-IT" w:eastAsia="ru-RU"/>
        </w:rPr>
        <w:t xml:space="preserve">imba română</w:t>
      </w:r>
      <w:r>
        <w:rPr>
          <w:b/>
          <w:bCs/>
          <w:lang w:val="it-IT" w:eastAsia="ru-RU"/>
        </w:rPr>
      </w:r>
      <w:r>
        <w:rPr>
          <w:b/>
          <w:bCs/>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Respectivul contract se referă la un proiect și/sau program finanțat din fonduri ale Uniunii Europene: </w:t>
      </w:r>
      <w:r>
        <w:rPr>
          <w:bCs/>
          <w:lang w:val="ro-RO"/>
        </w:rPr>
        <w:t xml:space="preserve">Nu</w:t>
      </w:r>
      <w:r>
        <w:rPr>
          <w:bCs/>
          <w:lang w:val="it-IT" w:eastAsia="ru-RU"/>
        </w:rPr>
      </w:r>
    </w:p>
    <w:p>
      <w:pPr>
        <w:pBdr/>
        <w:shd w:val="clear" w:color="auto" w:fill="ffffff" w:themeFill="background1"/>
        <w:tabs>
          <w:tab w:val="right" w:leader="none" w:pos="426"/>
        </w:tabs>
        <w:spacing/>
        <w:ind w:left="1980"/>
        <w:contextualSpacing w:val="true"/>
        <w:jc w:val="left"/>
        <w:rPr>
          <w:sz w:val="20"/>
          <w:lang w:val="it-IT" w:eastAsia="ru-RU"/>
        </w:rPr>
      </w:pPr>
      <w:r>
        <w:rPr>
          <w:sz w:val="20"/>
          <w:lang w:val="it-IT" w:eastAsia="ru-RU"/>
        </w:rPr>
        <w:t xml:space="preserve">(se specifică denumirea proiectului și/sau programului)</w:t>
      </w:r>
      <w:r>
        <w:rPr>
          <w:sz w:val="20"/>
          <w:lang w:val="it-IT" w:eastAsia="ru-RU"/>
        </w:rPr>
      </w:r>
      <w:r>
        <w:rPr>
          <w:sz w:val="20"/>
          <w:lang w:val="it-IT" w:eastAsia="ru-RU"/>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Denumirea și adresa organismului competent de soluționare a contestațiilor: </w:t>
      </w:r>
      <w:r>
        <w:rPr>
          <w:bCs/>
          <w:lang w:val="it-IT" w:eastAsia="ru-RU"/>
        </w:rPr>
      </w:r>
      <w:r>
        <w:rPr>
          <w:bCs/>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Agenția Națională pentru Soluționarea Contestațiilor</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Adresa: mun. Chișinău, bd. Ștefan cel Mare și Sfânt nr.124 (et.4), MD 2001;</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en-US" w:eastAsia="ru-RU"/>
        </w:rPr>
      </w:pPr>
      <w:r>
        <w:rPr>
          <w:bCs/>
          <w:i/>
          <w:lang w:val="en-US" w:eastAsia="ru-RU"/>
        </w:rPr>
        <w:t xml:space="preserve">Tel/Fax/email:022-820 652, 022 820-651, contestatii@ansc.md</w:t>
      </w:r>
      <w:r>
        <w:rPr>
          <w:bCs/>
          <w:i/>
          <w:lang w:val="en-US" w:eastAsia="ru-RU"/>
        </w:rPr>
      </w:r>
      <w:r>
        <w:rPr>
          <w:bCs/>
          <w:i/>
          <w:lang w:val="en-US" w:eastAsia="ru-RU"/>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Data (datele) și referința (referințele) publicărilor anterioare în Jurnalul Oficial al Uniunii Europene privind contractul (contractele) la care se referă anunțul respectiv (dacă este cazul):</w:t>
      </w:r>
      <w:r>
        <w:rPr>
          <w:bCs/>
          <w:lang w:val="ro-RO"/>
        </w:rPr>
        <w:t xml:space="preserve">NU</w:t>
      </w:r>
      <w:r>
        <w:rPr>
          <w:bCs/>
          <w:lang w:val="it-IT"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În cazul achizițiilor periodice, calendarul estimat pentru publicarea anunțurilor viitoare</w:t>
      </w:r>
      <w:r>
        <w:rPr>
          <w:bCs/>
          <w:shd w:val="clear" w:color="auto" w:fill="ffffff" w:themeFill="background1"/>
          <w:lang w:val="it-IT" w:eastAsia="ru-RU"/>
        </w:rPr>
        <w:t xml:space="preserve">:______________________________________________________________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Data publicării anunțului de intenție sau, după caz, precizarea că nu a fost publicat un astfel de </w:t>
      </w:r>
      <w:r>
        <w:rPr>
          <w:bCs/>
          <w:shd w:val="clear" w:color="auto" w:fill="ffffff" w:themeFill="background1"/>
          <w:lang w:val="it-IT" w:eastAsia="ru-RU"/>
        </w:rPr>
        <w:t xml:space="preserve">anunţ:</w:t>
      </w:r>
      <w:r>
        <w:rPr>
          <w:bCs/>
          <w:shd w:val="clear" w:color="auto" w:fill="ffffff" w:themeFill="background1"/>
          <w:lang w:val="ro-RO"/>
        </w:rPr>
        <w:t xml:space="preserve">NU a fost publicat</w:t>
      </w:r>
      <w:r>
        <w:rPr>
          <w:bCs/>
          <w:lang w:val="it-IT" w:eastAsia="ru-RU"/>
        </w:rPr>
      </w:r>
    </w:p>
    <w:p>
      <w:pPr>
        <w:numPr>
          <w:ilvl w:val="0"/>
          <w:numId w:val="10"/>
        </w:numPr>
        <w:pBdr/>
        <w:shd w:val="clear" w:color="auto" w:fill="ffffff" w:themeFill="background1"/>
        <w:tabs>
          <w:tab w:val="right" w:leader="none" w:pos="426"/>
        </w:tabs>
        <w:spacing w:before="120"/>
        <w:ind w:firstLine="0" w:left="0"/>
        <w:rPr>
          <w:bCs/>
          <w:i/>
        </w:rPr>
      </w:pPr>
      <w:r>
        <w:rPr>
          <w:bCs/>
          <w:lang w:val="it-IT" w:eastAsia="ru-RU"/>
        </w:rPr>
        <w:t xml:space="preserve">Data transmiterii spre publicare a anunțului de participar</w:t>
      </w:r>
      <w:r>
        <w:rPr>
          <w:bCs/>
          <w:shd w:val="clear" w:color="auto" w:fill="ffffff" w:themeFill="background1"/>
          <w:lang w:val="it-IT" w:eastAsia="ru-RU"/>
        </w:rPr>
        <w:t xml:space="preserve">e:</w:t>
      </w:r>
      <w:r>
        <w:rPr>
          <w:bCs/>
          <w:shd w:val="clear" w:color="auto" w:fill="ffffff" w:themeFill="background1"/>
          <w:lang w:val="ro-RO"/>
        </w:rPr>
        <w:t xml:space="preserve"> </w:t>
      </w:r>
      <w:r>
        <w:rPr>
          <w:bCs/>
          <w:i/>
          <w:iCs/>
          <w:shd w:val="clear" w:color="auto" w:fill="ffffff" w:themeFill="background1"/>
          <w:lang w:val="ro-RO"/>
        </w:rPr>
        <w:t xml:space="preserve">Conform informației </w:t>
      </w:r>
      <w:r>
        <w:rPr>
          <w:bCs/>
          <w:i/>
          <w:iCs/>
          <w:lang w:val="it-IT" w:eastAsia="ru-RU"/>
        </w:rPr>
        <w:t xml:space="preserve">din SIA RSAP „MTender”</w:t>
      </w:r>
      <w:r>
        <w:rPr>
          <w:bCs/>
          <w:i/>
          <w:iCs/>
          <w:lang w:val="it-IT" w:eastAsia="ru-RU"/>
        </w:rPr>
      </w:r>
      <w:r>
        <w:rPr>
          <w:bCs/>
          <w:i/>
          <w:iCs/>
          <w:lang w:val="it-IT" w:eastAsia="ru-RU"/>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În cadrul procedurii de achiziție publică se va utiliza/accepta:</w:t>
      </w:r>
      <w:r>
        <w:rPr>
          <w:bCs/>
          <w:lang w:val="it-IT" w:eastAsia="ru-RU"/>
        </w:rPr>
      </w:r>
      <w:r>
        <w:rPr>
          <w:bCs/>
          <w:lang w:val="it-IT" w:eastAsia="ru-RU"/>
        </w:rPr>
      </w:r>
    </w:p>
    <w:tbl>
      <w:tblPr>
        <w:tblStyle w:val="1055"/>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Depunerea electronică a ofertelor sau a cererilor de 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ro-RO"/>
              </w:rPr>
              <w:t xml:space="preserve">DA</w:t>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NU</w:t>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bl>
    <w:p>
      <w:pPr>
        <w:numPr>
          <w:ilvl w:val="0"/>
          <w:numId w:val="10"/>
        </w:numPr>
        <w:pBdr/>
        <w:shd w:val="clear" w:color="auto" w:fill="ffffff" w:themeFill="background1"/>
        <w:tabs>
          <w:tab w:val="right" w:leader="none"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 xml:space="preserve">_______________Nu_______________________________________________________</w:t>
      </w:r>
      <w:r>
        <w:rPr>
          <w:bCs/>
          <w:lang w:eastAsia="ru-RU"/>
        </w:rPr>
      </w:r>
      <w:r>
        <w:rPr>
          <w:bCs/>
          <w:lang w:eastAsia="ru-RU"/>
        </w:rPr>
      </w:r>
    </w:p>
    <w:p>
      <w:pPr>
        <w:pBdr/>
        <w:shd w:val="clear" w:color="auto" w:fill="ffffff" w:themeFill="background1"/>
        <w:tabs>
          <w:tab w:val="right" w:leader="none" w:pos="426"/>
        </w:tabs>
        <w:spacing/>
        <w:ind w:left="3960"/>
        <w:contextualSpacing w:val="true"/>
        <w:jc w:val="center"/>
        <w:rPr>
          <w:bCs/>
          <w:sz w:val="20"/>
          <w:lang w:val="it-IT" w:eastAsia="ru-RU"/>
        </w:rPr>
      </w:pPr>
      <w:r>
        <w:rPr>
          <w:bCs/>
          <w:sz w:val="20"/>
          <w:lang w:val="it-IT" w:eastAsia="ru-RU"/>
        </w:rPr>
        <w:t xml:space="preserve">(se specifică da sau nu)</w:t>
      </w:r>
      <w:r>
        <w:rPr>
          <w:bCs/>
          <w:sz w:val="20"/>
          <w:lang w:val="it-IT" w:eastAsia="ru-RU"/>
        </w:rPr>
      </w:r>
      <w:r>
        <w:rPr>
          <w:bCs/>
          <w:sz w:val="20"/>
          <w:lang w:val="it-IT" w:eastAsia="ru-RU"/>
        </w:rPr>
      </w:r>
    </w:p>
    <w:p>
      <w:pPr>
        <w:numPr>
          <w:ilvl w:val="0"/>
          <w:numId w:val="10"/>
        </w:numPr>
        <w:pBdr/>
        <w:shd w:val="clear" w:color="auto" w:fill="ffffff" w:themeFill="background1"/>
        <w:tabs>
          <w:tab w:val="right" w:leader="none" w:pos="426"/>
        </w:tabs>
        <w:spacing w:before="120"/>
        <w:ind w:firstLine="0" w:left="0"/>
        <w:rPr>
          <w:bCs/>
          <w:lang w:val="ru-RU" w:eastAsia="ru-RU"/>
        </w:rPr>
      </w:pPr>
      <w:r>
        <w:rPr>
          <w:bCs/>
          <w:lang w:val="ru-RU" w:eastAsia="ru-RU"/>
        </w:rPr>
        <w:t xml:space="preserve">Alte</w:t>
      </w:r>
      <w:r>
        <w:rPr>
          <w:bCs/>
          <w:lang w:eastAsia="ru-RU"/>
        </w:rPr>
        <w:t xml:space="preserve"> </w:t>
      </w:r>
      <w:r>
        <w:rPr>
          <w:bCs/>
          <w:lang w:val="ru-RU" w:eastAsia="ru-RU"/>
        </w:rPr>
        <w:t xml:space="preserve">informații</w:t>
      </w:r>
      <w:r>
        <w:rPr>
          <w:bCs/>
          <w:lang w:eastAsia="ru-RU"/>
        </w:rPr>
        <w:t xml:space="preserve"> </w:t>
      </w:r>
      <w:r>
        <w:rPr>
          <w:bCs/>
          <w:lang w:val="ru-RU" w:eastAsia="ru-RU"/>
        </w:rPr>
        <w:t xml:space="preserve">relevante: </w:t>
      </w:r>
      <w:r>
        <w:rPr>
          <w:bCs/>
          <w:shd w:val="clear" w:color="auto" w:fill="ffffff" w:themeFill="background1"/>
          <w:lang w:val="ru-RU" w:eastAsia="ru-RU"/>
        </w:rPr>
        <w:t xml:space="preserve">_______________________________________________</w:t>
      </w:r>
      <w:r>
        <w:rPr>
          <w:bCs/>
          <w:lang w:val="ru-RU" w:eastAsia="ru-RU"/>
        </w:rPr>
      </w:r>
      <w:r>
        <w:rPr>
          <w:bCs/>
          <w:lang w:val="ru-RU" w:eastAsia="ru-RU"/>
        </w:rPr>
      </w:r>
    </w:p>
    <w:p>
      <w:pPr>
        <w:pBdr/>
        <w:shd w:val="clear" w:color="auto" w:fill="ffffff" w:themeFill="background1"/>
        <w:spacing w:after="120" w:before="120"/>
        <w:ind/>
        <w:rPr>
          <w:bCs/>
          <w:lang w:val="ru-RU" w:eastAsia="ru-RU"/>
        </w:rPr>
      </w:pPr>
      <w:r>
        <w:rPr>
          <w:bCs/>
          <w:lang w:val="ru-RU" w:eastAsia="ru-RU"/>
        </w:rPr>
      </w:r>
      <w:r>
        <w:rPr>
          <w:bCs/>
          <w:lang w:val="ru-RU" w:eastAsia="ru-RU"/>
        </w:rPr>
      </w:r>
      <w:r>
        <w:rPr>
          <w:bCs/>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 xml:space="preserve"> Lupu Vasile</w:t>
      </w:r>
      <w:r>
        <w:rPr>
          <w:bCs/>
          <w:color w:val="000000"/>
        </w:rPr>
      </w:r>
      <w:r>
        <w:rPr>
          <w:bCs/>
          <w:color w:val="000000"/>
        </w:rPr>
      </w:r>
    </w:p>
    <w:p>
      <w:pPr>
        <w:pBdr/>
        <w:tabs>
          <w:tab w:val="decimal" w:leader="none" w:pos="8364"/>
        </w:tabs>
        <w:spacing w:line="276" w:lineRule="auto"/>
        <w:ind w:right="-144"/>
        <w:jc w:val="center"/>
        <w:rPr>
          <w:bCs/>
          <w:color w:val="000000"/>
        </w:rPr>
      </w:pPr>
      <w:r>
        <w:rPr>
          <w:bCs/>
          <w:color w:val="000000"/>
        </w:rPr>
      </w:r>
      <w:r>
        <w:rPr>
          <w:bCs/>
          <w:color w:val="000000"/>
        </w:rPr>
      </w:r>
      <w:r>
        <w:rPr>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right"/>
        <w:rPr>
          <w:lang w:val="it-IT"/>
        </w:rPr>
      </w:pP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3</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INVITAȚIE DE PARTICIPARE LA ETAPELE DE PRESELECȚIE/LA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achiziție_________________________________________________</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90"/>
        <w:numPr>
          <w:ilvl w:val="0"/>
          <w:numId w:val="15"/>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 (după caz)</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 Nr._________, Data publicării____________, Link______</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candidații selectați ________________, să participe la procedura de achiziție privind livrarea/prestarea următoarelor bunuri/servicii:</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Documen</w:t>
      </w:r>
      <w:r>
        <w:rPr>
          <w:b/>
          <w:lang w:val="it-IT"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lang w:val="it-IT" w:eastAsia="ru-RU"/>
        </w:rPr>
      </w:r>
      <w:r>
        <w:rPr>
          <w:b/>
          <w:lang w:val="it-IT" w:eastAsia="ru-RU"/>
        </w:rPr>
      </w:r>
    </w:p>
    <w:tbl>
      <w:tblPr>
        <w:tblStyle w:val="1055"/>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 cuantumul___________.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 (după caz)</w:t>
      </w:r>
      <w:r>
        <w:rPr>
          <w:b/>
          <w:lang w:val="it-IT" w:eastAsia="ru-RU"/>
        </w:rPr>
      </w:r>
      <w:r>
        <w:rPr>
          <w:b/>
          <w:lang w:val="it-IT" w:eastAsia="ru-RU"/>
        </w:rPr>
      </w:r>
    </w:p>
    <w:p>
      <w:pPr>
        <w:numPr>
          <w:ilvl w:val="0"/>
          <w:numId w:val="15"/>
        </w:numPr>
        <w:pBdr/>
        <w:tabs>
          <w:tab w:val="right" w:leader="none" w:pos="426"/>
        </w:tabs>
        <w:spacing w:before="120"/>
        <w:ind w:firstLine="0" w:left="0"/>
        <w:rPr>
          <w:b/>
          <w:lang w:val="it-IT" w:eastAsia="ru-RU"/>
        </w:rPr>
      </w:pPr>
      <w:r>
        <w:rPr>
          <w:b/>
          <w:lang w:val="it-IT" w:eastAsia="ru-RU"/>
        </w:rPr>
        <w:t xml:space="preserve">Termenul de valabilitate a ofertelor: _____________________________________</w:t>
      </w:r>
      <w:r>
        <w:rPr>
          <w:b/>
          <w:lang w:val="it-IT" w:eastAsia="ru-RU"/>
        </w:rPr>
      </w:r>
      <w:r>
        <w:rPr>
          <w:b/>
          <w:lang w:val="it-IT" w:eastAsia="ru-RU"/>
        </w:rPr>
      </w:r>
    </w:p>
    <w:p>
      <w:pPr>
        <w:numPr>
          <w:ilvl w:val="0"/>
          <w:numId w:val="15"/>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_____________________________________________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5"/>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 proiectului și/sau programului)</w:t>
      </w:r>
      <w:r>
        <w:rPr>
          <w:sz w:val="20"/>
          <w:lang w:val="it-IT" w:eastAsia="ru-RU"/>
        </w:rPr>
      </w:r>
      <w:r>
        <w:rPr>
          <w:sz w:val="20"/>
          <w:lang w:val="it-IT" w:eastAsia="ru-RU"/>
        </w:rPr>
      </w:r>
    </w:p>
    <w:p>
      <w:pPr>
        <w:numPr>
          <w:ilvl w:val="0"/>
          <w:numId w:val="15"/>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cazul):_______________________________________________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4"/>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 PRESELECȚIEI CANDIDAȚILOR</w:t>
      </w:r>
      <w:bookmarkEnd w:id="74"/>
      <w:r>
        <w:rPr>
          <w:rFonts w:eastAsia="PMingLiU"/>
          <w:sz w:val="28"/>
          <w:szCs w:val="28"/>
          <w:lang w:val="it-IT" w:eastAsia="zh-CN"/>
        </w:rPr>
      </w:r>
      <w:r>
        <w:rPr>
          <w:rFonts w:eastAsia="PMingLiU"/>
          <w:sz w:val="28"/>
          <w:szCs w:val="28"/>
          <w:lang w:val="it-IT" w:eastAsia="zh-CN"/>
        </w:rPr>
      </w:r>
    </w:p>
    <w:p>
      <w:pPr>
        <w:pStyle w:val="103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____________ , aprobat la ___________</w:t>
      </w:r>
      <w:r>
        <w:rPr>
          <w:rFonts w:eastAsia="PMingLiU"/>
          <w:b w:val="0"/>
          <w:lang w:val="it-IT" w:eastAsia="zh-CN"/>
        </w:rPr>
      </w:r>
      <w:r>
        <w:rPr>
          <w:rFonts w:eastAsia="PMingLiU"/>
          <w:b w:val="0"/>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3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 xml:space="preserve">nr._____din__________________a ___________________având următoarea componenţă:</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preşedinte ____________________________</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_________________________membru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3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4"/>
        <w:pBdr/>
        <w:tabs>
          <w:tab w:val="left" w:leader="none" w:pos="567"/>
        </w:tabs>
        <w:spacing/>
        <w:ind w:firstLine="0" w:left="0"/>
        <w:rPr>
          <w:rFonts w:eastAsia="PMingLiU"/>
          <w:b w:val="0"/>
          <w:lang w:val="ro-RO" w:eastAsia="zh-CN"/>
        </w:rPr>
      </w:pPr>
      <w:r>
        <w:rPr>
          <w:rFonts w:eastAsia="PMingLiU"/>
          <w:b w:val="0"/>
          <w:lang w:val="ro-RO" w:eastAsia="zh-CN"/>
        </w:rPr>
        <w:t xml:space="preserve">Până la data limită de depunere a ofertelor s-au depus la sediul organizatorului concursului/SIA RSAP oferte, după cum urmează:</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întrunirea condițiilor de calificare și de selecție a candidaților:</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 respinși/descalificaţi:</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respinși din cauza neprezentării/necorespunderii documentelor de calificare și selecție:_______________________________________________________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 preselecției:____________________________________________________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autoritatea contractantă va informa ceilalți candidați neselectați despre rezultatele preselecției.</w:t>
      </w:r>
      <w:r>
        <w:rPr>
          <w:rFonts w:eastAsia="PMingLiU"/>
          <w:b w:val="0"/>
          <w:lang w:val="it-IT" w:eastAsia="zh-CN"/>
        </w:rPr>
      </w:r>
      <w:r>
        <w:rPr>
          <w:rFonts w:eastAsia="PMingLiU"/>
          <w:b w:val="0"/>
          <w:lang w:val="it-IT" w:eastAsia="zh-CN"/>
        </w:rPr>
      </w:r>
    </w:p>
    <w:p>
      <w:pPr>
        <w:pStyle w:val="103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preselectați:</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 de preselecție de achiziţie publică va anunţa şi va invita în scris/prin mijloace electronice candidații selectați:</w:t>
      </w:r>
      <w:r>
        <w:rPr>
          <w:rFonts w:eastAsia="PMingLiU"/>
          <w:lang w:val="it-IT" w:eastAsia="zh-CN"/>
        </w:rPr>
      </w:r>
      <w:r>
        <w:rPr>
          <w:rFonts w:eastAsia="PMingLiU"/>
          <w:lang w:val="it-IT"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w:t>
      </w:r>
      <w:r>
        <w:rPr>
          <w:rFonts w:eastAsia="PMingLiU"/>
          <w:b w:val="0"/>
          <w:i/>
          <w:lang w:val="ro-RO" w:eastAsia="zh-CN"/>
        </w:rPr>
        <w:t xml:space="preserve">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rPr>
          <w:lang w:val="it-IT"/>
        </w:rPr>
      </w:pPr>
      <w:r>
        <w:rPr>
          <w:lang w:val="it-IT"/>
        </w:rPr>
      </w:r>
      <w:r>
        <w:rPr>
          <w:lang w:val="it-IT"/>
        </w:rPr>
      </w:r>
      <w:r>
        <w:rPr>
          <w:lang w:val="it-IT"/>
        </w:rPr>
      </w:r>
    </w:p>
    <w:p>
      <w:pPr>
        <w:pBdr/>
        <w:spacing/>
        <w:ind/>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 din___________</w:t>
      </w:r>
      <w:r>
        <w:rPr>
          <w:rFonts w:eastAsia="Calibri"/>
          <w:u w:val="single"/>
        </w:rPr>
      </w:r>
      <w:r>
        <w:rPr>
          <w:rFonts w:eastAsia="Calibri"/>
          <w:u w:val="single"/>
        </w:rPr>
      </w:r>
    </w:p>
    <w:p>
      <w:pPr>
        <w:numPr>
          <w:ilvl w:val="0"/>
          <w:numId w:val="13"/>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5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3"/>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r>
              <w:rPr>
                <w:lang w:eastAsia="ro-RO"/>
              </w:rPr>
            </w:r>
          </w:p>
          <w:p>
            <w:pPr>
              <w:pBdr/>
              <w:spacing w:after="160" w:line="259" w:lineRule="auto"/>
              <w:ind w:right="-1"/>
              <w:jc w:val="both"/>
              <w:rPr>
                <w:lang w:eastAsia="ro-RO"/>
              </w:rPr>
            </w:pPr>
            <w:r>
              <w:rPr>
                <w:lang w:eastAsia="ro-RO"/>
              </w:rPr>
              <w:t xml:space="preserve">Servicii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3"/>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2025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5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56"/>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3"/>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5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 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3"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r>
              <w:rPr>
                <w:lang w:eastAsia="ro-RO"/>
              </w:rPr>
            </w:r>
          </w:p>
          <w:p>
            <w:pPr>
              <w:pBdr/>
              <w:spacing/>
              <w:ind/>
              <w:jc w:val="both"/>
              <w:rPr>
                <w:lang w:eastAsia="ro-RO"/>
              </w:rPr>
            </w:pPr>
            <w:r>
              <w:rPr>
                <w:lang w:eastAsia="ro-RO"/>
              </w:rPr>
              <w:t xml:space="preserve">BASS□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4"/>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natura și cantitatea sau valoarea bunurilor, natura și amploarea serviciilor)</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4"/>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4"/>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______________________________________________________________________________</w:t>
      </w:r>
      <w:r>
        <w:rPr>
          <w:sz w:val="22"/>
          <w:szCs w:val="22"/>
        </w:rPr>
      </w:r>
      <w:r>
        <w:rPr>
          <w:sz w:val="22"/>
          <w:szCs w:val="22"/>
        </w:rPr>
      </w:r>
    </w:p>
    <w:tbl>
      <w:tblPr>
        <w:tblStyle w:val="1058"/>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lang w:val="it-IT"/>
        </w:rPr>
      </w:pPr>
      <w:r/>
      <w:bookmarkStart w:id="77" w:name="_Toc449692095"/>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7</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1"/>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991"/>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991"/>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9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 . . . . . . . (ziua/luna/anul),  </w:t>
      </w:r>
      <w:r>
        <w:rPr>
          <w:rFonts w:ascii="Times New Roman" w:hAnsi="Times New Roman"/>
          <w:szCs w:val="24"/>
        </w:rPr>
        <w:t xml:space="preserve">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8</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23"/>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9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0"/>
      <w:r>
        <w:rPr>
          <w:rFonts w:ascii="Times New Roman" w:hAnsi="Times New Roman"/>
          <w:b/>
          <w:szCs w:val="24"/>
        </w:rPr>
      </w:r>
      <w:r>
        <w:rPr>
          <w:rFonts w:ascii="Times New Roman" w:hAnsi="Times New Roman"/>
          <w:b/>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142"/>
        </w:tabs>
        <w:spacing w:before="240"/>
        <w:ind/>
        <w:jc w:val="center"/>
        <w:rPr>
          <w:rFonts w:ascii="Times New Roman" w:hAnsi="Times New Roman"/>
          <w:szCs w:val="24"/>
        </w:rPr>
      </w:pPr>
      <w:r>
        <w:rPr>
          <w:rFonts w:ascii="Times New Roman" w:hAnsi="Times New Roman"/>
          <w:szCs w:val="24"/>
        </w:rPr>
        <w:t xml:space="preserve">Către_</w:t>
      </w:r>
      <w:r>
        <w:rPr>
          <w:rFonts w:ascii="Times New Roman" w:hAnsi="Times New Roman"/>
          <w:b/>
          <w:bCs/>
          <w:szCs w:val="24"/>
          <w:u w:val="single"/>
        </w:rPr>
        <w:t xml:space="preserve">Agenția Teritorială de Asistență Socială Centru</w:t>
      </w:r>
      <w:r>
        <w:rPr>
          <w:rFonts w:ascii="Times New Roman" w:hAnsi="Times New Roman"/>
          <w:szCs w:val="24"/>
          <w:u w:val="single"/>
        </w:rPr>
        <w:t xml:space="preserve">_________</w:t>
      </w:r>
      <w:r>
        <w:rPr>
          <w:rFonts w:ascii="Times New Roman" w:hAnsi="Times New Roman"/>
          <w:szCs w:val="24"/>
        </w:rPr>
        <w:t xml:space="preserve">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achiziție_____________________________________,</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r>
        <w:rPr>
          <w:rFonts w:eastAsia="Calibri"/>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9</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1"/>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9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1"/>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991"/>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Înregistrat la______________________________________________________________,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91"/>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99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9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91"/>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începînd cu data-limită pentru depunerea ofertei, în conformitate cu Anexa nr.2 Anunțul de Participare, și rămâne obligatorie şi poate fi acceptată în orice moment până la expirarea acestei perioade;</w:t>
      </w:r>
      <w:r>
        <w:rPr>
          <w:rFonts w:ascii="Times New Roman" w:hAnsi="Times New Roman"/>
          <w:szCs w:val="24"/>
        </w:rPr>
      </w:r>
      <w:r>
        <w:rPr>
          <w:rFonts w:ascii="Times New Roman" w:hAnsi="Times New Roman"/>
          <w:szCs w:val="24"/>
        </w:rPr>
      </w:r>
    </w:p>
    <w:p>
      <w:pPr>
        <w:pStyle w:val="99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i/>
          <w:iCs/>
          <w:sz w:val="20"/>
        </w:rPr>
      </w:pPr>
      <w:r>
        <w:rPr>
          <w:rFonts w:ascii="Times New Roman" w:hAnsi="Times New Roman"/>
          <w:i/>
          <w:iCs/>
          <w:sz w:val="20"/>
        </w:rPr>
        <w:t xml:space="preserve">                                                                                                           (denumirea ofertantului)</w:t>
      </w:r>
      <w:r>
        <w:rPr>
          <w:rFonts w:ascii="Times New Roman" w:hAnsi="Times New Roman"/>
          <w:i/>
          <w:iCs/>
          <w:sz w:val="20"/>
        </w:rPr>
      </w:r>
      <w:r>
        <w:rPr>
          <w:rFonts w:ascii="Times New Roman" w:hAnsi="Times New Roman"/>
          <w:i/>
          <w:iCs/>
          <w:sz w:val="20"/>
        </w:rPr>
      </w:r>
    </w:p>
    <w:p>
      <w:pPr>
        <w:pStyle w:val="991"/>
        <w:pBdr/>
        <w:tabs>
          <w:tab w:val="left" w:leader="none" w:pos="567"/>
        </w:tabs>
        <w:spacing/>
        <w:ind w:hanging="349"/>
        <w:rPr>
          <w:rFonts w:ascii="Times New Roman" w:hAnsi="Times New Roman"/>
          <w:szCs w:val="24"/>
        </w:rPr>
      </w:pPr>
      <w:r>
        <w:rPr>
          <w:rFonts w:ascii="Times New Roman" w:hAnsi="Times New Roman"/>
          <w:szCs w:val="24"/>
        </w:rPr>
        <w:t xml:space="preserve">       nu a constituit garanţia de bună execuție;</w:t>
      </w:r>
      <w:r>
        <w:rPr>
          <w:rFonts w:ascii="Times New Roman" w:hAnsi="Times New Roman"/>
          <w:szCs w:val="24"/>
        </w:rPr>
      </w:r>
      <w:r>
        <w:rPr>
          <w:rFonts w:ascii="Times New Roman" w:hAnsi="Times New Roman"/>
          <w:szCs w:val="24"/>
        </w:rPr>
      </w:r>
    </w:p>
    <w:p>
      <w:pPr>
        <w:pStyle w:val="99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9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bunuri/servicii;</w:t>
      </w:r>
      <w:r>
        <w:rPr>
          <w:rFonts w:ascii="Times New Roman" w:hAnsi="Times New Roman"/>
          <w:szCs w:val="24"/>
        </w:rPr>
      </w:r>
      <w:r>
        <w:rPr>
          <w:rFonts w:ascii="Times New Roman" w:hAnsi="Times New Roman"/>
          <w:szCs w:val="24"/>
        </w:rPr>
      </w:r>
    </w:p>
    <w:p>
      <w:pPr>
        <w:pStyle w:val="99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documenația de atribuire înainte de semnarea contractului de achiziţie publică de bunuri/servicii.</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până la data de 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 ziua___luna____anul_______  </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 10</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sz w:val="22"/>
                <w:szCs w:val="22"/>
              </w:rPr>
            </w:pPr>
            <w:r>
              <w:rPr>
                <w:i/>
                <w:iCs/>
                <w:sz w:val="22"/>
                <w:szCs w:val="22"/>
              </w:rPr>
              <w:t xml:space="preserve">[Banca comercială, la cererea ofertantului cîştigător, va completa acest formular pe foaie cu antet, în conformitate cu instrucţiunile de mai jos.]</w:t>
            </w:r>
            <w:r>
              <w:rPr>
                <w:i/>
                <w:iCs/>
                <w:sz w:val="22"/>
                <w:szCs w:val="22"/>
              </w:rPr>
            </w:r>
            <w:r>
              <w:rPr>
                <w:i/>
                <w:iCs/>
                <w:sz w:val="22"/>
                <w:szCs w:val="22"/>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sz w:val="20"/>
                <w:szCs w:val="20"/>
              </w:rPr>
            </w:pPr>
            <w:r>
              <w:rPr>
                <w:i/>
                <w:iCs/>
                <w:sz w:val="20"/>
                <w:szCs w:val="20"/>
              </w:rPr>
            </w:r>
            <w:r>
              <w:rPr>
                <w:i/>
                <w:iCs/>
                <w:sz w:val="20"/>
                <w:szCs w:val="20"/>
              </w:rPr>
            </w:r>
            <w:r>
              <w:rPr>
                <w:i/>
                <w:iCs/>
                <w:sz w:val="20"/>
                <w:szCs w:val="20"/>
              </w:rPr>
            </w:r>
          </w:p>
          <w:p>
            <w:pPr>
              <w:pBdr/>
              <w:tabs>
                <w:tab w:val="left" w:leader="none" w:pos="3175"/>
              </w:tabs>
              <w:spacing/>
              <w:ind/>
              <w:jc w:val="both"/>
              <w:rPr>
                <w:i/>
                <w:sz w:val="20"/>
                <w:szCs w:val="20"/>
              </w:rPr>
            </w:pPr>
            <w:r>
              <w:rPr>
                <w:i/>
                <w:sz w:val="20"/>
                <w:szCs w:val="20"/>
              </w:rPr>
              <w:t xml:space="preserve">[semnăturile reprezentanţilor autorizaţi ai băncii şi ai Furnizorului/Prestatorului]</w:t>
            </w:r>
            <w:r>
              <w:rPr>
                <w:i/>
                <w:sz w:val="20"/>
                <w:szCs w:val="20"/>
              </w:rPr>
            </w:r>
            <w:r>
              <w:rPr>
                <w:i/>
                <w:sz w:val="20"/>
                <w:szCs w:val="20"/>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lang w:val="it-IT"/>
        </w:rPr>
      </w:pPr>
      <w:r/>
      <w:bookmarkStart w:id="85" w:name="_Toc449692108"/>
      <w:r/>
      <w:bookmarkEnd w:id="83"/>
      <w:r>
        <w:rPr>
          <w:lang w:val="it-IT"/>
        </w:rPr>
      </w:r>
      <w:r>
        <w:rPr>
          <w:lang w:val="it-IT"/>
        </w:rPr>
      </w:r>
    </w:p>
    <w:p>
      <w:pPr>
        <w:pBdr/>
        <w:spacing/>
        <w:ind/>
        <w:jc w:val="right"/>
        <w:rPr>
          <w:sz w:val="22"/>
          <w:szCs w:val="22"/>
          <w:lang w:val="it-IT"/>
        </w:rPr>
      </w:pPr>
      <w:r>
        <w:rPr>
          <w:lang w:val="it-IT"/>
        </w:rPr>
        <w:t xml:space="preserve">Anexa nr. 11</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91"/>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991"/>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9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9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9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7"/>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bunurilor livrate/serviciilor prestate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 supus licita</w:t>
      </w:r>
      <w:r>
        <w:rPr>
          <w:rFonts w:hint="eastAsia"/>
        </w:rPr>
        <w:t xml:space="preserve">ţ</w:t>
      </w:r>
      <w:r>
        <w:t xml:space="preserve">iei__________________________________________________</w:t>
      </w:r>
      <w:r/>
    </w:p>
    <w:p>
      <w:pPr>
        <w:pBdr/>
        <w:tabs>
          <w:tab w:val="left" w:leader="none" w:pos="567"/>
        </w:tabs>
        <w:spacing/>
        <w:ind/>
        <w:jc w:val="both"/>
        <w:rPr/>
      </w:pPr>
      <w:r>
        <w:t xml:space="preserve">j) 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secund: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 12</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 beneficiarului/Adresa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 contractului/ valoarea bunurilor/serviciilor 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13</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Cs/>
              </w:rPr>
            </w:pPr>
            <w:r>
              <w:rPr>
                <w:bCs/>
              </w:rPr>
              <w:t xml:space="preserve">Denumirea principalelor utilaje, echipamente, mijloace de transport, baze de produc</w:t>
            </w:r>
            <w:r>
              <w:rPr>
                <w:rFonts w:hint="eastAsia"/>
                <w:bCs/>
              </w:rPr>
              <w:t xml:space="preserve">ţ</w:t>
            </w:r>
            <w:r>
              <w:rPr>
                <w:bCs/>
              </w:rPr>
              <w:t xml:space="preserve">ie (ateliere, depozite, spa</w:t>
            </w:r>
            <w:r>
              <w:rPr>
                <w:rFonts w:hint="eastAsia"/>
                <w:bCs/>
              </w:rPr>
              <w:t xml:space="preserve">ţ</w:t>
            </w:r>
            <w:r>
              <w:rPr>
                <w:bCs/>
              </w:rPr>
              <w:t xml:space="preserve">ii de cazare) </w:t>
            </w:r>
            <w:r>
              <w:rPr>
                <w:rFonts w:hint="eastAsia"/>
                <w:bCs/>
              </w:rPr>
              <w:t xml:space="preserve">ş</w:t>
            </w:r>
            <w:r>
              <w:rPr>
                <w:bCs/>
              </w:rPr>
              <w:t xml:space="preserve">i laboratoare propuse de ofertant ca necesare pentru prestarea serviciilor, rezultate </w:t>
            </w:r>
            <w:r>
              <w:rPr>
                <w:rFonts w:hint="eastAsia"/>
                <w:bCs/>
              </w:rPr>
              <w:t xml:space="preserve">î</w:t>
            </w:r>
            <w:r>
              <w:rPr>
                <w:bCs/>
              </w:rPr>
              <w:t xml:space="preserve">n baza tehnologiilor pe care el urmeaz</w:t>
            </w:r>
            <w:r>
              <w:rPr>
                <w:rFonts w:hint="eastAsia"/>
                <w:bCs/>
              </w:rPr>
              <w:t xml:space="preserve">ă</w:t>
            </w:r>
            <w:r>
              <w:rPr>
                <w:bCs/>
              </w:rPr>
              <w:t xml:space="preserve"> s</w:t>
            </w:r>
            <w:r>
              <w:rPr>
                <w:rFonts w:hint="eastAsia"/>
                <w:bCs/>
              </w:rPr>
              <w:t xml:space="preserve">ă</w:t>
            </w:r>
            <w:r>
              <w:rPr>
                <w:bCs/>
              </w:rPr>
              <w:t xml:space="preserve"> le adopte</w:t>
            </w:r>
            <w:r>
              <w:rPr>
                <w:bCs/>
              </w:rPr>
            </w:r>
            <w:r>
              <w:rPr>
                <w:bCs/>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822"/>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bunurilor/serviciilor similare livrate/prestate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data 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nr.15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nr.16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822"/>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a 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 susţinător financiar)</w:t>
      </w:r>
      <w:r>
        <w:t xml:space="preserve">, ne obligăm, în mod ferm, necondiţionat şi irevocabil, să punem la dispoziţia ................ (</w:t>
      </w:r>
      <w:r>
        <w:rPr>
          <w:i/>
        </w:rPr>
        <w:t xml:space="preserve">denumirea 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 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denumirea ofertantului)</w:t>
      </w:r>
      <w:r>
        <w:t xml:space="preserve">, în baza contractului de achiziţie publică şi pentru care ...... (</w:t>
      </w:r>
      <w:r>
        <w:rPr>
          <w:i/>
        </w:rPr>
        <w:t xml:space="preserve">denumirea 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denumirea ofertantului/candidatului),</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nr.131/2015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(semnătură autorizată)</w:t>
      </w:r>
      <w:r>
        <w:rPr>
          <w:i/>
          <w:spacing w:val="-1"/>
        </w:rPr>
      </w:r>
      <w:r>
        <w:rPr>
          <w:i/>
          <w:spacing w:val="-1"/>
        </w:rPr>
      </w:r>
    </w:p>
    <w:p>
      <w:pPr>
        <w:pBdr/>
        <w:spacing/>
        <w:ind/>
        <w:jc w:val="right"/>
        <w:rPr>
          <w:sz w:val="22"/>
          <w:szCs w:val="22"/>
          <w:lang w:val="it-IT"/>
        </w:rPr>
      </w:pPr>
      <w:r>
        <w:rPr>
          <w:lang w:val="it-IT"/>
        </w:rPr>
        <w:t xml:space="preserve">Anexa nr. 17</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FINANCIAR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financiar),</w:t>
      </w:r>
      <w:r>
        <w:rPr>
          <w:rFonts w:eastAsia="Calibri"/>
        </w:rPr>
        <w:t xml:space="preserve"> declar pe propria răspundere, </w:t>
      </w:r>
      <w:r>
        <w:rPr>
          <w:rFonts w:eastAsia="Calibri"/>
        </w:rPr>
        <w:t xml:space="preserve">sub sancţiunile aplicabile faptei de fals în acte publice, că 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18</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822"/>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822"/>
        <w:numPr>
          <w:ilvl w:val="0"/>
          <w:numId w:val="0"/>
        </w:numPr>
        <w:pBdr/>
        <w:spacing/>
        <w:ind w:left="720"/>
        <w:rPr>
          <w:lang w:val="it-IT"/>
        </w:rPr>
      </w:pPr>
      <w:r/>
      <w:bookmarkStart w:id="102" w:name="_Hlk77771292"/>
      <w:r>
        <w:rPr>
          <w:lang w:val="it-IT"/>
        </w:rPr>
        <w:t xml:space="preserve">ANGAJAMENT PRIVIND SUSŢINEREA TEHNICĂ ȘI PROFESIONALĂ A OFERTANTULUI/GRUPULUI DE OPERATORI ECONOMICI</w:t>
      </w:r>
      <w:bookmarkEnd w:id="102"/>
      <w:r>
        <w:rPr>
          <w:lang w:val="it-IT"/>
        </w:rPr>
      </w:r>
      <w:r>
        <w:rPr>
          <w:lang w:val="it-IT"/>
        </w:rPr>
      </w:r>
    </w:p>
    <w:p>
      <w:pPr>
        <w:pBdr/>
        <w:spacing/>
        <w:ind w:firstLine="720" w:left="5040"/>
        <w:jc w:val="both"/>
        <w:rPr>
          <w:rStyle w:val="1066"/>
          <w:rFonts w:eastAsiaTheme="majorEastAsia"/>
          <w:sz w:val="24"/>
          <w:szCs w:val="24"/>
          <w:lang w:val="it-IT"/>
        </w:rPr>
      </w:pPr>
      <w:r>
        <w:rPr>
          <w:rFonts w:eastAsiaTheme="majorEastAsia"/>
          <w:sz w:val="24"/>
          <w:szCs w:val="24"/>
          <w:lang w:val="it-IT"/>
        </w:rPr>
      </w:r>
      <w:r>
        <w:rPr>
          <w:rStyle w:val="1066"/>
          <w:rFonts w:eastAsiaTheme="majorEastAsia"/>
          <w:sz w:val="24"/>
          <w:szCs w:val="24"/>
          <w:lang w:val="it-IT"/>
        </w:rPr>
      </w:r>
      <w:r>
        <w:rPr>
          <w:rStyle w:val="1066"/>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tehnică și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 ofertantului/candidatului) </w:t>
      </w:r>
      <w:r>
        <w:t xml:space="preserve">re</w:t>
      </w:r>
      <w:r>
        <w:t xml:space="preserve">sursele tehnice şi/sau profesionale de ................................................ ..................................................................necesare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 profesional),</w:t>
      </w:r>
      <w:r>
        <w:t xml:space="preserve"> declarăm că înţelegem să răspundem, în mod necondiţionat, faţă de autoritatea contractantă pentru neexecutarea oricărei obligaţii asumate de ....................... </w:t>
      </w:r>
      <w:r>
        <w:rPr>
          <w:i/>
        </w:rPr>
        <w:t xml:space="preserve">(denumire ofertantului/candidatului)</w:t>
      </w:r>
      <w:r>
        <w:t xml:space="preserve">, în baza contractului de achiziţie publică, şi pentru care ................ </w:t>
      </w:r>
      <w:r>
        <w:rPr>
          <w:i/>
        </w:rPr>
        <w:t xml:space="preserve">(denumirea operatorului/candidatului)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art.22 alin.(6) al Legii nr.131/2015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 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(semnătură autorizată)</w:t>
      </w:r>
      <w:r>
        <w:rPr>
          <w:i/>
          <w:spacing w:val="-1"/>
        </w:rPr>
      </w:r>
      <w:r>
        <w:rPr>
          <w:i/>
          <w:spacing w:val="-1"/>
        </w:rPr>
      </w:r>
    </w:p>
    <w:p>
      <w:pPr>
        <w:pBdr/>
        <w:spacing/>
        <w:ind/>
        <w:jc w:val="right"/>
        <w:rPr>
          <w:sz w:val="22"/>
          <w:szCs w:val="22"/>
          <w:lang w:val="it-IT"/>
        </w:rPr>
      </w:pPr>
      <w:r>
        <w:rPr>
          <w:lang w:val="it-IT"/>
        </w:rPr>
        <w:t xml:space="preserve">Anexa nr. 19</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și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 oferită...........................................(</w:t>
      </w:r>
      <w:r>
        <w:rPr>
          <w:rFonts w:eastAsia="Calibri"/>
          <w:i/>
        </w:rPr>
        <w:t xml:space="preserve">denumirea 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 20</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publice, că </w:t>
      </w:r>
      <w:r>
        <w:rPr>
          <w:rFonts w:eastAsia="Calibri"/>
        </w:rPr>
        <w:t xml:space="preserve">datele prezentate în tabelul anexat privind efectivul mediu anual al personalului de specialitate angajat care urmează a fi efectiv alocat pentru îndeplinirea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r>
        <w:rPr>
          <w:highlight w:val="none"/>
          <w:lang w:val="it-IT"/>
        </w:rPr>
      </w:r>
      <w:r>
        <w:rPr>
          <w:highlight w:val="none"/>
          <w:lang w:val="it-IT"/>
        </w:rPr>
      </w:r>
      <w:r>
        <w:rPr>
          <w:rFonts w:eastAsia="Calibri"/>
          <w:i/>
          <w:spacing w:val="-1"/>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Bunuri/Servicii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u w:val="single"/>
        </w:rPr>
      </w:pPr>
      <w:r>
        <w:rPr>
          <w:bCs/>
        </w:rPr>
        <w:t xml:space="preserve">Obiectul   </w:t>
      </w:r>
      <w:r>
        <w:rPr>
          <w:rFonts w:eastAsia="Times New Roman" w:cs="Times New Roman"/>
          <w:b/>
          <w:iCs w:val="0"/>
          <w:u w:val="single"/>
          <w:lang w:eastAsia="en-US"/>
        </w:rPr>
        <w:t xml:space="preserve">Produse petroliere pentru anul 202</w:t>
      </w:r>
      <w:r>
        <w:rPr>
          <w:rFonts w:eastAsia="Times New Roman" w:cs="Times New Roman"/>
          <w:b/>
          <w:bCs/>
          <w:u w:val="single"/>
          <w:lang w:val="ro-RO" w:eastAsia="en-US"/>
        </w:rPr>
        <w:t xml:space="preserve">6</w:t>
      </w:r>
      <w:r>
        <w:rPr>
          <w:rFonts w:eastAsia="Times New Roman" w:cs="Times New Roman"/>
          <w:b/>
          <w:bCs/>
          <w:u w:val="single"/>
          <w:lang w:val="en-US" w:eastAsia="en-US"/>
        </w:rPr>
        <w:t xml:space="preserve"> </w:t>
      </w:r>
      <w:r>
        <w:rPr>
          <w:bCs/>
          <w:u w:val="single"/>
        </w:rPr>
      </w:r>
      <w:r>
        <w:rPr>
          <w:bCs/>
          <w:u w:val="single"/>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pBdr/>
        <w:spacing/>
        <w:ind/>
        <w:jc w:val="both"/>
        <w:rPr>
          <w:b/>
          <w:bCs/>
          <w:u w:val="single"/>
        </w:rPr>
      </w:pPr>
      <w:r>
        <w:rPr>
          <w:bCs/>
        </w:rPr>
        <w:t xml:space="preserve">Autoritatea contractantă </w:t>
      </w:r>
      <w:r>
        <w:rPr>
          <w:b/>
          <w:bCs/>
          <w:u w:val="single"/>
          <w:lang w:val="ru-RU" w:eastAsia="ru-RU"/>
        </w:rPr>
        <w:t xml:space="preserve">Agenția Teritorială de Asistență Socială</w:t>
      </w:r>
      <w:r>
        <w:rPr>
          <w:b/>
          <w:bCs/>
          <w:u w:val="single"/>
          <w:lang w:val="ro-RO"/>
        </w:rPr>
        <w:t xml:space="preserve"> </w:t>
      </w:r>
      <w:r>
        <w:rPr>
          <w:b/>
          <w:bCs/>
          <w:u w:val="single"/>
          <w:lang w:val="ru-RU" w:eastAsia="ru-RU"/>
        </w:rPr>
        <w:t xml:space="preserve">Centru-Vest Ungheni</w:t>
      </w:r>
      <w:r>
        <w:rPr>
          <w:b/>
          <w:bCs/>
          <w:u w:val="single"/>
        </w:rPr>
      </w:r>
      <w:r>
        <w:rPr>
          <w:b/>
          <w:bCs/>
          <w:u w:val="single"/>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Descriere generală. Informaţii</w:t>
      </w:r>
      <w:r>
        <w:rPr>
          <w:b/>
        </w:rPr>
      </w:r>
      <w:r>
        <w:rPr>
          <w:b/>
        </w:rPr>
      </w:r>
    </w:p>
    <w:tbl>
      <w:tblPr>
        <w:tblW w:w="10075" w:type="dxa"/>
        <w:tblInd w:w="-455" w:type="dxa"/>
        <w:tblBorders/>
        <w:tblLayout w:type="fixed"/>
        <w:tblLook w:val="04A0" w:firstRow="1" w:lastRow="0" w:firstColumn="1" w:lastColumn="0" w:noHBand="0" w:noVBand="1"/>
      </w:tblPr>
      <w:tblGrid>
        <w:gridCol w:w="597"/>
        <w:gridCol w:w="1276"/>
        <w:gridCol w:w="2083"/>
        <w:gridCol w:w="990"/>
        <w:gridCol w:w="1170"/>
        <w:gridCol w:w="1980"/>
        <w:gridCol w:w="1980"/>
      </w:tblGrid>
      <w:tr>
        <w:trPr>
          <w:trHeight w:val="56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bunurilor/ serviciilor</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t xml:space="preserve">09100000-0</w:t>
            </w:r>
            <w:r>
              <w:rPr>
                <w:sz w:val="20"/>
                <w:szCs w:val="20"/>
                <w:lang w:val="it-IT" w:eastAsia="ru-RU"/>
              </w:rPr>
            </w:r>
            <w:r>
              <w:rPr>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hd w:val="clear" w:color="auto" w:fill="ffffff" w:themeFill="background1"/>
              <w:spacing/>
              <w:ind/>
              <w:jc w:val="center"/>
              <w:rPr>
                <w:b/>
                <w:bCs/>
                <w:sz w:val="20"/>
                <w:szCs w:val="20"/>
                <w:lang w:val="ro-RO"/>
              </w:rPr>
            </w:pPr>
            <w:r>
              <w:rPr>
                <w:b/>
                <w:sz w:val="20"/>
                <w:szCs w:val="20"/>
                <w:lang w:val="ru-RU" w:eastAsia="ru-RU"/>
              </w:rPr>
              <w:t xml:space="preserve">Lotul 1</w:t>
            </w:r>
            <w:r>
              <w:rPr>
                <w:b/>
                <w:sz w:val="20"/>
                <w:szCs w:val="20"/>
                <w:lang w:val="ro-RO"/>
              </w:rPr>
              <w:t xml:space="preserve">-</w:t>
            </w:r>
            <w:r>
              <w:rPr>
                <w:b/>
                <w:bCs/>
                <w:sz w:val="20"/>
                <w:szCs w:val="20"/>
                <w:lang w:val="ro-RO"/>
              </w:rPr>
            </w:r>
            <w:r>
              <w:rPr>
                <w:b/>
                <w:bCs/>
                <w:sz w:val="20"/>
                <w:szCs w:val="20"/>
                <w:lang w:val="ro-RO"/>
              </w:rPr>
            </w:r>
          </w:p>
          <w:p>
            <w:pPr>
              <w:pBdr/>
              <w:shd w:val="clear" w:color="auto" w:fill="ffffff" w:themeFill="background1"/>
              <w:spacing/>
              <w:ind/>
              <w:jc w:val="center"/>
              <w:rPr>
                <w:sz w:val="20"/>
                <w:szCs w:val="20"/>
                <w:lang w:val="ru-RU" w:eastAsia="ru-RU"/>
              </w:rPr>
            </w:pPr>
            <w:r>
              <w:rPr>
                <w:b/>
                <w:sz w:val="20"/>
                <w:szCs w:val="20"/>
                <w:lang w:val="ro-RO"/>
              </w:rPr>
              <w:t xml:space="preserve">Produse petroliere</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t xml:space="preserve">09132000-3</w:t>
            </w:r>
            <w:r>
              <w:rPr>
                <w:sz w:val="18"/>
                <w:szCs w:val="18"/>
                <w:lang w:val="ru-RU" w:eastAsia="ru-RU"/>
              </w:rPr>
            </w:r>
            <w:r>
              <w:rPr>
                <w:sz w:val="18"/>
                <w:szCs w:val="18"/>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lang w:val="ru-RU" w:eastAsia="ru-RU"/>
                <w14:ligatures w14:val="none"/>
              </w:rPr>
            </w:pPr>
            <w:r>
              <w:rPr>
                <w:i/>
                <w:sz w:val="22"/>
                <w:szCs w:val="22"/>
                <w:lang w:val="ru-RU" w:eastAsia="ru-RU"/>
              </w:rPr>
            </w:r>
            <w:r>
              <w:rPr>
                <w:sz w:val="22"/>
                <w:szCs w:val="22"/>
                <w:lang w:val="ru-RU" w:eastAsia="ru-RU"/>
              </w:rPr>
              <w:t xml:space="preserve">Benzina Premium </w:t>
            </w:r>
            <w:r>
              <w:rPr>
                <w:sz w:val="22"/>
                <w:szCs w:val="22"/>
                <w:lang w:val="ru-RU" w:eastAsia="ru-RU"/>
                <w14:ligatures w14:val="none"/>
              </w:rPr>
            </w:r>
            <w:r>
              <w:rPr>
                <w:sz w:val="22"/>
                <w:szCs w:val="22"/>
                <w:lang w:val="ru-RU" w:eastAsia="ru-RU"/>
                <w14:ligatures w14:val="none"/>
              </w:rPr>
            </w:r>
          </w:p>
          <w:p>
            <w:pPr>
              <w:pBdr/>
              <w:spacing/>
              <w:ind/>
              <w:rPr>
                <w:sz w:val="22"/>
                <w:szCs w:val="22"/>
                <w14:ligatures w14:val="none"/>
              </w:rPr>
            </w:pPr>
            <w:r>
              <w:rPr>
                <w:sz w:val="22"/>
                <w:szCs w:val="22"/>
                <w:lang w:val="ru-RU" w:eastAsia="ru-RU"/>
              </w:rPr>
              <w:t xml:space="preserve">A 95</w:t>
            </w:r>
            <w:r>
              <w:rPr>
                <w:sz w:val="22"/>
                <w:szCs w:val="22"/>
                <w14:ligatures w14:val="none"/>
              </w:rPr>
            </w:r>
            <w:r>
              <w:rPr>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7 000,00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left"/>
              <w:rPr>
                <w:sz w:val="20"/>
                <w:szCs w:val="20"/>
                <w:lang w:val="ru-RU" w:eastAsia="ru-RU"/>
              </w:rPr>
            </w:pPr>
            <w:r>
              <w:rPr>
                <w:sz w:val="20"/>
                <w:szCs w:val="20"/>
                <w:lang w:val="ru-RU" w:eastAsia="ru-RU"/>
              </w:rPr>
            </w:r>
            <w:r>
              <w:rPr>
                <w:sz w:val="20"/>
                <w:szCs w:val="20"/>
                <w:lang w:val="ru-RU" w:eastAsia="ru-RU"/>
              </w:rPr>
              <w:t xml:space="preserve">B</w:t>
            </w:r>
            <w:r>
              <w:rPr>
                <w:sz w:val="20"/>
                <w:szCs w:val="20"/>
                <w:lang w:val="ru-RU" w:eastAsia="ru-RU"/>
              </w:rPr>
              <w:t xml:space="preserve">enzină, cifra octanică 95. Conform standardelor naționale în vigoare. Alimentarea vehiculelor la staţiile furnizorului, pe întreg teritoriu al Republicii Moldova, prin intermediul sistemului de carduri electronice emise de către furnizor pentru fiecare veh</w:t>
            </w:r>
            <w:r>
              <w:rPr>
                <w:sz w:val="20"/>
                <w:szCs w:val="20"/>
                <w:lang w:val="ru-RU" w:eastAsia="ru-RU"/>
              </w:rPr>
              <w:t xml:space="preserve">icul</w:t>
            </w:r>
            <w:r>
              <w:rPr>
                <w:sz w:val="20"/>
                <w:szCs w:val="20"/>
                <w:lang w:val="ro-RO"/>
              </w:rPr>
              <w:t xml:space="preserve">.</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109 083,00</w:t>
            </w:r>
            <w:r>
              <w:rPr>
                <w:b/>
                <w:bCs/>
                <w:sz w:val="20"/>
                <w:szCs w:val="20"/>
              </w:rPr>
            </w:r>
            <w:r>
              <w:rPr>
                <w:b/>
                <w:bCs/>
                <w:sz w:val="20"/>
                <w:szCs w:val="20"/>
              </w:rPr>
            </w:r>
          </w:p>
        </w:tc>
      </w:tr>
      <w:tr>
        <w:trPr>
          <w:trHeight w:val="3401"/>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2</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r>
            <w:r>
              <w:rPr>
                <w:sz w:val="18"/>
                <w:szCs w:val="18"/>
                <w:lang w:val="ru-RU" w:eastAsia="ru-RU"/>
              </w:rPr>
              <w:t xml:space="preserve">09134200-9</w:t>
            </w:r>
            <w:r>
              <w:rPr>
                <w:sz w:val="18"/>
                <w:szCs w:val="18"/>
                <w:lang w:val="ru-RU" w:eastAsia="ru-RU"/>
              </w:rPr>
            </w:r>
            <w:r>
              <w:rPr>
                <w:sz w:val="18"/>
                <w:szCs w:val="18"/>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rPr>
            </w:pPr>
            <w:r>
              <w:rPr>
                <w:sz w:val="22"/>
                <w:szCs w:val="22"/>
              </w:rPr>
            </w:r>
            <w:r>
              <w:rPr>
                <w:sz w:val="22"/>
                <w:szCs w:val="22"/>
              </w:rPr>
              <w:t xml:space="preserve">Motorina Euro 5</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12 000,00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pPr>
            <w:r>
              <w:rPr>
                <w:sz w:val="20"/>
                <w:szCs w:val="20"/>
                <w:lang w:val="ru-RU" w:eastAsia="ru-RU"/>
              </w:rPr>
              <w:t xml:space="preserve">Motorină EURO 5.</w:t>
            </w:r>
            <w:r/>
            <w:r/>
          </w:p>
          <w:p>
            <w:pPr>
              <w:pBdr/>
              <w:shd w:val="clear" w:color="auto" w:fill="ffffff" w:themeFill="background1"/>
              <w:spacing w:before="120"/>
              <w:ind/>
              <w:jc w:val="center"/>
              <w:rPr/>
            </w:pPr>
            <w:r>
              <w:rPr>
                <w:sz w:val="20"/>
                <w:szCs w:val="20"/>
                <w:lang w:val="ru-RU" w:eastAsia="ru-RU"/>
              </w:rPr>
              <w:t xml:space="preserve">Conform standardelor naționale în vigoare.</w:t>
            </w:r>
            <w:r/>
            <w:r/>
          </w:p>
          <w:p>
            <w:pPr>
              <w:pBdr/>
              <w:shd w:val="clear" w:color="auto" w:fill="ffffff" w:themeFill="background1"/>
              <w:spacing w:before="120"/>
              <w:ind/>
              <w:jc w:val="center"/>
              <w:rPr>
                <w:sz w:val="20"/>
                <w:szCs w:val="20"/>
                <w:lang w:val="ru-RU" w:eastAsia="ru-RU"/>
              </w:rPr>
            </w:pPr>
            <w:r>
              <w:rPr>
                <w:sz w:val="20"/>
                <w:szCs w:val="20"/>
                <w:lang w:val="ru-RU" w:eastAsia="ru-RU"/>
              </w:rPr>
              <w:t xml:space="preserve">Alimentarea vehiculelor la staţiile furnizorului, pe întreg teritoriul Republicii Moldova, prin intermediul sistemului de carduri electronice emise de către furnizor pentru fiecare vehicul</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219 200,00</w:t>
            </w:r>
            <w:r>
              <w:rPr>
                <w:b/>
                <w:bCs/>
                <w:sz w:val="20"/>
                <w:szCs w:val="20"/>
              </w:rPr>
            </w:r>
            <w:r>
              <w:rPr>
                <w:b/>
                <w:bCs/>
                <w:sz w:val="20"/>
                <w:szCs w:val="20"/>
              </w:rPr>
            </w:r>
          </w:p>
        </w:tc>
      </w:tr>
      <w:tr>
        <w:trPr>
          <w:trHeight w:val="324"/>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3</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t xml:space="preserve">09133000-0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14:ligatures w14:val="none"/>
              </w:rPr>
            </w:pPr>
            <w:r>
              <w:rPr>
                <w:sz w:val="22"/>
                <w:szCs w:val="22"/>
              </w:rPr>
              <w:t xml:space="preserve">Gaz lichefiat GPL</w:t>
            </w:r>
            <w:r>
              <w:rPr>
                <w:sz w:val="22"/>
                <w:szCs w:val="22"/>
                <w14:ligatures w14:val="none"/>
              </w:rPr>
            </w:r>
            <w:r>
              <w:rPr>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500,00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sz w:val="20"/>
                <w:szCs w:val="20"/>
                <w:highlight w:val="none"/>
                <w:lang w:val="ru-RU" w:eastAsia="ru-RU"/>
              </w:rPr>
            </w:pPr>
            <w:r>
              <w:rPr>
                <w:sz w:val="20"/>
                <w:szCs w:val="20"/>
                <w:lang w:val="ru-RU" w:eastAsia="ru-RU"/>
              </w:rPr>
            </w:r>
            <w:r>
              <w:rPr>
                <w:sz w:val="20"/>
                <w:szCs w:val="20"/>
                <w:lang w:val="ru-RU" w:eastAsia="ru-RU"/>
              </w:rPr>
              <w:t xml:space="preserve">Carduri valorice; GOST 20448-90 SM SR EN 589:2016</w:t>
            </w:r>
            <w:r>
              <w:rPr>
                <w:sz w:val="20"/>
                <w:szCs w:val="20"/>
                <w:highlight w:val="none"/>
                <w:lang w:val="ru-RU" w:eastAsia="ru-RU"/>
              </w:rPr>
            </w:r>
            <w:r>
              <w:rPr>
                <w:sz w:val="20"/>
                <w:szCs w:val="20"/>
                <w:highlight w:val="none"/>
                <w:lang w:val="ru-RU" w:eastAsia="ru-RU"/>
              </w:rPr>
            </w:r>
          </w:p>
          <w:p>
            <w:pPr>
              <w:pBdr/>
              <w:shd w:val="clear" w:color="auto" w:fill="ffffff" w:themeFill="background1"/>
              <w:spacing w:before="120"/>
              <w:ind/>
              <w:jc w:val="center"/>
              <w:rPr>
                <w:sz w:val="20"/>
                <w:szCs w:val="20"/>
                <w:lang w:val="ru-RU" w:eastAsia="ru-RU"/>
              </w:rPr>
            </w:pPr>
            <w:r>
              <w:rPr>
                <w:sz w:val="20"/>
                <w:szCs w:val="20"/>
                <w:highlight w:val="none"/>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5 417,00</w:t>
            </w:r>
            <w:r>
              <w:rPr>
                <w:b/>
                <w:bCs/>
                <w:sz w:val="20"/>
                <w:szCs w:val="20"/>
              </w:rPr>
            </w:r>
            <w:r>
              <w:rPr>
                <w:b/>
                <w:bCs/>
                <w:sz w:val="20"/>
                <w:szCs w:val="20"/>
              </w:rPr>
            </w:r>
          </w:p>
        </w:tc>
      </w:tr>
      <w:tr>
        <w:trPr>
          <w:trHeight w:val="397"/>
        </w:trPr>
        <w:tc>
          <w:tcPr>
            <w:gridSpan w:val="6"/>
            <w:shd w:val="clear" w:color="ffffff" w:fill="ffffff"/>
            <w:tcBorders>
              <w:top w:val="single" w:color="000000" w:sz="4" w:space="0"/>
              <w:left w:val="single" w:color="000000" w:sz="4" w:space="0"/>
              <w:bottom w:val="single" w:color="000000" w:sz="4" w:space="0"/>
              <w:right w:val="single" w:color="000000"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333 700,00</w:t>
            </w:r>
            <w:r>
              <w:rPr>
                <w:b/>
                <w:bCs/>
                <w:sz w:val="20"/>
                <w:szCs w:val="20"/>
              </w:rPr>
            </w:r>
            <w:r>
              <w:rPr>
                <w:b/>
                <w:bCs/>
                <w:sz w:val="20"/>
                <w:szCs w:val="20"/>
              </w:rPr>
            </w:r>
          </w:p>
        </w:tc>
      </w:tr>
    </w:tbl>
    <w:p>
      <w:pPr>
        <w:pBdr/>
        <w:spacing/>
        <w:ind w:firstLine="709"/>
        <w:jc w:val="both"/>
        <w:rPr>
          <w:bCs/>
        </w:rPr>
      </w:pPr>
      <w:r/>
      <w:r>
        <w:rPr>
          <w:bCs/>
        </w:rPr>
      </w:r>
    </w:p>
    <w:p>
      <w:pPr>
        <w:pBdr/>
        <w:spacing/>
        <w:ind w:firstLine="709"/>
        <w:jc w:val="both"/>
        <w:rPr>
          <w:rFonts w:eastAsia="Times New Roman" w:cs="Times New Roman"/>
          <w:b/>
          <w:bCs w:val="0"/>
          <w:iCs w:val="0"/>
          <w:lang w:eastAsia="en-US"/>
        </w:rPr>
      </w:pPr>
      <w:r>
        <w:rPr>
          <w:rFonts w:eastAsia="Times New Roman" w:cs="Times New Roman"/>
          <w:b/>
          <w:bCs w:val="0"/>
          <w:iCs w:val="0"/>
          <w:lang w:eastAsia="en-US"/>
        </w:rPr>
        <w:t xml:space="preserve">2.  Utilizarea, păstrarea, protecţia, calitatea produselor/serviciilor</w:t>
      </w:r>
      <w:r>
        <w:rPr>
          <w:rFonts w:eastAsia="Times New Roman" w:cs="Times New Roman"/>
          <w:b/>
          <w:bCs w:val="0"/>
          <w:iCs w:val="0"/>
          <w:lang w:eastAsia="en-US"/>
        </w:rPr>
      </w:r>
      <w:r>
        <w:rPr>
          <w:rFonts w:eastAsia="Times New Roman" w:cs="Times New Roman"/>
          <w:b/>
          <w:bCs w:val="0"/>
          <w:iCs w:val="0"/>
          <w:lang w:eastAsia="en-US"/>
        </w:rPr>
      </w:r>
    </w:p>
    <w:p>
      <w:pPr>
        <w:pBdr/>
        <w:spacing/>
        <w:ind w:firstLine="709"/>
        <w:jc w:val="both"/>
        <w:rPr>
          <w:rFonts w:eastAsia="Times New Roman" w:cs="Times New Roman"/>
          <w:b/>
          <w:bCs w:val="0"/>
          <w:iCs w:val="0"/>
          <w:lang w:eastAsia="en-US"/>
        </w:rPr>
      </w:pPr>
      <w:r>
        <w:rPr>
          <w:rFonts w:eastAsia="Times New Roman" w:cs="Times New Roman"/>
          <w:b/>
          <w:bCs w:val="0"/>
          <w:iCs w:val="0"/>
          <w:lang w:eastAsia="en-US"/>
        </w:rPr>
      </w:r>
      <w:r>
        <w:rPr>
          <w:rFonts w:eastAsia="Times New Roman" w:cs="Times New Roman"/>
          <w:b/>
          <w:bCs w:val="0"/>
          <w:iCs w:val="0"/>
          <w:lang w:eastAsia="en-US"/>
        </w:rPr>
      </w:r>
      <w:r>
        <w:rPr>
          <w:rFonts w:eastAsia="Times New Roman" w:cs="Times New Roman"/>
          <w:b/>
          <w:bCs w:val="0"/>
          <w:iCs w:val="0"/>
          <w:lang w:eastAsia="en-US"/>
        </w:rPr>
      </w:r>
    </w:p>
    <w:p>
      <w:pPr>
        <w:pBdr/>
        <w:spacing/>
        <w:ind w:firstLine="709"/>
        <w:jc w:val="both"/>
        <w:rPr>
          <w:rFonts w:eastAsia="Times New Roman" w:cs="Times New Roman"/>
          <w:iCs w:val="0"/>
          <w:lang w:eastAsia="en-US"/>
        </w:rPr>
      </w:pPr>
      <w:r>
        <w:rPr>
          <w:rFonts w:eastAsia="Times New Roman" w:cs="Times New Roman"/>
          <w:b/>
          <w:bCs w:val="0"/>
          <w:iCs w:val="0"/>
          <w:lang w:eastAsia="en-US"/>
        </w:rPr>
        <w:t xml:space="preserve">Detalii privind utilizarea bunurilor:</w:t>
      </w:r>
      <w:r>
        <w:rPr>
          <w:rFonts w:eastAsia="Times New Roman" w:cs="Times New Roman"/>
          <w:iCs w:val="0"/>
          <w:lang w:eastAsia="en-US"/>
        </w:rPr>
        <w:t xml:space="preserve"> </w:t>
      </w:r>
      <w:r>
        <w:rPr>
          <w:rFonts w:eastAsia="Times New Roman" w:cs="Times New Roman"/>
          <w:i/>
          <w:lang w:eastAsia="en-US"/>
        </w:rPr>
        <w:t xml:space="preserve">Aprovizionarea cu combustibil a unităților  aflate  în  gestiunea  ATAS Centru-Vest Ungheni  și din cadrul STAS-urilor.</w:t>
      </w:r>
      <w:r>
        <w:rPr>
          <w:rFonts w:eastAsia="Times New Roman" w:cs="Times New Roman"/>
          <w:iCs w:val="0"/>
          <w:lang w:eastAsia="en-US"/>
        </w:rPr>
      </w:r>
    </w:p>
    <w:p>
      <w:pPr>
        <w:pBdr/>
        <w:spacing/>
        <w:ind w:firstLine="709"/>
        <w:jc w:val="both"/>
        <w:rPr>
          <w:rFonts w:eastAsia="Times New Roman" w:cs="Times New Roman"/>
          <w:i/>
          <w:lang w:val="it-IT" w:eastAsia="en-US"/>
        </w:rPr>
      </w:pPr>
      <w:r>
        <w:rPr>
          <w:rFonts w:eastAsia="Times New Roman" w:cs="Times New Roman"/>
          <w:b/>
          <w:bCs w:val="0"/>
          <w:iCs w:val="0"/>
          <w:lang w:eastAsia="en-US"/>
        </w:rPr>
        <w:t xml:space="preserve">Termenii și condițiile de livrare/prestare/executare solicitați: </w:t>
      </w:r>
      <w:r>
        <w:rPr>
          <w:rFonts w:eastAsia="Times New Roman" w:cs="Times New Roman"/>
          <w:i/>
          <w:lang w:val="en-US" w:eastAsia="en-US"/>
        </w:rPr>
        <w:t xml:space="preserve">la stațiile de alimentare ale Vânzătorului situate pe teritoriul Republicii Moldova</w:t>
      </w:r>
      <w:r>
        <w:rPr>
          <w:rFonts w:eastAsia="Times New Roman" w:cs="Times New Roman"/>
          <w:i/>
          <w:lang w:val="it-IT" w:eastAsia="en-US"/>
        </w:rPr>
      </w:r>
      <w:r>
        <w:rPr>
          <w:rFonts w:eastAsia="Times New Roman" w:cs="Times New Roman"/>
          <w:i/>
          <w:lang w:val="it-IT" w:eastAsia="en-US"/>
        </w:rPr>
      </w:r>
    </w:p>
    <w:p>
      <w:pPr>
        <w:pBdr/>
        <w:spacing/>
        <w:ind w:firstLine="709"/>
        <w:jc w:val="both"/>
        <w:rPr>
          <w:rFonts w:eastAsia="Times New Roman" w:cs="Times New Roman"/>
          <w:bCs w:val="0"/>
          <w:i/>
          <w:iCs w:val="0"/>
          <w:lang w:val="it-IT" w:eastAsia="en-US"/>
        </w:rPr>
      </w:pPr>
      <w:r>
        <w:rPr>
          <w:rFonts w:eastAsia="Times New Roman" w:cs="Times New Roman"/>
          <w:bCs w:val="0"/>
          <w:i/>
          <w:iCs w:val="0"/>
          <w:lang w:val="it-IT" w:eastAsia="en-US"/>
        </w:rPr>
      </w:r>
      <w:r>
        <w:rPr>
          <w:rFonts w:eastAsia="Times New Roman" w:cs="Times New Roman"/>
          <w:bCs w:val="0"/>
          <w:i/>
          <w:iCs w:val="0"/>
          <w:lang w:val="it-IT" w:eastAsia="en-US"/>
        </w:rPr>
      </w:r>
      <w:r>
        <w:rPr>
          <w:rFonts w:eastAsia="Times New Roman" w:cs="Times New Roman"/>
          <w:bCs w:val="0"/>
          <w:i/>
          <w:iCs w:val="0"/>
          <w:lang w:val="it-IT" w:eastAsia="en-US"/>
        </w:rPr>
      </w:r>
    </w:p>
    <w:p>
      <w:pPr>
        <w:numPr>
          <w:ilvl w:val="0"/>
          <w:numId w:val="26"/>
        </w:numPr>
        <w:pBdr/>
        <w:tabs>
          <w:tab w:val="left" w:leader="none" w:pos="1134"/>
        </w:tabs>
        <w:spacing w:after="160" w:line="259" w:lineRule="auto"/>
        <w:ind/>
        <w:jc w:val="both"/>
        <w:rPr>
          <w:rFonts w:eastAsia="Times New Roman" w:cs="Times New Roman"/>
          <w:b/>
          <w:bCs w:val="0"/>
          <w:iCs w:val="0"/>
          <w:lang w:val="en-US" w:eastAsia="en-US"/>
        </w:rPr>
      </w:pPr>
      <w:r>
        <w:rPr>
          <w:rFonts w:eastAsia="Times New Roman" w:cs="Times New Roman"/>
          <w:b/>
          <w:bCs w:val="0"/>
          <w:iCs w:val="0"/>
          <w:lang w:val="en-US" w:eastAsia="en-US"/>
        </w:rPr>
        <w:t xml:space="preserve">Materiale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compatibilităţi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reglementări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tehnice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şi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standarde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utilizate</w:t>
      </w:r>
      <w:r>
        <w:rPr>
          <w:rFonts w:eastAsia="Times New Roman" w:cs="Times New Roman"/>
          <w:b/>
          <w:bCs w:val="0"/>
          <w:iCs w:val="0"/>
          <w:lang w:val="en-US" w:eastAsia="en-US"/>
        </w:rPr>
      </w:r>
      <w:r>
        <w:rPr>
          <w:rFonts w:eastAsia="Times New Roman" w:cs="Times New Roman"/>
          <w:b/>
          <w:bCs w:val="0"/>
          <w:iCs w:val="0"/>
          <w:lang w:val="en-US" w:eastAsia="en-US"/>
        </w:rPr>
      </w:r>
    </w:p>
    <w:p>
      <w:pPr>
        <w:pBdr/>
        <w:spacing/>
        <w:ind w:firstLine="709"/>
        <w:jc w:val="both"/>
        <w:rPr>
          <w:rFonts w:eastAsia="Times New Roman" w:cs="Times New Roman"/>
          <w:bCs w:val="0"/>
          <w:i/>
          <w:lang w:eastAsia="en-US"/>
        </w:rPr>
      </w:pPr>
      <w:r>
        <w:rPr>
          <w:rFonts w:eastAsia="Times New Roman" w:cs="Times New Roman"/>
          <w:b/>
          <w:iCs w:val="0"/>
          <w:lang w:eastAsia="en-US"/>
        </w:rPr>
        <w:t xml:space="preserve">Benzină</w:t>
      </w:r>
      <w:r>
        <w:rPr>
          <w:rFonts w:eastAsia="Times New Roman" w:cs="Times New Roman"/>
          <w:bCs w:val="0"/>
          <w:iCs w:val="0"/>
          <w:lang w:eastAsia="en-US"/>
        </w:rPr>
        <w:t xml:space="preserve"> - </w:t>
      </w:r>
      <w:r>
        <w:rPr>
          <w:rFonts w:eastAsia="Times New Roman" w:cs="Times New Roman"/>
          <w:bCs w:val="0"/>
          <w:i/>
          <w:iCs w:val="0"/>
          <w:lang w:eastAsia="en-US"/>
        </w:rPr>
        <w:t xml:space="preserve">Cifra octanică: COR – minim 95, </w:t>
      </w:r>
      <w:r>
        <w:rPr>
          <w:rFonts w:eastAsia="Times New Roman" w:cs="Times New Roman"/>
          <w:bCs w:val="0"/>
          <w:i/>
          <w:lang w:eastAsia="en-US"/>
        </w:rPr>
        <w:t xml:space="preserve">Standard de referinţă: SM SR EN 228+A1:2017 „Carburanți pentru automobile. Benzină fără plumb. Cerințe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
          <w:lang w:eastAsia="en-US"/>
        </w:rPr>
      </w:pPr>
      <w:r>
        <w:rPr>
          <w:rFonts w:eastAsia="Times New Roman" w:cs="Times New Roman"/>
          <w:b/>
          <w:lang w:eastAsia="en-US"/>
        </w:rPr>
        <w:t xml:space="preserve">Motorină</w:t>
      </w:r>
      <w:r>
        <w:rPr>
          <w:rFonts w:eastAsia="Times New Roman" w:cs="Times New Roman"/>
          <w:bCs w:val="0"/>
          <w:i/>
          <w:iCs w:val="0"/>
          <w:lang w:eastAsia="en-US"/>
        </w:rPr>
        <w:t xml:space="preserve"> - Motorină euro 5, </w:t>
      </w:r>
      <w:r>
        <w:rPr>
          <w:rFonts w:eastAsia="Times New Roman" w:cs="Times New Roman"/>
          <w:bCs w:val="0"/>
          <w:i/>
          <w:lang w:eastAsia="en-US"/>
        </w:rPr>
        <w:t xml:space="preserve">Standard de referinţă: SM EN 590+A1:2017 „Carburanți pentru automobile. Motorină. Cerințe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
          <w:lang w:eastAsia="en-US"/>
        </w:rPr>
      </w:pPr>
      <w:r>
        <w:rPr>
          <w:rFonts w:eastAsia="Times New Roman"/>
          <w:b/>
          <w:lang w:eastAsia="en-US"/>
        </w:rPr>
        <w:t xml:space="preserve">Gaz lichefiat</w:t>
      </w:r>
      <w:r>
        <w:rPr>
          <w:rFonts w:eastAsia="MS Mincho"/>
          <w:lang w:eastAsia="ja-JP"/>
        </w:rPr>
        <w:t xml:space="preserve">:</w:t>
      </w:r>
      <w:r>
        <w:t xml:space="preserve"> </w:t>
      </w:r>
      <w:r>
        <w:rPr>
          <w:i/>
        </w:rPr>
        <w:t xml:space="preserve">GPL, Standard de referință: SM SR EN 589+A1:2016 ,,Carburanți pentru automobile. GPL. Cerință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Cs w:val="0"/>
          <w:lang w:eastAsia="en-US"/>
        </w:rPr>
      </w:pPr>
      <w:r>
        <w:rPr>
          <w:rFonts w:eastAsia="Times New Roman" w:cs="Times New Roman"/>
          <w:bCs w:val="0"/>
          <w:iCs w:val="0"/>
          <w:lang w:eastAsia="en-US"/>
        </w:rPr>
      </w:r>
      <w:r>
        <w:rPr>
          <w:rFonts w:eastAsia="Times New Roman" w:cs="Times New Roman"/>
          <w:bCs w:val="0"/>
          <w:iCs w:val="0"/>
          <w:lang w:eastAsia="en-US"/>
        </w:rPr>
      </w:r>
      <w:r>
        <w:rPr>
          <w:rFonts w:eastAsia="Times New Roman" w:cs="Times New Roman"/>
          <w:bCs w:val="0"/>
          <w:iCs w:val="0"/>
          <w:lang w:eastAsia="en-US"/>
        </w:rPr>
      </w:r>
    </w:p>
    <w:p>
      <w:pPr>
        <w:numPr>
          <w:ilvl w:val="0"/>
          <w:numId w:val="26"/>
        </w:numPr>
        <w:pBdr/>
        <w:tabs>
          <w:tab w:val="left" w:leader="none" w:pos="1134"/>
        </w:tabs>
        <w:spacing w:after="160" w:line="259" w:lineRule="auto"/>
        <w:ind/>
        <w:jc w:val="both"/>
        <w:rPr>
          <w:rFonts w:eastAsia="Times New Roman" w:cs="Times New Roman"/>
          <w:b/>
          <w:bCs w:val="0"/>
          <w:iCs w:val="0"/>
          <w:lang w:val="en-US" w:eastAsia="en-US"/>
        </w:rPr>
      </w:pPr>
      <w:r>
        <w:rPr>
          <w:rFonts w:eastAsia="Times New Roman" w:cs="Times New Roman"/>
          <w:b/>
          <w:bCs w:val="0"/>
          <w:iCs w:val="0"/>
          <w:lang w:val="en-US" w:eastAsia="en-US"/>
        </w:rPr>
        <w:t xml:space="preserve">Cerinţe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privind</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calculul</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costului</w:t>
      </w:r>
      <w:r>
        <w:rPr>
          <w:rFonts w:eastAsia="Times New Roman" w:cs="Times New Roman"/>
          <w:b/>
          <w:bCs w:val="0"/>
          <w:iCs w:val="0"/>
          <w:lang w:val="en-US" w:eastAsia="en-US"/>
        </w:rPr>
        <w:t xml:space="preserve">/</w:t>
      </w:r>
      <w:r>
        <w:rPr>
          <w:rFonts w:eastAsia="Times New Roman" w:cs="Times New Roman"/>
          <w:b/>
          <w:bCs w:val="0"/>
          <w:iCs w:val="0"/>
          <w:lang w:val="en-US" w:eastAsia="en-US"/>
        </w:rPr>
        <w:t xml:space="preserve">prețului</w:t>
      </w:r>
      <w:r>
        <w:rPr>
          <w:rFonts w:eastAsia="Times New Roman" w:cs="Times New Roman"/>
          <w:b/>
          <w:bCs w:val="0"/>
          <w:iCs w:val="0"/>
          <w:lang w:val="en-US" w:eastAsia="en-US"/>
        </w:rPr>
      </w:r>
      <w:r>
        <w:rPr>
          <w:rFonts w:eastAsia="Times New Roman" w:cs="Times New Roman"/>
          <w:b/>
          <w:bCs w:val="0"/>
          <w:iCs w:val="0"/>
          <w:lang w:val="en-US" w:eastAsia="en-US"/>
        </w:rPr>
      </w:r>
    </w:p>
    <w:p>
      <w:pPr>
        <w:pBdr/>
        <w:spacing w:after="120"/>
        <w:ind/>
        <w:jc w:val="both"/>
        <w:rPr>
          <w:rFonts w:eastAsia="Times New Roman" w:cs="Times New Roman"/>
          <w:b/>
          <w:i/>
          <w:color w:val="ff0000"/>
          <w:vertAlign w:val="superscript"/>
          <w:lang w:eastAsia="en-US"/>
        </w:rPr>
      </w:pPr>
      <w:r>
        <w:rPr>
          <w:rFonts w:eastAsia="Times New Roman" w:cs="Times New Roman"/>
          <w:bCs w:val="0"/>
          <w:i/>
          <w:iCs w:val="0"/>
          <w:lang w:eastAsia="en-US"/>
        </w:rPr>
        <w:t xml:space="preserve">Prețul unitar ofertat </w:t>
      </w:r>
      <w:r>
        <w:rPr>
          <w:rFonts w:eastAsia="Times New Roman" w:cs="Times New Roman"/>
          <w:i/>
          <w:iCs w:val="0"/>
          <w:lang w:eastAsia="en-US"/>
        </w:rPr>
        <w:t xml:space="preserve">constituie prețul mediu calculat de către ofertant utilizând p</w:t>
      </w:r>
      <w:r>
        <w:rPr>
          <w:rFonts w:eastAsia="Times New Roman" w:cs="Times New Roman"/>
          <w:i/>
          <w:iCs w:val="0"/>
          <w:lang w:eastAsia="en-US"/>
        </w:rPr>
        <w:t xml:space="preserve">rețurile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rFonts w:eastAsia="Times New Roman" w:cs="Times New Roman"/>
          <w:lang w:eastAsia="en-US"/>
        </w:rPr>
        <w:t xml:space="preserve">.</w:t>
      </w:r>
      <w:r>
        <w:rPr>
          <w:rFonts w:eastAsia="Times New Roman" w:cs="Times New Roman"/>
          <w:bCs w:val="0"/>
          <w:i/>
          <w:iCs w:val="0"/>
          <w:lang w:eastAsia="en-US"/>
        </w:rPr>
        <w:t xml:space="preserve"> Prețul unitar va fi calculat conform pct. 46</w:t>
      </w:r>
      <w:r>
        <w:rPr>
          <w:rFonts w:eastAsia="Times New Roman" w:cs="Times New Roman"/>
          <w:bCs w:val="0"/>
          <w:i/>
          <w:iCs w:val="0"/>
          <w:lang w:eastAsia="en-US"/>
        </w:rPr>
        <w:t xml:space="preserve"> lit.a) din</w:t>
      </w:r>
      <w:r>
        <w:rPr>
          <w:rFonts w:eastAsia="Times New Roman" w:cs="Times New Roman"/>
          <w:bCs w:val="0"/>
          <w:i/>
          <w:iCs w:val="0"/>
          <w:lang w:eastAsia="en-US"/>
        </w:rPr>
        <w:t xml:space="preserve"> Documentați</w:t>
      </w:r>
      <w:r>
        <w:rPr>
          <w:rFonts w:eastAsia="Times New Roman" w:cs="Times New Roman"/>
          <w:bCs w:val="0"/>
          <w:i/>
          <w:iCs w:val="0"/>
          <w:lang w:eastAsia="en-US"/>
        </w:rPr>
        <w:t xml:space="preserve">a</w:t>
      </w:r>
      <w:r>
        <w:rPr>
          <w:rFonts w:eastAsia="Times New Roman" w:cs="Times New Roman"/>
          <w:bCs w:val="0"/>
          <w:i/>
          <w:iCs w:val="0"/>
          <w:lang w:eastAsia="en-US"/>
        </w:rPr>
        <w:t xml:space="preserve"> standard </w:t>
      </w:r>
      <w:r>
        <w:rPr>
          <w:rFonts w:eastAsia="Times New Roman" w:cs="Times New Roman"/>
          <w:bCs w:val="0"/>
          <w:i/>
          <w:iCs w:val="0"/>
        </w:rPr>
        <w:t xml:space="preserve">pentru realizarea achizițiilor publice de bunuri și servicii, aprobată prin ordinul Ministrului Finanțelor nr. 115</w:t>
      </w:r>
      <w:r>
        <w:rPr>
          <w:rFonts w:eastAsia="Times New Roman" w:cs="Times New Roman"/>
          <w:bCs w:val="0"/>
          <w:i/>
          <w:iCs w:val="0"/>
        </w:rPr>
        <w:t xml:space="preserve">/</w:t>
      </w:r>
      <w:r>
        <w:rPr>
          <w:rFonts w:eastAsia="Times New Roman" w:cs="Times New Roman"/>
          <w:bCs w:val="0"/>
          <w:i/>
          <w:iCs w:val="0"/>
        </w:rPr>
        <w:t xml:space="preserve">2021, publicată de către autoritatea contractantă.</w:t>
      </w:r>
      <w:r>
        <w:rPr>
          <w:rFonts w:eastAsia="Times New Roman" w:cs="Times New Roman"/>
          <w:b/>
          <w:i/>
          <w:color w:val="ff0000"/>
          <w:vertAlign w:val="superscript"/>
          <w:lang w:eastAsia="en-US"/>
        </w:rPr>
      </w:r>
      <w:r>
        <w:rPr>
          <w:rFonts w:eastAsia="Times New Roman" w:cs="Times New Roman"/>
          <w:b/>
          <w:i/>
          <w:color w:val="ff0000"/>
          <w:vertAlign w:val="superscript"/>
          <w:lang w:eastAsia="en-US"/>
        </w:rPr>
      </w:r>
    </w:p>
    <w:p>
      <w:pPr>
        <w:pBdr/>
        <w:tabs>
          <w:tab w:val="right" w:leader="none" w:pos="284"/>
        </w:tabs>
        <w:spacing w:before="120"/>
        <w:ind w:left="426"/>
        <w:jc w:val="both"/>
        <w:rPr>
          <w:rFonts w:eastAsia="Times New Roman" w:cs="Times New Roman"/>
          <w:b/>
          <w:bCs w:val="0"/>
          <w:iCs w:val="0"/>
          <w:lang w:val="it-IT"/>
        </w:rPr>
      </w:pPr>
      <w:r>
        <w:rPr>
          <w:rFonts w:eastAsia="Times New Roman" w:cs="Times New Roman"/>
          <w:b/>
          <w:bCs w:val="0"/>
          <w:iCs w:val="0"/>
          <w:lang w:val="it-IT"/>
        </w:rPr>
        <w:t xml:space="preserve">Calcularea prețului unitar se efectuează </w:t>
      </w:r>
      <w:r>
        <w:rPr>
          <w:rFonts w:eastAsia="Times New Roman" w:cs="Times New Roman"/>
          <w:b/>
          <w:bCs w:val="0"/>
          <w:iCs w:val="0"/>
          <w:u w:val="single"/>
          <w:lang w:val="it-IT"/>
        </w:rPr>
        <w:t xml:space="preserve">de către operatorii economici</w:t>
      </w:r>
      <w:r>
        <w:rPr>
          <w:rFonts w:eastAsia="Times New Roman" w:cs="Times New Roman"/>
          <w:b/>
          <w:bCs w:val="0"/>
          <w:iCs w:val="0"/>
          <w:lang w:val="it-IT"/>
        </w:rPr>
        <w:t xml:space="preserve"> conform formulei:</w:t>
      </w:r>
      <w:r>
        <w:rPr>
          <w:rFonts w:eastAsia="Times New Roman" w:cs="Times New Roman"/>
          <w:b/>
          <w:bCs w:val="0"/>
          <w:iCs w:val="0"/>
          <w:lang w:val="it-IT"/>
        </w:rPr>
      </w:r>
      <w:r>
        <w:rPr>
          <w:rFonts w:eastAsia="Times New Roman" w:cs="Times New Roman"/>
          <w:b/>
          <w:bCs w:val="0"/>
          <w:iCs w:val="0"/>
          <w:lang w:val="it-IT"/>
        </w:rPr>
      </w:r>
    </w:p>
    <w:p>
      <w:pPr>
        <w:pBdr/>
        <w:tabs>
          <w:tab w:val="right" w:leader="none" w:pos="284"/>
        </w:tabs>
        <w:spacing w:before="120"/>
        <w:ind w:left="426"/>
        <w:rPr>
          <w:rFonts w:eastAsia="Times New Roman" w:cs="Times New Roman"/>
          <w:bCs w:val="0"/>
          <w:iCs w:val="0"/>
          <w:lang w:val="it-IT"/>
        </w:rPr>
      </w:pPr>
      <w:r/>
      <m:oMathPara>
        <m:oMathParaPr/>
        <m:oMath>
          <m:r>
            <w:rPr>
              <w:rFonts w:ascii="Cambria Math" w:hAnsi="Cambria Math" w:eastAsia="Times New Roman" w:cs="Times New Roman"/>
              <w:lang w:eastAsia="en-US"/>
            </w:rPr>
            <m:rPr>
              <m:sty m:val="p"/>
            </m:rPr>
            <m:t>Pu</m:t>
          </m:r>
          <m:r>
            <w:rPr>
              <w:rFonts w:ascii="Cambria Math" w:hAnsi="Cambria Math" w:eastAsia="Times New Roman" w:cs="Times New Roman"/>
              <w:lang w:eastAsia="en-US"/>
            </w:rPr>
            <m:rPr/>
            <m:t>=</m:t>
          </m:r>
          <m:f>
            <m:fPr>
              <m:ctrlPr>
                <w:rPr>
                  <w:rFonts w:ascii="Cambria Math" w:hAnsi="Cambria Math" w:eastAsia="Times New Roman" w:cs="Times New Roman"/>
                  <w:bCs w:val="0"/>
                  <w:iCs w:val="0"/>
                  <w:lang w:eastAsia="en-US"/>
                </w:rPr>
              </m:ctrlPr>
            </m:fPr>
            <m:num>
              <m:d>
                <m:dPr>
                  <m:ctrlPr>
                    <w:rPr>
                      <w:rFonts w:ascii="Cambria Math" w:hAnsi="Cambria Math" w:eastAsia="Times New Roman" w:cs="Cambria Math"/>
                      <w:bCs w:val="0"/>
                      <w:iCs w:val="0"/>
                      <w:lang w:eastAsia="en-US"/>
                    </w:rPr>
                  </m:ctrlPr>
                </m:dPr>
                <m:e>
                  <m:r>
                    <w:rPr>
                      <w:rFonts w:ascii="Cambria Math" w:hAnsi="Cambria Math" w:eastAsia="Times New Roman" w:cs="Cambria Math"/>
                      <w:lang w:eastAsia="en-US"/>
                    </w:rPr>
                    <m:rPr>
                      <m:sty m:val="p"/>
                    </m:rPr>
                    <m:t>M1+M2+…+M15</m:t>
                  </m:r>
                </m:e>
              </m:d>
            </m:num>
            <m:den>
              <m:r>
                <w:rPr>
                  <w:rFonts w:ascii="Cambria Math" w:hAnsi="Cambria Math" w:eastAsia="Times New Roman" w:cs="Times New Roman"/>
                  <w:lang w:eastAsia="en-US"/>
                </w:rPr>
                <m:rPr/>
                <m:t>15</m:t>
              </m:r>
            </m:den>
          </m:f>
          <m:r>
            <w:rPr>
              <w:rFonts w:ascii="Cambria Math" w:hAnsi="Cambria Math" w:eastAsia="Times New Roman" w:cs="Times New Roman"/>
              <w:lang w:eastAsia="en-US"/>
            </w:rPr>
            <m:rPr/>
            <m:t>-D%</m:t>
          </m:r>
        </m:oMath>
      </m:oMathPara>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before="120"/>
        <w:ind w:left="426"/>
        <w:jc w:val="both"/>
        <w:rPr>
          <w:rFonts w:eastAsia="Times New Roman" w:cs="Times New Roman"/>
          <w:bCs w:val="0"/>
          <w:iCs w:val="0"/>
          <w:lang w:val="it-IT"/>
        </w:rPr>
      </w:pPr>
      <w:r>
        <w:rPr>
          <w:rFonts w:eastAsia="Times New Roman" w:cs="Times New Roman"/>
          <w:bCs w:val="0"/>
          <w:iCs w:val="0"/>
          <w:lang w:val="it-IT"/>
        </w:rPr>
        <w:t xml:space="preserve">Unde,</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Pu – reprezintă prețul unitar ofertat;</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M1–reprezintă media prețurilor afișate la</w:t>
      </w:r>
      <w:r>
        <w:rPr>
          <w:rFonts w:eastAsia="Times New Roman" w:cs="Times New Roman"/>
          <w:bCs w:val="0"/>
          <w:iCs w:val="0"/>
          <w:lang w:val="it-IT"/>
        </w:rPr>
        <w:t xml:space="preserve"> toate stațiile din localitatea/regiunea specificată în pct.1 pentru prima zi;</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M2– reprezintă media prețurilor afișate la</w:t>
      </w:r>
      <w:r>
        <w:rPr>
          <w:rFonts w:eastAsia="Times New Roman" w:cs="Times New Roman"/>
          <w:bCs w:val="0"/>
          <w:iCs w:val="0"/>
          <w:lang w:val="it-IT"/>
        </w:rPr>
        <w:t xml:space="preserve"> toate stațiile din localitatea/regiunea specificată în pct.1 pentru a doua zi</w:t>
      </w:r>
      <w:r>
        <w:rPr>
          <w:rFonts w:eastAsia="Times New Roman" w:cs="Times New Roman"/>
          <w:bCs w:val="0"/>
          <w:iCs w:val="0"/>
          <w:lang w:val="it-IT"/>
        </w:rPr>
        <w:t xml:space="preserve">;</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M15– reprezintă media prețurilor afișate la</w:t>
      </w:r>
      <w:r>
        <w:rPr>
          <w:rFonts w:eastAsia="Times New Roman" w:cs="Times New Roman"/>
          <w:bCs w:val="0"/>
          <w:iCs w:val="0"/>
          <w:lang w:val="it-IT"/>
        </w:rPr>
        <w:t xml:space="preserve"> toate stațiile din localitatea/regiunea specificată în pct.1 </w:t>
      </w:r>
      <w:r>
        <w:rPr>
          <w:rFonts w:eastAsia="Times New Roman" w:cs="Times New Roman"/>
          <w:bCs w:val="0"/>
          <w:iCs w:val="0"/>
          <w:lang w:val="it-IT"/>
        </w:rPr>
        <w:t xml:space="preserve">pentru a cincisprezecea zi;</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D% –reprezintă discount-ul aplicat.</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Discount-ul este specificat expres în ofertă și ulterior în  contract, rămânînd neschimbat pe întreaga perioadă de valabilitate al acestuia.</w:t>
      </w:r>
      <w:r>
        <w:rPr>
          <w:rFonts w:eastAsia="Times New Roman" w:cs="Times New Roman"/>
          <w:bCs w:val="0"/>
          <w:iCs w:val="0"/>
          <w:lang w:val="it-IT"/>
        </w:rPr>
      </w:r>
      <w:r>
        <w:rPr>
          <w:rFonts w:eastAsia="Times New Roman" w:cs="Times New Roman"/>
          <w:bCs w:val="0"/>
          <w:iCs w:val="0"/>
          <w:lang w:val="it-IT"/>
        </w:rPr>
      </w:r>
    </w:p>
    <w:p>
      <w:pPr>
        <w:pBdr/>
        <w:tabs>
          <w:tab w:val="left" w:leader="none" w:pos="1134"/>
        </w:tabs>
        <w:spacing/>
        <w:ind w:left="1069"/>
        <w:jc w:val="both"/>
        <w:rPr>
          <w:rFonts w:eastAsia="Times New Roman" w:cs="Times New Roman"/>
          <w:b/>
          <w:bCs w:val="0"/>
          <w:iCs w:val="0"/>
          <w:lang w:val="en-US" w:eastAsia="en-US"/>
        </w:rPr>
      </w:pPr>
      <w:r>
        <w:rPr>
          <w:rFonts w:eastAsia="Times New Roman" w:cs="Times New Roman"/>
          <w:b/>
          <w:bCs w:val="0"/>
          <w:iCs w:val="0"/>
          <w:lang w:val="en-US" w:eastAsia="en-US"/>
        </w:rPr>
      </w:r>
      <w:r>
        <w:rPr>
          <w:rFonts w:eastAsia="Times New Roman" w:cs="Times New Roman"/>
          <w:b/>
          <w:bCs w:val="0"/>
          <w:iCs w:val="0"/>
          <w:lang w:val="en-US" w:eastAsia="en-US"/>
        </w:rPr>
      </w:r>
      <w:r>
        <w:rPr>
          <w:rFonts w:eastAsia="Times New Roman" w:cs="Times New Roman"/>
          <w:b/>
          <w:bCs w:val="0"/>
          <w:iCs w:val="0"/>
          <w:lang w:val="en-US" w:eastAsia="en-US"/>
        </w:rPr>
      </w:r>
    </w:p>
    <w:p>
      <w:pPr>
        <w:numPr>
          <w:ilvl w:val="0"/>
          <w:numId w:val="26"/>
        </w:numPr>
        <w:pBdr/>
        <w:tabs>
          <w:tab w:val="left" w:leader="none" w:pos="0"/>
          <w:tab w:val="left" w:leader="none" w:pos="142"/>
          <w:tab w:val="left" w:leader="none" w:pos="1134"/>
        </w:tabs>
        <w:spacing w:after="160" w:line="259" w:lineRule="auto"/>
        <w:ind/>
        <w:jc w:val="both"/>
        <w:rPr>
          <w:rFonts w:eastAsia="Calibri" w:cs="Times New Roman"/>
          <w:b/>
          <w:bCs w:val="0"/>
          <w:iCs w:val="0"/>
          <w:lang w:val="en-US" w:eastAsia="en-US"/>
        </w:rPr>
      </w:pPr>
      <w:r>
        <w:rPr>
          <w:rFonts w:eastAsia="Calibri" w:cs="Times New Roman"/>
          <w:b/>
          <w:bCs w:val="0"/>
          <w:iCs w:val="0"/>
          <w:lang w:val="en-US" w:eastAsia="en-US"/>
        </w:rPr>
        <w:t xml:space="preserve">Cerințe</w:t>
      </w:r>
      <w:r>
        <w:rPr>
          <w:rFonts w:eastAsia="Calibri" w:cs="Times New Roman"/>
          <w:b/>
          <w:bCs w:val="0"/>
          <w:iCs w:val="0"/>
          <w:lang w:val="en-US" w:eastAsia="en-US"/>
        </w:rPr>
        <w:t xml:space="preserve"> </w:t>
      </w:r>
      <w:r>
        <w:rPr>
          <w:rFonts w:eastAsia="Calibri" w:cs="Times New Roman"/>
          <w:b/>
          <w:bCs w:val="0"/>
          <w:iCs w:val="0"/>
          <w:lang w:val="en-US" w:eastAsia="en-US"/>
        </w:rPr>
        <w:t xml:space="preserve">obligatorii</w:t>
      </w:r>
      <w:r>
        <w:rPr>
          <w:rFonts w:eastAsia="Calibri" w:cs="Times New Roman"/>
          <w:b/>
          <w:bCs w:val="0"/>
          <w:iCs w:val="0"/>
          <w:lang w:val="en-US" w:eastAsia="en-US"/>
        </w:rPr>
        <w:t xml:space="preserve">:</w:t>
      </w:r>
      <w:r>
        <w:rPr>
          <w:rFonts w:eastAsia="Calibri" w:cs="Times New Roman"/>
          <w:b/>
          <w:bCs w:val="0"/>
          <w:iCs w:val="0"/>
          <w:lang w:val="en-US" w:eastAsia="en-US"/>
        </w:rPr>
      </w:r>
      <w:r>
        <w:rPr>
          <w:rFonts w:eastAsia="Calibri" w:cs="Times New Roman"/>
          <w:b/>
          <w:bCs w:val="0"/>
          <w:iCs w:val="0"/>
          <w:lang w:val="en-US"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Ofertantul oferă autorității contractante posibilitatea de a achiziționa carburant (fără plată în numerar) prin intermediul cardurilor valorice la stațiile de alimentare ale furnizorului.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Livrarea cardurilor se face pe baza unei cereri de emitere de card din partea autor</w:t>
      </w:r>
      <w:r>
        <w:rPr>
          <w:rFonts w:eastAsia="Times New Roman" w:cs="Times New Roman"/>
          <w:lang w:val="it-IT" w:eastAsia="en-US"/>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acordă permanent achizitorului posibilitatea accesării on-line a informaţiilor privind</w:t>
      </w:r>
      <w:r>
        <w:rPr>
          <w:rFonts w:eastAsia="Times New Roman" w:cs="Times New Roman"/>
          <w:lang w:val="it-IT" w:eastAsia="en-US"/>
        </w:rPr>
        <w:t xml:space="preserve"> situaţia detaliată a tuturor achiziţiilor de carburant efectuate de către fiecare autovehicul al său. Posibilitatea achizitorului de a obţine la orice staţie de distribuţie pe bază de card, informaţii privind valoarea rămasă pentru fiecare card în parte.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gestionează lista cardurilor pierdute sau furate şi are obligaţia să blocheze/deblocheze utilizarea acestora în cel mult 24 ore de la solicitarea achizitorului.</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Prețul  unui litru de carburant ofertat va fi cel afișat la stațiile de alimentare ale ofertantului cu aplicarea discount-ului ofertat.</w:t>
      </w:r>
      <w:r>
        <w:rPr>
          <w:rFonts w:eastAsia="Times New Roman" w:cs="Times New Roman"/>
          <w:lang w:val="it-IT" w:eastAsia="en-US"/>
        </w:rPr>
      </w:r>
      <w:r>
        <w:rPr>
          <w:rFonts w:eastAsia="Times New Roman" w:cs="Times New Roman"/>
          <w:lang w:val="it-IT" w:eastAsia="en-US"/>
        </w:rPr>
      </w:r>
    </w:p>
    <w:p>
      <w:pPr>
        <w:numPr>
          <w:ilvl w:val="0"/>
          <w:numId w:val="26"/>
        </w:numPr>
        <w:pBdr/>
        <w:tabs>
          <w:tab w:val="left" w:leader="none" w:pos="0"/>
          <w:tab w:val="left" w:leader="none" w:pos="142"/>
          <w:tab w:val="left" w:leader="none" w:pos="1134"/>
        </w:tabs>
        <w:spacing w:after="160" w:line="259" w:lineRule="auto"/>
        <w:ind/>
        <w:jc w:val="both"/>
        <w:rPr>
          <w:rFonts w:eastAsia="Calibri" w:cs="Times New Roman"/>
          <w:b/>
          <w:bCs w:val="0"/>
          <w:iCs w:val="0"/>
          <w:lang w:val="en-US" w:eastAsia="en-US"/>
        </w:rPr>
      </w:pPr>
      <w:r>
        <w:rPr>
          <w:rFonts w:eastAsia="Calibri" w:cs="Times New Roman"/>
          <w:b/>
          <w:bCs w:val="0"/>
          <w:iCs w:val="0"/>
          <w:lang w:val="en-US" w:eastAsia="en-US"/>
        </w:rPr>
        <w:t xml:space="preserve">Furnizorul</w:t>
      </w:r>
      <w:r>
        <w:rPr>
          <w:rFonts w:eastAsia="Calibri" w:cs="Times New Roman"/>
          <w:b/>
          <w:bCs w:val="0"/>
          <w:iCs w:val="0"/>
          <w:lang w:val="en-US" w:eastAsia="en-US"/>
        </w:rPr>
        <w:t xml:space="preserve"> </w:t>
      </w:r>
      <w:r>
        <w:rPr>
          <w:rFonts w:eastAsia="Calibri" w:cs="Times New Roman"/>
          <w:b/>
          <w:bCs w:val="0"/>
          <w:iCs w:val="0"/>
          <w:lang w:val="en-US" w:eastAsia="en-US"/>
        </w:rPr>
        <w:t xml:space="preserve">va</w:t>
      </w:r>
      <w:r>
        <w:rPr>
          <w:rFonts w:eastAsia="Calibri" w:cs="Times New Roman"/>
          <w:b/>
          <w:bCs w:val="0"/>
          <w:iCs w:val="0"/>
          <w:lang w:val="en-US" w:eastAsia="en-US"/>
        </w:rPr>
        <w:t xml:space="preserve"> </w:t>
      </w:r>
      <w:r>
        <w:rPr>
          <w:rFonts w:eastAsia="Calibri" w:cs="Times New Roman"/>
          <w:b/>
          <w:bCs w:val="0"/>
          <w:iCs w:val="0"/>
          <w:lang w:val="en-US" w:eastAsia="en-US"/>
        </w:rPr>
        <w:t xml:space="preserve">asigura</w:t>
      </w:r>
      <w:r>
        <w:rPr>
          <w:rFonts w:eastAsia="Calibri" w:cs="Times New Roman"/>
          <w:b/>
          <w:bCs w:val="0"/>
          <w:iCs w:val="0"/>
          <w:lang w:val="en-US" w:eastAsia="en-US"/>
        </w:rPr>
        <w:t xml:space="preserve">:</w:t>
      </w:r>
      <w:r>
        <w:rPr>
          <w:rFonts w:eastAsia="Calibri" w:cs="Times New Roman"/>
          <w:b/>
          <w:bCs w:val="0"/>
          <w:iCs w:val="0"/>
          <w:lang w:val="en-US" w:eastAsia="en-US"/>
        </w:rPr>
      </w:r>
      <w:r>
        <w:rPr>
          <w:rFonts w:eastAsia="Calibri" w:cs="Times New Roman"/>
          <w:b/>
          <w:bCs w:val="0"/>
          <w:iCs w:val="0"/>
          <w:lang w:val="en-US"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b w:val="0"/>
          <w:bCs w:val="0"/>
        </w:rPr>
      </w:pPr>
      <w:r>
        <w:rPr>
          <w:rFonts w:eastAsia="Times New Roman" w:cs="Times New Roman"/>
          <w:lang w:val="it-IT" w:eastAsia="en-US"/>
        </w:rPr>
        <w:t xml:space="preserve">Furnizorul asigură personalizarea cardurilor pe fiecare autovehicul</w:t>
      </w:r>
      <w:r>
        <w:rPr>
          <w:b/>
          <w:bCs/>
          <w:lang w:val="ro-RO"/>
        </w:rPr>
        <w:t xml:space="preserve"> </w:t>
      </w:r>
      <w:r>
        <w:rPr>
          <w:b/>
          <w:bCs/>
          <w:lang w:val="it-IT" w:eastAsia="ru-RU"/>
        </w:rPr>
        <w:t xml:space="preserve"> </w:t>
      </w:r>
      <w:r>
        <w:rPr>
          <w:b w:val="0"/>
          <w:bCs w:val="0"/>
          <w:lang w:val="it-IT" w:eastAsia="ru-RU"/>
        </w:rPr>
        <w:t xml:space="preserve">cu posibilitatea de a alimenta automobilele în toate staţiile ofertantului. Cardurile vor fi personalizate pe numele achizitorului, respectiv ”ATAS </w:t>
      </w:r>
      <w:r>
        <w:rPr>
          <w:b w:val="0"/>
          <w:bCs w:val="0"/>
          <w:lang w:val="ro-RO"/>
        </w:rPr>
        <w:t xml:space="preserve">Centru-Vest</w:t>
      </w:r>
      <w:r>
        <w:rPr>
          <w:b w:val="0"/>
          <w:bCs w:val="0"/>
          <w:lang w:val="it-IT" w:eastAsia="ru-RU"/>
        </w:rPr>
        <w:t xml:space="preserve">” şi pe numărul de înmatriculare al autoturismului, care vor conferi utilizatorului dreptul </w:t>
      </w:r>
      <w:r>
        <w:rPr>
          <w:b w:val="0"/>
          <w:bCs w:val="0"/>
          <w:lang w:val="it-IT" w:eastAsia="ru-RU"/>
        </w:rPr>
        <w:t xml:space="preserve">de alimentare numai pentru autovehicolul al cărui număr de înmatriculare este menţionat pe card. În decurs de 2 zile, conform necesităților</w:t>
      </w:r>
      <w:r>
        <w:rPr>
          <w:b w:val="0"/>
          <w:bCs w:val="0"/>
          <w:lang w:val="ro-RO"/>
        </w:rPr>
        <w:t xml:space="preserve"> </w:t>
      </w:r>
      <w:r>
        <w:rPr>
          <w:b w:val="0"/>
          <w:bCs w:val="0"/>
          <w:lang w:val="it-IT" w:eastAsia="ru-RU"/>
        </w:rPr>
        <w:t xml:space="preserve">reale ale cumpărătorului. Operatorul Economic trebuie sa aibă stații de alimentare în orașele </w:t>
      </w:r>
      <w:r>
        <w:rPr>
          <w:b w:val="0"/>
          <w:bCs w:val="0"/>
          <w:lang w:val="ro-RO"/>
        </w:rPr>
        <w:t xml:space="preserve">Ungheni</w:t>
      </w:r>
      <w:r>
        <w:rPr>
          <w:b w:val="0"/>
          <w:bCs w:val="0"/>
          <w:lang w:val="it-IT" w:eastAsia="ru-RU"/>
        </w:rPr>
        <w:t xml:space="preserve">, </w:t>
      </w:r>
      <w:r>
        <w:rPr>
          <w:b w:val="0"/>
          <w:bCs w:val="0"/>
          <w:lang w:val="ro-RO"/>
        </w:rPr>
        <w:t xml:space="preserve">Nisporeni</w:t>
      </w:r>
      <w:r>
        <w:rPr>
          <w:b w:val="0"/>
          <w:bCs w:val="0"/>
          <w:lang w:val="it-IT" w:eastAsia="ru-RU"/>
        </w:rPr>
        <w:t xml:space="preserve">, </w:t>
      </w:r>
      <w:r>
        <w:rPr>
          <w:b w:val="0"/>
          <w:bCs w:val="0"/>
          <w:lang w:val="ro-RO"/>
        </w:rPr>
        <w:t xml:space="preserve">Călărași </w:t>
      </w:r>
      <w:r>
        <w:rPr>
          <w:b w:val="0"/>
          <w:bCs w:val="0"/>
          <w:lang w:val="it-IT" w:eastAsia="ru-RU"/>
        </w:rPr>
        <w:t xml:space="preserve">și mun. Chișinău.</w:t>
      </w:r>
      <w:r>
        <w:rPr>
          <w:rFonts w:eastAsia="Times New Roman" w:cs="Times New Roman"/>
          <w:b w:val="0"/>
          <w:bCs w:val="0"/>
          <w:lang w:val="it-IT" w:eastAsia="en-US"/>
        </w:rPr>
      </w:r>
      <w:r>
        <w:rPr>
          <w:rFonts w:eastAsia="Times New Roman" w:cs="Times New Roman"/>
          <w:b w:val="0"/>
          <w:bCs w:val="0"/>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specifică dacă toate cardurile sunt acceptate la toate stațiile PECO situate în localitățile menționate în documentația de atribuire.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pune la dispoziţia achizitorului instrucţiuni de folosire a cardului.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Autoritatea contractantă își rezervă dreptul de a mări sau micșora numărul de carduri și de a suplimenta sau diminua cantitatea de carburanți în baza prevederilor normative.</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1134"/>
        </w:tabs>
        <w:spacing w:after="240" w:line="259" w:lineRule="auto"/>
        <w:ind/>
        <w:jc w:val="both"/>
        <w:rPr>
          <w:rFonts w:eastAsia="Times New Roman" w:cs="Times New Roman"/>
          <w:lang w:val="it-IT" w:eastAsia="en-US"/>
        </w:rPr>
      </w:pPr>
      <w:r>
        <w:rPr>
          <w:rFonts w:eastAsia="Times New Roman" w:cs="Times New Roman"/>
          <w:lang w:val="it-IT" w:eastAsia="en-US"/>
        </w:rPr>
        <w:t xml:space="preserve">Furnizorul asigură autorității contractante posibilitatea de a stabili limite individuale valorice pentru fiecare card, inclusiv de a le modifica în sensul majorării sau micșorării acestora.</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1134"/>
        </w:tabs>
        <w:spacing w:after="160" w:line="259" w:lineRule="auto"/>
        <w:ind/>
        <w:jc w:val="both"/>
        <w:rPr>
          <w:rFonts w:eastAsia="Times New Roman" w:cs="Times New Roman"/>
          <w:lang w:eastAsia="en-US"/>
        </w:rPr>
      </w:pPr>
      <w:r>
        <w:rPr>
          <w:rFonts w:eastAsia="Times New Roman" w:cs="Times New Roman"/>
          <w:lang w:val="it-IT" w:eastAsia="en-US"/>
        </w:rPr>
        <w:t xml:space="preserve">Furnizorul facturează contravaloarea produselor la sfârșitul fiecărei luni, pentru consumul efectuat, conform unei centralizări cu cantitatea alimentată pe fiecare autovehicul în parte. Factura af</w:t>
      </w:r>
      <w:r>
        <w:rPr>
          <w:rFonts w:eastAsia="Times New Roman" w:cs="Times New Roman"/>
          <w:lang w:val="it-IT" w:eastAsia="en-US"/>
        </w:rPr>
        <w:t xml:space="preserve">erentă consumului înregistrat pe fiecare card în parte este însoțită de un raport de consum care conține informații detaliate cu privire la tranzacțiile efectuate pe fiecare card și mașină, locație, dată, ora alimentării, tipul carburantului și, după caz, </w:t>
      </w:r>
      <w:r>
        <w:rPr>
          <w:rFonts w:eastAsia="Times New Roman" w:cs="Times New Roman"/>
          <w:lang w:eastAsia="en-US"/>
        </w:rPr>
        <w:t xml:space="preserve">subtotalul</w:t>
      </w:r>
      <w:r>
        <w:rPr>
          <w:rFonts w:eastAsia="Times New Roman" w:cs="Times New Roman"/>
          <w:lang w:eastAsia="en-US"/>
        </w:rPr>
        <w:t xml:space="preserve"> cardului și totalul general de carburant după fiecare tranzacție.</w:t>
      </w:r>
      <w:r>
        <w:rPr>
          <w:rFonts w:eastAsia="Times New Roman" w:cs="Times New Roman"/>
          <w:lang w:eastAsia="en-US"/>
        </w:rPr>
      </w:r>
      <w:r>
        <w:rPr>
          <w:rFonts w:eastAsia="Times New Roman" w:cs="Times New Roman"/>
          <w:lang w:eastAsia="en-US"/>
        </w:rPr>
      </w:r>
    </w:p>
    <w:p>
      <w:pPr>
        <w:pBdr/>
        <w:spacing/>
        <w:ind w:firstLine="709"/>
        <w:jc w:val="both"/>
        <w:rPr/>
      </w:pPr>
      <w:r/>
      <w:r/>
    </w:p>
    <w:p>
      <w:pPr>
        <w:pBdr/>
        <w:spacing/>
        <w:ind w:firstLine="709"/>
        <w:jc w:val="both"/>
        <w:rPr>
          <w:b/>
        </w:rPr>
      </w:pPr>
      <w:r>
        <w:rPr>
          <w:b/>
        </w:rPr>
        <w:t xml:space="preserve">9. Documente obligatorii la depunerea ofertei</w:t>
      </w:r>
      <w:r>
        <w:rPr>
          <w:b/>
        </w:rPr>
      </w:r>
      <w:r>
        <w:rPr>
          <w:b/>
        </w:rPr>
      </w:r>
    </w:p>
    <w:tbl>
      <w:tblPr>
        <w:tblStyle w:val="1055"/>
        <w:tblW w:w="0" w:type="auto"/>
        <w:tblBorders/>
        <w:tblLook w:val="04A0" w:firstRow="1" w:lastRow="0" w:firstColumn="1" w:lastColumn="0" w:noHBand="0" w:noVBand="1"/>
      </w:tblPr>
      <w:tblGrid>
        <w:gridCol w:w="560"/>
        <w:gridCol w:w="3391"/>
        <w:gridCol w:w="3209"/>
        <w:gridCol w:w="1595"/>
      </w:tblGrid>
      <w:tr>
        <w:trPr/>
        <w:tc>
          <w:tcPr>
            <w:shd w:val="clear" w:color="ffffff" w:fill="ffffff"/>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ffffff" w:fill="ffffff"/>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criteriului/cerinței)</w:t>
            </w:r>
            <w:r>
              <w:rPr>
                <w:bCs/>
                <w:iCs/>
                <w:sz w:val="20"/>
                <w:szCs w:val="20"/>
                <w:lang w:val="en-GB" w:eastAsia="ru-RU"/>
              </w:rPr>
            </w:r>
            <w:r>
              <w:rPr>
                <w:bCs/>
                <w:iCs/>
                <w:sz w:val="20"/>
                <w:szCs w:val="20"/>
                <w:lang w:val="en-GB" w:eastAsia="ru-RU"/>
              </w:rPr>
            </w:r>
          </w:p>
        </w:tc>
        <w:tc>
          <w:tcPr>
            <w:shd w:val="clear" w:color="ffffff" w:fill="ffffff"/>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ffffff" w:fill="ffffff"/>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ffffff" w:fill="ffffff"/>
            <w:tcBorders/>
            <w:tcW w:w="560" w:type="dxa"/>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w:t>
            </w:r>
            <w:r>
              <w:rPr>
                <w:bCs/>
                <w:iCs/>
                <w:lang w:val="ru-RU" w:eastAsia="ru-RU"/>
              </w:rPr>
            </w:r>
            <w:r>
              <w:rPr>
                <w:bCs/>
                <w:iCs/>
                <w:lang w:val="ru-RU" w:eastAsia="ru-RU"/>
              </w:rPr>
            </w:r>
          </w:p>
        </w:tc>
        <w:tc>
          <w:tcPr>
            <w:shd w:val="clear" w:color="ffffff" w:fill="ffffff"/>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Formularul DUAE</w:t>
            </w:r>
            <w:r>
              <w:rPr>
                <w:bCs/>
                <w:iCs/>
                <w:lang w:val="ru-RU" w:eastAsia="ru-RU"/>
              </w:rPr>
            </w:r>
            <w:r>
              <w:rPr>
                <w:bCs/>
                <w:iCs/>
                <w:lang w:val="ru-RU" w:eastAsia="ru-RU"/>
              </w:rPr>
            </w:r>
          </w:p>
        </w:tc>
        <w:tc>
          <w:tcPr>
            <w:shd w:val="clear" w:color="ffffff" w:fill="ffffff"/>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Original, completat și confirmat prin aplicarea semnăturii electronice a participantului *(se va prezenta la</w:t>
            </w:r>
            <w:r>
              <w:rPr>
                <w:bCs/>
                <w:iCs/>
                <w:lang w:val="ro-RO"/>
              </w:rPr>
              <w:t xml:space="preserve"> </w:t>
            </w:r>
            <w:r>
              <w:rPr>
                <w:bCs/>
                <w:iCs/>
                <w:lang w:val="ru-RU" w:eastAsia="ru-RU"/>
              </w:rPr>
              <w:t xml:space="preserve">depunerea ofertei de către toți ofertanți)</w:t>
            </w:r>
            <w:r>
              <w:rPr>
                <w:bCs/>
                <w:iCs/>
                <w:lang w:val="ru-RU" w:eastAsia="ru-RU"/>
              </w:rPr>
            </w:r>
            <w:r>
              <w:rPr>
                <w:bCs/>
                <w:iCs/>
                <w:lang w:val="ru-RU" w:eastAsia="ru-RU"/>
              </w:rPr>
            </w:r>
          </w:p>
        </w:tc>
        <w:tc>
          <w:tcPr>
            <w:shd w:val="clear" w:color="ffffff" w:fill="ffffff"/>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2</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tehnică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nr.22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3</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de preț</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nr.23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4</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Cerere de participare la procedura de achiziție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nr.7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5</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Declaraţie privind confirmarea identității beneficiarilor efectivi și neîncadrarea acestora în</w:t>
            </w:r>
            <w:r>
              <w:rPr>
                <w:bCs/>
                <w:iCs/>
                <w:lang w:val="ro-RO"/>
              </w:rPr>
              <w:t xml:space="preserve"> </w:t>
            </w:r>
            <w:r>
              <w:rPr>
                <w:bCs/>
                <w:iCs/>
                <w:lang w:val="ru-RU" w:eastAsia="ru-RU"/>
              </w:rPr>
              <w:t xml:space="preserve">situația condamnării pentru participarea la activităţi ale unei organizaţii sau grupări</w:t>
            </w:r>
            <w:r>
              <w:rPr>
                <w:bCs/>
                <w:iCs/>
                <w:lang w:val="ro-RO"/>
              </w:rPr>
              <w:t xml:space="preserve"> </w:t>
            </w:r>
            <w:r>
              <w:rPr>
                <w:bCs/>
                <w:iCs/>
                <w:lang w:val="ru-RU" w:eastAsia="ru-RU"/>
              </w:rPr>
              <w:t xml:space="preserve">criminale, pentru corupţie, fraudă şi/sau spălare de bani.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Conform Ordinul Ministrului Finanțelor nr. 145 din 24 noiembrie 2020. Completată și semnată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6</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Certificat de efectuare sistematică a plăților</w:t>
            </w:r>
            <w:r>
              <w:rPr>
                <w:bCs/>
                <w:iCs/>
                <w:lang w:val="ro-RO"/>
              </w:rPr>
              <w:t xml:space="preserve"> </w:t>
            </w:r>
            <w:r>
              <w:rPr>
                <w:bCs/>
                <w:iCs/>
                <w:lang w:val="ru-RU" w:eastAsia="ru-RU"/>
              </w:rPr>
              <w:t xml:space="preserve">impozitelor, contribuțiilor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 – eliberat de Inspectoratul Fiscal (valabilitatea certificatului – 15 zile din data eliberării); confirmat prin semnatura electronică a participantului *</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7</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atribuire a contului bancar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banca deținătoare de cont-semnat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8</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Extras din Registru de Stat a persoanei juridice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9</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Declarația privind valabilitatea ofertei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nr.8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10</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conformitate ce confirmă calitatea bunurilor oferite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Organismul abilitat-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11</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Prezentarea actului ce atestă dreptul de a</w:t>
            </w:r>
            <w:r>
              <w:rPr>
                <w:bCs/>
                <w:iCs/>
                <w:lang w:val="ro-RO"/>
              </w:rPr>
              <w:t xml:space="preserve"> </w:t>
            </w:r>
            <w:r>
              <w:rPr>
                <w:bCs/>
                <w:iCs/>
                <w:lang w:val="ru-RU" w:eastAsia="ru-RU"/>
              </w:rPr>
              <w:t xml:space="preserve">comercializa benzină / motorină</w:t>
            </w:r>
            <w:r>
              <w:rPr>
                <w:bCs/>
                <w:iCs/>
                <w:lang w:val="ro-RO"/>
              </w:rPr>
              <w:t xml:space="preserve"> / gaz lichefiat GPL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Copia Licenței de activitate și/sau Autorizația</w:t>
            </w:r>
            <w:r>
              <w:rPr>
                <w:bCs/>
                <w:iCs/>
                <w:lang w:val="ro-RO"/>
              </w:rPr>
              <w:t xml:space="preserve"> </w:t>
            </w:r>
            <w:r>
              <w:rPr>
                <w:bCs/>
                <w:iCs/>
                <w:lang w:val="ru-RU" w:eastAsia="ru-RU"/>
              </w:rPr>
              <w:t xml:space="preserve">de funcționare confirmat prin ștampilei și</w:t>
            </w:r>
            <w:r>
              <w:rPr>
                <w:bCs/>
                <w:iCs/>
                <w:lang w:val="ro-RO"/>
              </w:rPr>
              <w:t xml:space="preserve"> </w:t>
            </w:r>
            <w:r>
              <w:rPr>
                <w:bCs/>
                <w:iCs/>
                <w:lang w:val="ru-RU" w:eastAsia="ru-RU"/>
              </w:rPr>
              <w:t xml:space="preserve">semnăturii Participantului.</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12</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Lista staţiilor de alimentare pentru care</w:t>
            </w:r>
            <w:r>
              <w:rPr>
                <w:bCs/>
                <w:iCs/>
                <w:lang w:val="ro-RO"/>
              </w:rPr>
              <w:t xml:space="preserve"> </w:t>
            </w:r>
            <w:r>
              <w:rPr>
                <w:bCs/>
                <w:iCs/>
                <w:lang w:val="ru-RU" w:eastAsia="ru-RU"/>
              </w:rPr>
              <w:t xml:space="preserve">este propusă oferta</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Original semnat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13</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Prezentarea de dovezi privind conformitatea produselor, identificată prin referire la specificaţii sau standarde relevante.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Copia Certificatului de conformitate sau declarație de conformitate eliberat/eliberată de un organism de certificare acreditat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pBdr/>
        <w:spacing/>
        <w:ind w:firstLine="709"/>
        <w:jc w:val="both"/>
        <w:rPr/>
      </w:pPr>
      <w:r/>
      <w:r/>
    </w:p>
    <w:p>
      <w:pPr>
        <w:pBdr/>
        <w:spacing/>
        <w:ind/>
        <w:rPr>
          <w:bCs/>
          <w:iCs/>
        </w:rPr>
      </w:pPr>
      <w:r>
        <w:rPr>
          <w:bCs/>
          <w:iCs/>
        </w:rPr>
        <w:t xml:space="preserve">Autoritatea contractantă  ___________              Data „05.01.2026</w:t>
      </w:r>
      <w:r>
        <w:rPr>
          <w:bCs/>
          <w:iCs/>
        </w:rPr>
      </w:r>
    </w:p>
    <w:p>
      <w:pPr>
        <w:pBdr/>
        <w:spacing/>
        <w:ind/>
        <w:jc w:val="both"/>
        <w:rPr>
          <w:bCs/>
          <w:i/>
        </w:rPr>
      </w:pPr>
      <w:r>
        <w:rPr>
          <w:bCs/>
          <w:i/>
        </w:rPr>
      </w:r>
      <w:r>
        <w:rPr>
          <w:bCs/>
          <w:i/>
        </w:rPr>
      </w:r>
      <w:r>
        <w:rPr>
          <w:bCs/>
          <w:i/>
        </w:rPr>
      </w:r>
    </w:p>
    <w:p>
      <w:pPr>
        <w:pBdr/>
        <w:spacing/>
        <w:ind/>
        <w:jc w:val="both"/>
        <w:rPr>
          <w:bCs/>
          <w:i/>
          <w:iCs/>
          <w:sz w:val="14"/>
          <w:szCs w:val="14"/>
        </w:rPr>
      </w:pPr>
      <w:r>
        <w:rPr>
          <w:sz w:val="18"/>
          <w:szCs w:val="18"/>
        </w:rPr>
      </w:r>
      <w:bookmarkStart w:id="112" w:name="_Hlk63071406"/>
      <w:r>
        <w:rPr>
          <w:b/>
          <w:bCs/>
          <w:color w:val="ff0000"/>
          <w:sz w:val="14"/>
          <w:szCs w:val="14"/>
        </w:rPr>
        <w:t xml:space="preserve">Notă:</w:t>
      </w:r>
      <w:r>
        <w:rPr>
          <w:b/>
          <w:bCs/>
          <w:sz w:val="14"/>
          <w:szCs w:val="14"/>
        </w:rPr>
        <w:t xml:space="preserve"> </w:t>
      </w:r>
      <w:r>
        <w:rPr>
          <w:bCs/>
          <w:i/>
          <w:iCs/>
          <w:sz w:val="14"/>
          <w:szCs w:val="14"/>
        </w:rPr>
        <w:t xml:space="preserve">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10"/>
      <w:r>
        <w:rPr>
          <w:sz w:val="18"/>
          <w:szCs w:val="18"/>
        </w:rPr>
      </w:r>
      <w:bookmarkEnd w:id="112"/>
      <w:r>
        <w:rPr>
          <w:bCs/>
          <w:i/>
          <w:iCs/>
          <w:sz w:val="14"/>
          <w:szCs w:val="14"/>
        </w:rPr>
      </w:r>
      <w:r>
        <w:rPr>
          <w:bCs/>
          <w:i/>
          <w:iCs/>
          <w:sz w:val="14"/>
          <w:szCs w:val="14"/>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 22</w:t>
            </w:r>
            <w:r>
              <w:rPr>
                <w:sz w:val="22"/>
                <w:szCs w:val="22"/>
                <w:lang w:val="it-IT"/>
              </w:rPr>
            </w:r>
            <w:r>
              <w:rPr>
                <w:sz w:val="22"/>
                <w:szCs w:val="22"/>
                <w:lang w:val="it-IT"/>
              </w:rPr>
            </w:r>
          </w:p>
          <w:p>
            <w:pPr>
              <w:pBdr/>
              <w:spacing/>
              <w:ind/>
              <w:jc w:val="center"/>
              <w:rPr>
                <w:lang w:val="it-IT"/>
              </w:rPr>
            </w:pPr>
            <w:r>
              <w:rPr>
                <w:lang w:val="it-IT"/>
              </w:rPr>
              <w:t xml:space="preserve">                                                                                                                                                                                       la Documentația standard nr._____</w:t>
            </w:r>
            <w:r>
              <w:rPr>
                <w:lang w:val="it-IT"/>
              </w:rPr>
            </w:r>
            <w:r>
              <w:rPr>
                <w:lang w:val="it-IT"/>
              </w:rPr>
            </w:r>
          </w:p>
          <w:p>
            <w:pPr>
              <w:pBdr/>
              <w:spacing/>
              <w:ind/>
              <w:jc w:val="center"/>
              <w:rPr>
                <w:lang w:val="it-IT"/>
              </w:rPr>
            </w:pPr>
            <w:r>
              <w:rPr>
                <w:lang w:val="it-IT"/>
              </w:rPr>
              <w:t xml:space="preserve">                                                                                                                                                                             din “____” ________ 202</w:t>
            </w:r>
            <w:r>
              <w:rPr>
                <w:lang w:val="it-IT"/>
              </w:rPr>
              <w:t xml:space="preserve">6</w:t>
            </w:r>
            <w:r>
              <w:rPr>
                <w:lang w:val="it-IT"/>
              </w:rPr>
            </w:r>
            <w:r>
              <w:rPr>
                <w:lang w:val="it-IT"/>
              </w:rPr>
            </w:r>
          </w:p>
          <w:p>
            <w:pPr>
              <w:pStyle w:val="823"/>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2, 3, 4, 6, 7, iar de către autoritatea contractantă – în coloanele 1, 5,]</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 achiziției: </w:t>
            </w:r>
            <w:r>
              <w:t xml:space="preserve">Produse petroliere pentru anul 2026</w:t>
            </w:r>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bunului/serviciului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t xml:space="preserve">Motorina Euro 5</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lang w:val="pt-PT"/>
              </w:rPr>
            </w:pPr>
            <w:r>
              <w:rPr>
                <w:lang w:val="pt-PT"/>
              </w:rPr>
              <w:t xml:space="preserve">Aspect limpede si transparent  </w:t>
            </w:r>
            <w:r/>
            <w:r>
              <w:rPr>
                <w:lang w:val="pt-PT"/>
              </w:rPr>
            </w:r>
          </w:p>
          <w:p>
            <w:pPr>
              <w:pBdr/>
              <w:spacing/>
              <w:ind/>
              <w:jc w:val="both"/>
              <w:rPr>
                <w:lang w:val="pt-PT"/>
              </w:rPr>
            </w:pPr>
            <w:r>
              <w:rPr>
                <w:lang w:val="pt-PT"/>
              </w:rPr>
              <w:t xml:space="preserve">-</w:t>
            </w:r>
            <w:r>
              <w:rPr>
                <w:lang w:val="pt-PT"/>
              </w:rPr>
              <w:t xml:space="preserve">Aditivii din motorină nu trebuie să contina compusi ai metalelor si fosforului.</w:t>
            </w:r>
            <w:r>
              <w:rPr>
                <w:lang w:val="pt-PT"/>
              </w:rPr>
            </w:r>
            <w:r>
              <w:rPr>
                <w:lang w:val="pt-PT"/>
              </w:rPr>
            </w:r>
          </w:p>
          <w:p>
            <w:pPr>
              <w:pBdr/>
              <w:spacing/>
              <w:ind/>
              <w:rPr>
                <w:lang w:val="pt-PT"/>
              </w:rPr>
            </w:pPr>
            <w:r>
              <w:rPr>
                <w:lang w:val="pt-PT"/>
              </w:rPr>
              <w:t xml:space="preserve">-</w:t>
            </w:r>
            <w:r>
              <w:rPr>
                <w:lang w:val="pt-PT"/>
              </w:rPr>
              <w:t xml:space="preserve">Cifra cetanică,min.51,0</w:t>
            </w:r>
            <w:r>
              <w:rPr>
                <w:lang w:val="pt-PT"/>
              </w:rPr>
            </w:r>
            <w:r>
              <w:rPr>
                <w:lang w:val="pt-PT"/>
              </w:rPr>
            </w:r>
          </w:p>
          <w:p>
            <w:pPr>
              <w:pBdr/>
              <w:spacing/>
              <w:ind/>
              <w:rPr>
                <w:lang w:val="pt-PT"/>
              </w:rPr>
            </w:pPr>
            <w:r>
              <w:rPr>
                <w:lang w:val="pt-PT"/>
              </w:rPr>
              <w:t xml:space="preserve">-</w:t>
            </w:r>
            <w:r>
              <w:rPr>
                <w:lang w:val="pt-PT"/>
              </w:rPr>
              <w:t xml:space="preserve">Punct de inflamabilitate min.55grade C</w:t>
            </w:r>
            <w:r>
              <w:rPr>
                <w:lang w:val="pt-PT"/>
              </w:rPr>
            </w:r>
            <w:r>
              <w:rPr>
                <w:lang w:val="pt-PT"/>
              </w:rPr>
            </w:r>
          </w:p>
          <w:p>
            <w:pPr>
              <w:pBdr/>
              <w:spacing/>
              <w:ind/>
              <w:rPr>
                <w:lang w:val="pt-PT"/>
              </w:rPr>
            </w:pPr>
            <w:r>
              <w:rPr>
                <w:lang w:val="pt-PT"/>
              </w:rPr>
              <w:t xml:space="preserve">-</w:t>
            </w:r>
            <w:r>
              <w:rPr>
                <w:lang w:val="pt-PT"/>
              </w:rPr>
              <w:t xml:space="preserve">Densitate la 20 grade C,max.860,0 kg/m3</w:t>
            </w:r>
            <w:r>
              <w:rPr>
                <w:lang w:val="pt-PT"/>
              </w:rPr>
            </w:r>
            <w:r>
              <w:rPr>
                <w:lang w:val="pt-PT"/>
              </w:rPr>
            </w:r>
          </w:p>
          <w:p>
            <w:pPr>
              <w:pStyle w:val="1_3278"/>
              <w:pBdr/>
              <w:spacing w:before="31"/>
              <w:ind w:right="141" w:left="0"/>
              <w:rPr>
                <w:sz w:val="24"/>
                <w:szCs w:val="24"/>
              </w:rPr>
            </w:pPr>
            <w:r>
              <w:rPr>
                <w:sz w:val="24"/>
                <w:szCs w:val="24"/>
              </w:rPr>
              <w:t xml:space="preserve">-Viscozitate la 40 grade C 2,00-4,50 mm2/s</w:t>
            </w:r>
            <w:r>
              <w:rPr>
                <w:sz w:val="24"/>
                <w:szCs w:val="24"/>
                <w:lang w:eastAsia="ru-RU"/>
              </w:rPr>
              <w:t xml:space="preserve"> Produsele trebuie sa fie conforme cu </w:t>
            </w:r>
            <w:r>
              <w:rPr>
                <w:sz w:val="24"/>
                <w:szCs w:val="24"/>
                <w:lang w:eastAsia="ru-RU"/>
              </w:rPr>
              <w:t xml:space="preserve">cerintele</w:t>
            </w:r>
            <w:r>
              <w:rPr>
                <w:sz w:val="24"/>
                <w:szCs w:val="24"/>
                <w:lang w:eastAsia="ru-RU"/>
              </w:rPr>
              <w:t xml:space="preserve"> </w:t>
            </w:r>
            <w:r>
              <w:rPr>
                <w:sz w:val="24"/>
                <w:szCs w:val="24"/>
                <w:lang w:eastAsia="ru-RU"/>
              </w:rPr>
              <w:t xml:space="preserve">obligatorii stabilite in SM EN 590 +A1:2017</w:t>
            </w:r>
            <w:r>
              <w:rPr>
                <w:sz w:val="24"/>
                <w:szCs w:val="24"/>
              </w:rPr>
            </w:r>
            <w:r>
              <w:rPr>
                <w:sz w:val="24"/>
                <w:szCs w:val="24"/>
              </w:rPr>
            </w:r>
          </w:p>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t xml:space="preserve">Benzina Premium A 95</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lang w:val="pt-PT"/>
              </w:rPr>
            </w:pPr>
            <w:r>
              <w:rPr>
                <w:lang w:val="pt-PT"/>
              </w:rPr>
              <w:t xml:space="preserve">-</w:t>
            </w:r>
            <w:r>
              <w:rPr>
                <w:lang w:val="pt-PT"/>
              </w:rPr>
              <w:t xml:space="preserve">Cifra octanica,COR,min.95</w:t>
            </w:r>
            <w:r>
              <w:rPr>
                <w:lang w:val="pt-PT"/>
              </w:rPr>
            </w:r>
            <w:r>
              <w:rPr>
                <w:lang w:val="pt-PT"/>
              </w:rPr>
            </w:r>
          </w:p>
          <w:p>
            <w:pPr>
              <w:pBdr/>
              <w:spacing/>
              <w:ind/>
              <w:jc w:val="both"/>
              <w:rPr>
                <w:lang w:val="pt-PT"/>
              </w:rPr>
            </w:pPr>
            <w:r>
              <w:rPr>
                <w:lang w:val="pt-PT"/>
              </w:rPr>
              <w:t xml:space="preserve">-Aspect limpede si transparent</w:t>
            </w:r>
            <w:r>
              <w:rPr>
                <w:lang w:val="pt-PT"/>
              </w:rPr>
            </w:r>
            <w:r>
              <w:rPr>
                <w:lang w:val="pt-PT"/>
              </w:rPr>
            </w:r>
          </w:p>
          <w:p>
            <w:pPr>
              <w:pBdr/>
              <w:spacing/>
              <w:ind/>
              <w:rPr/>
            </w:pPr>
            <w:r>
              <w:rPr>
                <w:lang w:val="pt-PT"/>
              </w:rPr>
              <w:t xml:space="preserve">-</w:t>
            </w:r>
            <w:r>
              <w:t xml:space="preserve">Produsele trebuie sa fie conforme cu cerintele obligatorii stabilite in</w:t>
            </w:r>
            <w:r/>
            <w:r/>
          </w:p>
          <w:p>
            <w:pPr>
              <w:pBdr/>
              <w:spacing/>
              <w:ind/>
              <w:rPr>
                <w:color w:val="212121"/>
                <w:shd w:val="clear" w:color="auto" w:fill="ffffff"/>
              </w:rPr>
            </w:pPr>
            <w:r>
              <w:t xml:space="preserve">SM EN  228 +A1:2017</w:t>
            </w:r>
            <w:r>
              <w:rPr>
                <w:color w:val="212121"/>
                <w:shd w:val="clear" w:color="auto" w:fill="ffffff"/>
              </w:rPr>
            </w:r>
            <w:r>
              <w:rPr>
                <w:color w:val="212121"/>
                <w:shd w:val="clear" w:color="auto" w:fill="ffffff"/>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14:ligatures w14:val="none"/>
              </w:rPr>
            </w:pPr>
            <w:r>
              <w:t xml:space="preserve">Gaz Lichefiat GPL</w:t>
            </w:r>
            <w: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both"/>
              <w:rPr>
                <w:lang w:val="pt-PT"/>
                <w14:ligatures w14:val="none"/>
              </w:rPr>
            </w:pPr>
            <w:r>
              <w:rPr>
                <w:sz w:val="20"/>
                <w:szCs w:val="20"/>
              </w:rPr>
            </w:r>
            <w:r>
              <w:rPr>
                <w:lang w:val="pt-PT"/>
              </w:rPr>
              <w:t xml:space="preserve">Carduri valorice; </w:t>
            </w:r>
            <w:r>
              <w:rPr>
                <w:lang w:val="pt-PT"/>
              </w:rPr>
            </w:r>
          </w:p>
          <w:p>
            <w:pPr>
              <w:pBdr/>
              <w:spacing/>
              <w:ind/>
              <w:jc w:val="both"/>
              <w:rPr>
                <w:lang w:val="pt-PT"/>
                <w14:ligatures w14:val="none"/>
              </w:rPr>
            </w:pPr>
            <w:r>
              <w:rPr>
                <w:lang w:val="pt-PT"/>
              </w:rPr>
              <w:t xml:space="preserve">GOST 20448-90 SM SR EN 589:2016</w:t>
            </w:r>
            <w:r>
              <w:rPr>
                <w:lang w:val="pt-PT"/>
              </w:rPr>
            </w: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ayout w:type="fixed"/>
              <w:tblLook w:val="04A0" w:firstRow="1" w:lastRow="0" w:firstColumn="1" w:lastColumn="0" w:noHBand="0" w:noVBand="1"/>
            </w:tblPr>
            <w:tblGrid>
              <w:gridCol w:w="951"/>
              <w:gridCol w:w="298"/>
              <w:gridCol w:w="2534"/>
              <w:gridCol w:w="950"/>
              <w:gridCol w:w="1395"/>
              <w:gridCol w:w="935"/>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Anexa nr.23</w:t>
                  </w:r>
                  <w:r>
                    <w:rPr>
                      <w:lang w:val="it-IT"/>
                    </w:rPr>
                  </w:r>
                  <w:r>
                    <w:rPr>
                      <w:lang w:val="it-IT"/>
                    </w:rPr>
                  </w:r>
                </w:p>
                <w:p>
                  <w:pPr>
                    <w:framePr w:hAnchor="margin" w:hSpace="180" w:vAnchor="page" w:wrap="around" w:y="347"/>
                    <w:pBdr/>
                    <w:spacing/>
                    <w:ind/>
                    <w:jc w:val="right"/>
                    <w:rPr>
                      <w:lang w:val="it-IT"/>
                    </w:rPr>
                  </w:pPr>
                  <w:r>
                    <w:rPr>
                      <w:lang w:val="it-IT"/>
                    </w:rPr>
                    <w:t xml:space="preserve">  la Documentația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din “____” ________ 202</w:t>
                  </w:r>
                  <w:r>
                    <w:rPr>
                      <w:lang w:val="it-IT"/>
                    </w:rPr>
                    <w:t xml:space="preserve">6</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823"/>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823"/>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Produse petroliere pentru anul 2026</w:t>
                  </w:r>
                  <w:r/>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bunurilor/serviciilor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1395"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lang w:val="en-US"/>
                    </w:rPr>
                  </w:pPr>
                  <w:r>
                    <w:rPr>
                      <w:lang w:val="en-US"/>
                    </w:rPr>
                  </w:r>
                  <w:r>
                    <w:rPr>
                      <w:lang w:val="en-US"/>
                    </w:rPr>
                  </w:r>
                  <w:r>
                    <w:rPr>
                      <w:lang w:val="en-US"/>
                    </w:rPr>
                  </w:r>
                </w:p>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sz w:val="20"/>
                    </w:rPr>
                    <w:t xml:space="preserve">Lotul 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rPr>
                      <w:sz w:val="20"/>
                      <w:szCs w:val="20"/>
                    </w:rPr>
                  </w:pPr>
                  <w:r>
                    <w:t xml:space="preserve">Motorina Euro 5</w:t>
                  </w:r>
                  <w:r>
                    <w:rPr>
                      <w:sz w:val="20"/>
                      <w:szCs w:val="20"/>
                    </w:rPr>
                  </w:r>
                  <w:r>
                    <w:rPr>
                      <w:sz w:val="20"/>
                      <w:szCs w:val="20"/>
                    </w:rPr>
                  </w:r>
                </w:p>
                <w:p>
                  <w:pPr>
                    <w:framePr w:hAnchor="margin" w:hSpace="180" w:vAnchor="page" w:wrap="around" w:y="347"/>
                    <w:pBdr/>
                    <w:spacing/>
                    <w:ind/>
                    <w:rPr>
                      <w:bCs/>
                      <w:i/>
                      <w:sz w:val="20"/>
                      <w:szCs w:val="20"/>
                    </w:rPr>
                  </w:pPr>
                  <w:r>
                    <w:rPr>
                      <w:i/>
                      <w:iCs/>
                      <w:sz w:val="20"/>
                    </w:rPr>
                  </w:r>
                  <w:r>
                    <w:rPr>
                      <w:bCs/>
                      <w:i/>
                      <w:sz w:val="20"/>
                      <w:szCs w:val="20"/>
                    </w:rPr>
                  </w:r>
                </w:p>
                <w:p>
                  <w:pPr>
                    <w:framePr w:hAnchor="margin" w:hSpace="180" w:vAnchor="page" w:wrap="around" w:y="347"/>
                    <w:pBdr/>
                    <w:spacing/>
                    <w:ind/>
                    <w:rPr>
                      <w:b/>
                      <w:bCs/>
                      <w:sz w:val="20"/>
                      <w:szCs w:val="20"/>
                    </w:rPr>
                  </w:pPr>
                  <w:r>
                    <w:rPr>
                      <w:b/>
                      <w:bCs/>
                      <w:sz w:val="20"/>
                      <w:szCs w:val="20"/>
                    </w:rPr>
                  </w:r>
                  <w:r>
                    <w:rPr>
                      <w:b/>
                      <w:bCs/>
                      <w:sz w:val="20"/>
                      <w:szCs w:val="20"/>
                    </w:rPr>
                  </w:r>
                  <w:r>
                    <w:rPr>
                      <w:b/>
                      <w:b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Bdr/>
                    <w:spacing/>
                    <w:ind/>
                    <w:rPr/>
                  </w:pPr>
                  <w:r>
                    <w:t xml:space="preserve">12 000,00</w:t>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219 200,00</w:t>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rPr>
                      <w:b/>
                      <w:sz w:val="20"/>
                      <w:szCs w:val="20"/>
                    </w:rPr>
                  </w:pPr>
                  <w:r>
                    <w:t xml:space="preserve">Benzina Premium A 95</w:t>
                  </w:r>
                  <w:r>
                    <w:rPr>
                      <w:b/>
                      <w:sz w:val="20"/>
                      <w:szCs w:val="20"/>
                    </w:rPr>
                  </w:r>
                  <w:r>
                    <w:rPr>
                      <w:b/>
                      <w:sz w:val="20"/>
                      <w:szCs w:val="20"/>
                    </w:rPr>
                  </w:r>
                </w:p>
                <w:p>
                  <w:pPr>
                    <w:framePr w:hAnchor="margin" w:hSpace="180" w:vAnchor="page" w:wrap="around" w:y="347"/>
                    <w:pBdr/>
                    <w:spacing/>
                    <w:ind/>
                    <w:rPr>
                      <w:bCs/>
                      <w:i/>
                      <w:sz w:val="20"/>
                      <w:szCs w:val="20"/>
                    </w:rPr>
                  </w:pPr>
                  <w:r>
                    <w:rPr>
                      <w:i/>
                      <w:iCs/>
                      <w:sz w:val="20"/>
                    </w:rPr>
                  </w:r>
                  <w:r>
                    <w:rPr>
                      <w:bCs/>
                      <w:i/>
                      <w:sz w:val="20"/>
                      <w:szCs w:val="20"/>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Bdr/>
                    <w:spacing/>
                    <w:ind/>
                    <w:rPr/>
                  </w:pPr>
                  <w:r>
                    <w:t xml:space="preserve">7 000,00</w:t>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109 083,00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t xml:space="preserve">Gaz lichefiat GPL</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rPr>
                      <w:sz w:val="20"/>
                    </w:rPr>
                  </w:pPr>
                  <w:r>
                    <w:rPr>
                      <w:sz w:val="20"/>
                    </w:rPr>
                    <w:t xml:space="preserve">lit</w:t>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Bdr/>
                    <w:spacing/>
                    <w:ind/>
                    <w:rPr/>
                  </w:pPr>
                  <w:r>
                    <w:t xml:space="preserve">500,00</w:t>
                  </w:r>
                  <w:r/>
                </w:p>
              </w:tc>
              <w:tc>
                <w:tcPr>
                  <w:shd w:val="clear" w:color="ffffff" w:fill="ffffff"/>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t xml:space="preserve">5 417,00</w:t>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333 </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 24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 MODEL</w:t>
      </w:r>
      <w:bookmarkEnd w:id="117"/>
      <w:r>
        <w:rPr>
          <w:b/>
        </w:rPr>
        <w:t xml:space="preserve"> </w:t>
      </w:r>
      <w:r>
        <w:rPr>
          <w:b/>
        </w:rPr>
      </w:r>
      <w:r>
        <w:rPr>
          <w:b/>
        </w:rPr>
      </w:r>
    </w:p>
    <w:p>
      <w:pPr>
        <w:pStyle w:val="990"/>
        <w:numPr>
          <w:ilvl w:val="0"/>
          <w:numId w:val="0"/>
        </w:numPr>
        <w:pBdr/>
        <w:spacing/>
        <w:ind w:right="-1"/>
        <w:rPr>
          <w:lang w:val="ro-RO"/>
        </w:rPr>
      </w:pPr>
      <w:r>
        <w:rPr>
          <w:lang w:val="ro-RO"/>
        </w:rPr>
      </w:r>
      <w:r>
        <w:rPr>
          <w:lang w:val="ro-RO"/>
        </w:rPr>
      </w:r>
      <w:r>
        <w:rPr>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de________________</w:t>
            </w:r>
            <w:r/>
          </w:p>
          <w:p>
            <w:pPr>
              <w:pBdr/>
              <w:spacing/>
              <w:ind/>
              <w:jc w:val="center"/>
              <w:rPr>
                <w:i/>
              </w:rPr>
            </w:pPr>
            <w:r>
              <w:rPr>
                <w:i/>
              </w:rPr>
            </w:r>
            <w:r>
              <w:rPr>
                <w:i/>
              </w:rPr>
            </w:r>
            <w:r>
              <w:rPr>
                <w:i/>
              </w:rPr>
            </w:r>
          </w:p>
          <w:p>
            <w:pPr>
              <w:pBdr/>
              <w:spacing/>
              <w:ind/>
              <w:jc w:val="center"/>
              <w:rPr>
                <w:i/>
              </w:rPr>
            </w:pPr>
            <w:r>
              <w:rPr>
                <w:i/>
              </w:rPr>
              <w:t xml:space="preserve">I 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both"/>
              <w:rPr>
                <w:i/>
              </w:rPr>
            </w:pPr>
            <w:r>
              <w:rPr>
                <w:i/>
              </w:rPr>
              <w:t xml:space="preserve">Obiectul achiziției _____________________________________________________</w:t>
            </w:r>
            <w:r>
              <w:rPr>
                <w:i/>
              </w:rPr>
            </w:r>
            <w:r>
              <w:rPr>
                <w:i/>
              </w:rPr>
            </w:r>
          </w:p>
          <w:p>
            <w:pPr>
              <w:pBdr/>
              <w:spacing/>
              <w:ind/>
              <w:jc w:val="both"/>
              <w:rPr>
                <w:i/>
              </w:rPr>
            </w:pPr>
            <w:r>
              <w:rPr>
                <w:i/>
              </w:rPr>
              <w:t xml:space="preserve">Cod CPV: ___________________________________________________________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t xml:space="preserve">                                                        __________________________</w:t>
            </w:r>
            <w:r>
              <w:rPr>
                <w:i/>
              </w:rPr>
            </w:r>
            <w:r>
              <w:rPr>
                <w:i/>
              </w:rPr>
            </w:r>
          </w:p>
          <w:p>
            <w:pPr>
              <w:pBdr/>
              <w:spacing/>
              <w:ind/>
              <w:jc w:val="both"/>
              <w:rPr>
                <w:i/>
              </w:rPr>
            </w:pPr>
            <w:r>
              <w:rPr>
                <w:i/>
              </w:rPr>
              <w:t xml:space="preserve">                                                                                                                           (localitatea)</w:t>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40"/>
                    </w:rPr>
                  </w:pPr>
                  <w:r>
                    <w:rPr>
                      <w:b/>
                    </w:rPr>
                    <w:t xml:space="preserve">Furnizorul/Prestatorul de bunuri /servicii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r>
              <w:rPr>
                <w:iCs/>
              </w:rPr>
            </w:r>
          </w:p>
          <w:p>
            <w:pPr>
              <w:pBdr/>
              <w:spacing/>
              <w:ind/>
              <w:jc w:val="center"/>
              <w:rPr>
                <w:i/>
                <w:sz w:val="20"/>
                <w:szCs w:val="20"/>
              </w:rPr>
            </w:pPr>
            <w:r>
              <w:rPr>
                <w:i/>
                <w:sz w:val="20"/>
                <w:szCs w:val="20"/>
              </w:rPr>
              <w:t xml:space="preserve">(denumirea bunului/serviciului)</w:t>
            </w:r>
            <w:r>
              <w:rPr>
                <w:i/>
                <w:sz w:val="20"/>
                <w:szCs w:val="20"/>
              </w:rPr>
            </w:r>
            <w:r>
              <w:rPr>
                <w:i/>
                <w:sz w:val="20"/>
                <w:szCs w:val="20"/>
              </w:rPr>
            </w:r>
          </w:p>
          <w:p>
            <w:pPr>
              <w:pBdr/>
              <w:spacing/>
              <w:ind/>
              <w:jc w:val="both"/>
              <w:rPr>
                <w:iCs/>
              </w:rPr>
            </w:pPr>
            <w:r>
              <w:rPr>
                <w:iCs/>
              </w:rPr>
              <w:t xml:space="preserve">denumite în continuare Bunuri/Servicii,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Cumpărătorului/Beneficiaruluibdin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Cumpărător/Beneficiar, Furnizorul/Prestatorul se obligă prin prezentul contract să livreze/presteze </w:t>
            </w:r>
            <w:r>
              <w:rPr>
                <w:iCs/>
              </w:rPr>
              <w:t xml:space="preserve">Cumpărătorului/Beneficiarului Bunurile/Serviciile şi să înlăture defectele lor în conformitate cu prevederile Contractului sub toate aspectele.</w:t>
            </w:r>
            <w:r>
              <w:rPr>
                <w:iCs/>
              </w:rPr>
            </w:r>
            <w:r>
              <w:rPr>
                <w:iCs/>
              </w:rPr>
            </w:r>
          </w:p>
          <w:p>
            <w:pPr>
              <w:pBdr/>
              <w:spacing/>
              <w:ind/>
              <w:jc w:val="both"/>
              <w:rPr>
                <w:iCs/>
              </w:rPr>
            </w:pPr>
            <w:r>
              <w:rPr>
                <w:iCs/>
              </w:rPr>
              <w:t xml:space="preserve">e.</w:t>
            </w:r>
            <w:r>
              <w:rPr>
                <w:iCs/>
              </w:rPr>
              <w:tab/>
              <w:t xml:space="preserve">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t xml:space="preserve">Furnizorul/Prestatorul îşi asumă obligaţia de a livra/presta Bunurile/Serviciile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livrate/prestate  de Furnizorul/Prestator.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1.5</w:t>
            </w:r>
            <w:r>
              <w:rPr>
                <w:iCs/>
              </w:rPr>
              <w:tab/>
              <w:t xml:space="preserve">Termenele de garanţie [</w:t>
            </w:r>
            <w:r>
              <w:rPr>
                <w:i/>
              </w:rPr>
              <w:t xml:space="preserve">valabilitate, după caz</w:t>
            </w:r>
            <w:r>
              <w:rPr>
                <w:iCs/>
              </w:rPr>
              <w:t xml:space="preserve">] a Bunurilor/Serviciilor sunt indicate în Anexa nr.22, Specificaţii tehnice.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 de livrare/prestare.</w:t>
            </w:r>
            <w:r>
              <w:rPr>
                <w:iCs/>
              </w:rPr>
            </w:r>
            <w:r>
              <w:rPr>
                <w:iCs/>
              </w:rPr>
            </w:r>
          </w:p>
          <w:p>
            <w:pPr>
              <w:pBdr/>
              <w:spacing/>
              <w:ind/>
              <w:jc w:val="both"/>
              <w:rPr>
                <w:iCs/>
              </w:rPr>
            </w:pPr>
            <w:r>
              <w:rPr>
                <w:iCs/>
              </w:rPr>
              <w:t xml:space="preserve">2.2.</w:t>
            </w:r>
            <w:r>
              <w:rPr>
                <w:iCs/>
              </w:rPr>
              <w:tab/>
              <w:t xml:space="preserve">Documentaţia de însoţire a Bunurilor/Serviciilor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w:t>
            </w:r>
            <w:r>
              <w:rPr>
                <w:iCs/>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Cumpărător/Beneficiar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Furnizorului/Prestatorului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Bunurilor/Serviciilor corespunde informaţiei indicate în Lista bunurilor/serviciilor şi graficul livrării/prestării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w:t>
            </w:r>
            <w:r>
              <w:rPr>
                <w:iCs/>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t xml:space="preserve">Bunurile/Serviciile furnizate/prestate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Bunurilor/Serviciilor.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Furnizorul/Prestatorul se obligă:</w:t>
            </w:r>
            <w:r>
              <w:rPr>
                <w:iCs/>
              </w:rPr>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r>
              <w:rPr>
                <w:iCs/>
              </w:rPr>
            </w:r>
          </w:p>
          <w:p>
            <w:pPr>
              <w:pBdr/>
              <w:spacing/>
              <w:ind/>
              <w:jc w:val="both"/>
              <w:rPr>
                <w:iCs/>
              </w:rPr>
            </w:pPr>
            <w:r>
              <w:rPr>
                <w:iCs/>
              </w:rPr>
              <w:t xml:space="preserve">b)</w:t>
            </w:r>
            <w:r>
              <w:rPr>
                <w:iCs/>
              </w:rPr>
              <w:tab/>
              <w:t xml:space="preserve">să anunţe Cumpărătorul/Beneficiarul după semnarea prezentului Contract, în decurs de ____ zile calendaristice, prin telefon/fax sau mijloace electronice, despre disponibilitatea livrării/prestării Bunurilor/Serviciilor;</w:t>
            </w:r>
            <w:r>
              <w:rPr>
                <w:iCs/>
              </w:rPr>
            </w:r>
            <w:r>
              <w:rPr>
                <w:iCs/>
              </w:rPr>
            </w:r>
          </w:p>
          <w:p>
            <w:pPr>
              <w:pBdr/>
              <w:spacing/>
              <w:ind/>
              <w:jc w:val="both"/>
              <w:rPr>
                <w:iCs/>
              </w:rPr>
            </w:pPr>
            <w:r>
              <w:rPr>
                <w:iCs/>
              </w:rPr>
              <w:t xml:space="preserve">c)</w:t>
            </w:r>
            <w:r>
              <w:rPr>
                <w:iCs/>
              </w:rPr>
              <w:tab/>
              <w:t xml:space="preserve">să asigure condiţiile corespunzătoare pentru recepţionarea Bunurilor/Serviciilor de către Cumpărător/Beneficiar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Cumpărător/Beneficiar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Cumpărătorul/Beneficiarul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Bunurilor/Serviciilor livrate/prestate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Bunurilor/Serviciilor livrate/prestate,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w:t>
            </w:r>
            <w:r>
              <w:rPr>
                <w:iCs/>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rPr>
                <w:iCs/>
              </w:rPr>
            </w:r>
            <w:r>
              <w:rPr>
                <w:iCs/>
              </w:rPr>
            </w:r>
          </w:p>
          <w:p>
            <w:pPr>
              <w:pBdr/>
              <w:spacing/>
              <w:ind/>
              <w:jc w:val="both"/>
              <w:rPr>
                <w:iCs/>
              </w:rPr>
            </w:pPr>
            <w:r>
              <w:rPr>
                <w:iCs/>
              </w:rPr>
              <w:t xml:space="preserve">7.3.</w:t>
            </w:r>
            <w:r>
              <w:rPr>
                <w:iCs/>
              </w:rPr>
              <w:tab/>
              <w:t xml:space="preserve">Survenirea circums</w:t>
            </w:r>
            <w:r>
              <w:rPr>
                <w:iCs/>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r>
              <w:rPr>
                <w:iCs/>
              </w:rPr>
            </w:r>
          </w:p>
          <w:p>
            <w:pPr>
              <w:pBdr/>
              <w:spacing/>
              <w:ind/>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w:t>
            </w:r>
            <w:r>
              <w:rPr>
                <w:iCs/>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t xml:space="preserve">Rezoluțiunea</w:t>
            </w:r>
            <w:r>
              <w:rPr>
                <w:b/>
                <w:bCs/>
                <w:iCs/>
              </w:rPr>
            </w:r>
            <w:r>
              <w:rPr>
                <w:b/>
                <w:bCs/>
                <w:iCs/>
              </w:rPr>
            </w:r>
          </w:p>
          <w:p>
            <w:pPr>
              <w:pBdr/>
              <w:spacing/>
              <w:ind/>
              <w:jc w:val="both"/>
              <w:rPr>
                <w:iCs/>
              </w:rPr>
            </w:pPr>
            <w:r>
              <w:rPr>
                <w:iCs/>
              </w:rPr>
              <w:t xml:space="preserve">8.1.</w:t>
            </w:r>
            <w:r>
              <w:rPr>
                <w:iCs/>
              </w:rPr>
              <w:tab/>
              <w:t xml:space="preserve">Rezoluțiunea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rezolvit în mod unilateral de către:</w:t>
            </w:r>
            <w:r>
              <w:rPr>
                <w:iCs/>
              </w:rPr>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Contract;         </w:t>
            </w:r>
            <w:r>
              <w:rPr>
                <w:iCs/>
              </w:rPr>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r>
              <w:rPr>
                <w:iCs/>
              </w:rPr>
            </w:r>
          </w:p>
          <w:p>
            <w:pPr>
              <w:pBdr/>
              <w:spacing/>
              <w:ind/>
              <w:jc w:val="both"/>
              <w:rPr>
                <w:iCs/>
              </w:rPr>
            </w:pPr>
            <w:r>
              <w:rPr>
                <w:iCs/>
              </w:rPr>
              <w:t xml:space="preserve">8.3      Cumpărător/Beneficiar are dreptul de a rezolvi unilateral contractul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privind achizițiile publice;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w:t>
            </w:r>
            <w:r>
              <w:rPr>
                <w:iCs/>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8.5.</w:t>
            </w:r>
            <w:r>
              <w:rPr>
                <w:iCs/>
              </w:rPr>
              <w:tab/>
              <w:t xml:space="preserve">Partea înştiinţată este obligată să răspundă în decurs de ___ zile lucrătoare de la primirea notificării. În cazul în care litigiul nu este soluţionat în termenele stabilite, partea iniţiatoare va iniția rezoluțiunea.</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Bunurilor/Serviciilor livrate/prestate sunt înaintate Furnizorului/Prestatorului la momentul recepţionării lor, fiind confirmate printr-un act întocmit în comun cu reprezentantul Furnizorului/Prestatorului.</w:t>
            </w:r>
            <w:r>
              <w:rPr>
                <w:iCs/>
              </w:rPr>
            </w:r>
            <w:r>
              <w:rPr>
                <w:iCs/>
              </w:rPr>
            </w:r>
          </w:p>
          <w:p>
            <w:pPr>
              <w:pBdr/>
              <w:spacing/>
              <w:ind/>
              <w:jc w:val="both"/>
              <w:rPr>
                <w:iCs/>
              </w:rPr>
            </w:pPr>
            <w:r>
              <w:rPr>
                <w:iCs/>
              </w:rPr>
              <w:t xml:space="preserve">9.2.</w:t>
            </w:r>
            <w:r>
              <w:rPr>
                <w:iCs/>
              </w:rPr>
              <w:tab/>
              <w:t xml:space="preserve">Pretenţiile privind calitatea bunuril</w:t>
            </w:r>
            <w:r>
              <w:rPr>
                <w:iCs/>
              </w:rPr>
              <w:t xml:space="preserve">or/serviciilor livrate/prestate sunt înaintate Furnizorului/Prestatorului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r>
              <w:rPr>
                <w:iCs/>
              </w:rPr>
            </w:r>
          </w:p>
          <w:p>
            <w:pPr>
              <w:pBdr/>
              <w:spacing/>
              <w:ind/>
              <w:jc w:val="both"/>
              <w:rPr>
                <w:iCs/>
              </w:rPr>
            </w:pPr>
            <w:r>
              <w:rPr>
                <w:iCs/>
              </w:rPr>
              <w:t xml:space="preserve">9.4.</w:t>
            </w:r>
            <w:r>
              <w:rPr>
                <w:iCs/>
              </w:rPr>
              <w:tab/>
              <w:t xml:space="preserve">În caz de recunoaştere a pretenţiilor, Furnizorul/Prestatorul este obligat, în termen de ___ z</w:t>
            </w:r>
            <w:r>
              <w:rPr>
                <w:iCs/>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sunt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Cumpărător/Beneficiar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vinde/presta Bunurile/Serviciile</w:t>
            </w:r>
            <w:r>
              <w:rPr>
                <w:iCs/>
              </w:rPr>
              <w:t xml:space="preserv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w:t>
            </w:r>
            <w:r>
              <w:rPr>
                <w:iCs/>
              </w:rPr>
              <w:t xml:space="preserve">e ___ zile, Furnizorul/Prestatorul prezintă Cumpărătorului/Beneficiarului o explicație în formă scrisă. Dacă Cumpărătorul/Beneficiarul acceptă, Furnizorul/Prestatorul prelungește termenul de valabilitate a garanției de bună executare, în caz contrar se con</w:t>
            </w:r>
            <w:r>
              <w:rPr>
                <w:iCs/>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zi de întârziere,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12.2.</w:t>
            </w:r>
            <w:r>
              <w:rPr>
                <w:iCs/>
              </w:rPr>
              <w:tab/>
              <w:t xml:space="preserve">Părţile contractante au dreptul, pe durata îndeplinirii contractului, să convină asupra modificării clauzelor contractului, prin acord 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12.3.</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12.4.</w:t>
            </w:r>
            <w:r>
              <w:rPr>
                <w:iCs/>
              </w:rPr>
              <w:tab/>
              <w:t xml:space="preserve">Prezentul Contract în cazul în care este semnat electron</w:t>
            </w:r>
            <w:r>
              <w:rPr>
                <w:iCs/>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rPr>
                <w:iCs/>
              </w:rPr>
            </w:r>
            <w:r>
              <w:rPr>
                <w:iCs/>
              </w:rPr>
            </w:r>
          </w:p>
          <w:p>
            <w:pPr>
              <w:pBdr/>
              <w:spacing/>
              <w:ind/>
              <w:jc w:val="both"/>
              <w:rPr>
                <w:iCs/>
              </w:rPr>
            </w:pPr>
            <w:r>
              <w:rPr>
                <w:iCs/>
              </w:rPr>
              <w:t xml:space="preserve">12.5.</w:t>
            </w:r>
            <w:r>
              <w:rPr>
                <w:iCs/>
              </w:rPr>
              <w:tab/>
              <w:t xml:space="preserve">Prezentul Contract se consideră încheiat la data semnării şi intră în vigoare la data înregistrării  la una din trezoreriile regionale ale Ministerului Finanțelor,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12.6.</w:t>
            </w:r>
            <w:r>
              <w:rPr>
                <w:iCs/>
              </w:rPr>
              <w:tab/>
              <w:t xml:space="preserve">Prezentul contract este valabil până la _______.</w:t>
            </w:r>
            <w:r>
              <w:rPr>
                <w:iCs/>
              </w:rPr>
            </w:r>
            <w:r>
              <w:rPr>
                <w:iCs/>
              </w:rPr>
            </w:r>
          </w:p>
          <w:p>
            <w:pPr>
              <w:pBdr/>
              <w:spacing/>
              <w:ind/>
              <w:jc w:val="both"/>
              <w:rPr>
                <w:iCs/>
              </w:rPr>
            </w:pPr>
            <w:r>
              <w:rPr>
                <w:iCs/>
              </w:rPr>
              <w:t xml:space="preserve">12.7.</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822"/>
              <w:numPr>
                <w:ilvl w:val="0"/>
                <w:numId w:val="19"/>
              </w:numPr>
              <w:pBdr/>
              <w:tabs>
                <w:tab w:val="left" w:leader="none" w:pos="2295"/>
              </w:tabs>
              <w:spacing/>
              <w:ind/>
              <w:rPr>
                <w:lang w:val="it-IT"/>
              </w:rPr>
            </w:pPr>
            <w:r>
              <w:rPr>
                <w:lang w:val="it-IT"/>
              </w:rPr>
              <w:t xml:space="preserve">CONDIȚIILE </w:t>
            </w:r>
            <w:r>
              <w:rPr>
                <w:lang w:val="it-IT"/>
              </w:rPr>
            </w:r>
            <w:r>
              <w:rPr>
                <w:lang w:val="it-IT"/>
              </w:rPr>
            </w:r>
          </w:p>
          <w:p>
            <w:pPr>
              <w:pStyle w:val="990"/>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pPr>
                  <w:r/>
                  <w:r/>
                </w:p>
              </w:tc>
            </w:tr>
          </w:tbl>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202</w:t>
            </w:r>
            <w:r>
              <w:t xml:space="preserve">6</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25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7"/>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w:t>
                  </w:r>
                  <w:r>
                    <w:rPr>
                      <w:sz w:val="24"/>
                      <w:szCs w:val="24"/>
                    </w:rPr>
                    <w:t xml:space="preserve">________________, în persoana______________,în scopul modificării Contractului nr.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7"/>
                    <w:pBdr/>
                    <w:spacing/>
                    <w:ind w:firstLine="0"/>
                    <w:rPr>
                      <w:sz w:val="24"/>
                      <w:szCs w:val="24"/>
                    </w:rPr>
                  </w:pPr>
                  <w:r>
                    <w:rPr>
                      <w:sz w:val="24"/>
                      <w:szCs w:val="24"/>
                    </w:rPr>
                  </w:r>
                  <w:r>
                    <w:rPr>
                      <w:sz w:val="24"/>
                      <w:szCs w:val="24"/>
                    </w:rPr>
                  </w:r>
                  <w:r>
                    <w:rPr>
                      <w:sz w:val="24"/>
                      <w:szCs w:val="24"/>
                    </w:rPr>
                  </w:r>
                </w:p>
                <w:p>
                  <w:pPr>
                    <w:pStyle w:val="997"/>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7"/>
                    <w:pBdr/>
                    <w:spacing/>
                    <w:ind w:firstLine="0"/>
                    <w:rPr>
                      <w:sz w:val="24"/>
                      <w:szCs w:val="24"/>
                    </w:rPr>
                  </w:pPr>
                  <w:r>
                    <w:rPr>
                      <w:sz w:val="24"/>
                      <w:szCs w:val="24"/>
                    </w:rPr>
                  </w:r>
                  <w:r>
                    <w:rPr>
                      <w:sz w:val="24"/>
                      <w:szCs w:val="24"/>
                    </w:rPr>
                  </w:r>
                  <w:r>
                    <w:rPr>
                      <w:sz w:val="24"/>
                      <w:szCs w:val="24"/>
                    </w:rPr>
                  </w:r>
                </w:p>
                <w:p>
                  <w:pPr>
                    <w:pStyle w:val="997"/>
                    <w:pBdr/>
                    <w:spacing/>
                    <w:ind w:firstLine="0"/>
                    <w:rPr>
                      <w:sz w:val="24"/>
                      <w:szCs w:val="24"/>
                    </w:rPr>
                  </w:pPr>
                  <w:r>
                    <w:rPr>
                      <w:sz w:val="24"/>
                      <w:szCs w:val="24"/>
                    </w:rPr>
                    <w:t xml:space="preserve">Orice modificare aplicată prin prezentul acord este obligatorie pentru fiecare parte din Contract, celelalte prevederi nemodificate rămânând obligatorii în continuare.</w:t>
                  </w:r>
                  <w:r>
                    <w:rPr>
                      <w:sz w:val="24"/>
                      <w:szCs w:val="24"/>
                    </w:rPr>
                  </w:r>
                  <w:r>
                    <w:rPr>
                      <w:sz w:val="24"/>
                      <w:szCs w:val="24"/>
                    </w:rPr>
                  </w:r>
                </w:p>
                <w:p>
                  <w:pPr>
                    <w:pStyle w:val="1006"/>
                    <w:pBdr/>
                    <w:tabs>
                      <w:tab w:val="right" w:leader="none" w:pos="10205"/>
                    </w:tabs>
                    <w:spacing/>
                    <w:ind w:firstLine="0"/>
                    <w:jc w:val="left"/>
                    <w:rPr>
                      <w:lang w:val="ro-RO"/>
                    </w:rPr>
                  </w:pPr>
                  <w:r>
                    <w:rPr>
                      <w:lang w:val="ro-RO"/>
                    </w:rPr>
                  </w:r>
                  <w:r>
                    <w:rPr>
                      <w:lang w:val="ro-RO"/>
                    </w:rPr>
                  </w:r>
                  <w:r>
                    <w:rPr>
                      <w:lang w:val="ro-RO"/>
                    </w:rPr>
                  </w:r>
                </w:p>
                <w:p>
                  <w:pPr>
                    <w:pStyle w:val="997"/>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90"/>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r/>
                </w:p>
                <w:p>
                  <w:pPr>
                    <w:pStyle w:val="823"/>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 26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t xml:space="preserve">În temeiul Legii nr. 131/2015 privind achizițiile publice, cu modificările ulterioare, s-a încheiat prezentul acord-cadru,</w:t>
            </w:r>
            <w:r/>
          </w:p>
          <w:p>
            <w:pPr>
              <w:pBdr/>
              <w:spacing/>
              <w:ind/>
              <w:jc w:val="both"/>
              <w:rPr/>
            </w:pPr>
            <w:r>
              <w:t xml:space="preserve">    între</w:t>
            </w:r>
            <w:r/>
          </w:p>
          <w:p>
            <w:pPr>
              <w:pBdr/>
              <w:spacing/>
              <w:ind/>
              <w:jc w:val="both"/>
              <w:rPr>
                <w:rStyle w:val="1060"/>
                <w:b w:val="0"/>
                <w:bCs w:val="0"/>
              </w:rPr>
            </w:pPr>
            <w:r>
              <w:rPr>
                <w:rStyle w:val="1061"/>
                <w:i/>
              </w:rPr>
              <w:t xml:space="preserve">(Denumirea autorităţii contractante)…………………………</w:t>
            </w:r>
            <w:r>
              <w:rPr>
                <w:rStyle w:val="1061"/>
              </w:rPr>
              <w:t xml:space="preserve">,adresa completă:……………………….., telefon: …………………./fax: ………………….., </w:t>
            </w:r>
            <w:r>
              <w:t xml:space="preserve">cod fiscal …………… cont Trezorerie: …………, reprezentată prin domnul …………………………………….., </w:t>
            </w:r>
            <w:r>
              <w:rPr>
                <w:rStyle w:val="1061"/>
              </w:rPr>
              <w:t xml:space="preserve">în calitate de </w:t>
            </w:r>
            <w:r>
              <w:rPr>
                <w:rStyle w:val="1061"/>
                <w:b/>
                <w:bCs/>
              </w:rPr>
              <w:t xml:space="preserve">promitent-achizitor</w:t>
            </w:r>
            <w:r>
              <w:rPr>
                <w:rStyle w:val="1061"/>
              </w:rPr>
              <w:t xml:space="preserve">, pe de o parte, </w:t>
            </w:r>
            <w:r>
              <w:rPr>
                <w:rStyle w:val="1060"/>
                <w:b w:val="0"/>
                <w:bCs w:val="0"/>
              </w:rPr>
              <w:t xml:space="preserve">  </w:t>
            </w:r>
            <w:r>
              <w:rPr>
                <w:rStyle w:val="1060"/>
                <w:b w:val="0"/>
                <w:bCs w:val="0"/>
              </w:rPr>
              <w:tab/>
            </w:r>
            <w:r>
              <w:rPr>
                <w:rStyle w:val="1060"/>
                <w:b w:val="0"/>
                <w:bCs w:val="0"/>
              </w:rPr>
            </w:r>
            <w:r>
              <w:rPr>
                <w:rStyle w:val="1060"/>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promitent-furnizor/prestator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Scopul acordului -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Contractele ce urmează a fi atribuite au ca obiect 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Obligaţiile promitentului – furnizor/prestator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furnizori/prestatori se obligă să răspun</w:t>
            </w:r>
            <w:r>
              <w:t xml:space="preserve">dă invitațiilor la reofertare și, în caz că au fost selectați, să livreze bunurile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furnizori/prestatori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bunuri/servicii, prin r</w:t>
            </w:r>
            <w:r>
              <w:t xml:space="preserve">eluarea competiției între semnatarii prezentului acord-cadru și/sau fără reluarea competiție, în cazul în care cuprinsul acestuia stabilește toate termenele și condițiile care reglementează livrarea bunurilor/prestarea serviciilor care constituie obiectul </w:t>
            </w:r>
            <w:r>
              <w:t xml:space="preserve">achiziției prevăzute în acordul-cadru, precum și condițiile obiective în funcție de care se </w:t>
            </w:r>
            <w:r>
              <w:t xml:space="preserve">stabilește care dintre operatorii economici parte la acordul-cadru va livra bunurile sau va presta serviciile,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Rezoluțiune unilaterală</w:t>
            </w:r>
            <w:r>
              <w:rPr>
                <w:b/>
                <w:bCs/>
              </w:rPr>
            </w:r>
            <w:r>
              <w:rPr>
                <w:b/>
                <w:bCs/>
              </w:rPr>
            </w:r>
          </w:p>
          <w:p>
            <w:pPr>
              <w:pBdr/>
              <w:spacing/>
              <w:ind w:left="660"/>
              <w:jc w:val="both"/>
              <w:rPr/>
            </w:pPr>
            <w:r/>
            <w:r/>
          </w:p>
          <w:p>
            <w:pPr>
              <w:pBdr/>
              <w:spacing/>
              <w:ind/>
              <w:jc w:val="both"/>
              <w:rPr/>
            </w:pPr>
            <w:r>
              <w:t xml:space="preserve">6.1. Partea promitentă este în drept să rezoluționeze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furnizor/prestator cu 10 zile înainte de data încetării acestuia.</w:t>
            </w:r>
            <w:r/>
          </w:p>
          <w:p>
            <w:pPr>
              <w:pBdr/>
              <w:spacing/>
              <w:ind w:firstLine="720"/>
              <w:jc w:val="both"/>
              <w:rPr/>
            </w:pPr>
            <w:r/>
            <w:r/>
          </w:p>
          <w:p>
            <w:pPr>
              <w:pStyle w:val="990"/>
              <w:numPr>
                <w:ilvl w:val="0"/>
                <w:numId w:val="20"/>
              </w:numPr>
              <w:pBdr/>
              <w:tabs>
                <w:tab w:val="left" w:leader="none" w:pos="739"/>
                <w:tab w:val="left" w:leader="none" w:pos="1131"/>
                <w:tab w:val="clear" w:leader="none" w:pos="1134"/>
                <w:tab w:val="left" w:leader="none" w:pos="1326"/>
              </w:tabs>
              <w:spacing/>
              <w:ind w:firstLine="97"/>
              <w:rPr>
                <w:b/>
                <w:bCs/>
              </w:rPr>
            </w:pPr>
            <w:r>
              <w:rPr>
                <w:b/>
                <w:bCs/>
              </w:rPr>
              <w:t xml:space="preserve">Documentele acordului cadru:</w:t>
            </w:r>
            <w:r>
              <w:rPr>
                <w:b/>
                <w:bCs/>
              </w:rPr>
            </w:r>
            <w:r>
              <w:rPr>
                <w:b/>
                <w:bCs/>
              </w:rPr>
            </w:r>
          </w:p>
          <w:p>
            <w:pPr>
              <w:pBdr/>
              <w:spacing/>
              <w:ind w:left="660"/>
              <w:jc w:val="both"/>
              <w:rPr/>
            </w:pPr>
            <w:r/>
            <w:r/>
          </w:p>
          <w:p>
            <w:pPr>
              <w:pBdr/>
              <w:spacing/>
              <w:ind/>
              <w:jc w:val="both"/>
              <w:rPr>
                <w:iCs/>
              </w:rPr>
            </w:pPr>
            <w:r>
              <w:rPr>
                <w:iCs/>
              </w:rPr>
              <w:t xml:space="preserve">a) propunerea tehnică;</w:t>
            </w:r>
            <w:r>
              <w:rPr>
                <w:iCs/>
              </w:rPr>
            </w:r>
            <w:r>
              <w:rPr>
                <w:iCs/>
              </w:rPr>
            </w:r>
          </w:p>
          <w:p>
            <w:pPr>
              <w:pBdr/>
              <w:spacing/>
              <w:ind/>
              <w:jc w:val="both"/>
              <w:rPr/>
            </w:pPr>
            <w:r>
              <w:t xml:space="preserve">b) propunerea financiară;</w:t>
            </w:r>
            <w:r/>
          </w:p>
          <w:p>
            <w:pPr>
              <w:pBdr/>
              <w:spacing/>
              <w:ind/>
              <w:jc w:val="both"/>
              <w:rPr/>
            </w:pPr>
            <w:r>
              <w:t xml:space="preserve">c) caietul de sarcini, după caz;</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 Încetarea acordului - 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 - cadru încetează de drept:</w:t>
            </w:r>
            <w:r/>
          </w:p>
          <w:p>
            <w:pPr>
              <w:pBdr/>
              <w:spacing/>
              <w:ind/>
              <w:jc w:val="both"/>
              <w:rPr/>
            </w:pPr>
            <w:r>
              <w:t xml:space="preserve">- prin ajungerea la termen;</w:t>
            </w:r>
            <w:r/>
          </w:p>
          <w:p>
            <w:pPr>
              <w:pBdr/>
              <w:spacing/>
              <w:ind/>
              <w:jc w:val="both"/>
              <w:rPr/>
            </w:pPr>
            <w:r>
              <w:t xml:space="preserve">          (2)Acordul - cadru poate înceta şi în următoarele cazuri:</w:t>
            </w:r>
            <w:r/>
          </w:p>
          <w:p>
            <w:pPr>
              <w:pBdr/>
              <w:spacing/>
              <w:ind/>
              <w:jc w:val="both"/>
              <w:rPr/>
            </w:pPr>
            <w:r>
              <w:t xml:space="preserve">- prin acordul de voinţă al părţilor ;</w:t>
            </w:r>
            <w:r/>
          </w:p>
          <w:p>
            <w:pPr>
              <w:pBdr/>
              <w:spacing/>
              <w:ind/>
              <w:jc w:val="both"/>
              <w:rPr/>
            </w:pPr>
            <w:r>
              <w:t xml:space="preserve">- prin rezoluțiunea de către o parte ca urmare a neîndeplinirii sau îndeplinirii în mod necorespunzător a obligaţiilor asumate prin prezentul acord–cadru, de către cealaltă parte, cu notificare prealabilă de_____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Furnizorul/Prestatorul are obligaţia de a începe livrarea bunurilor/prestarea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furnizorului/prestatorului după încheierea contractului subsecvent </w:t>
            </w:r>
            <w:r>
              <w:rPr>
                <w:b/>
                <w:bCs/>
              </w:rPr>
            </w:r>
            <w:r>
              <w:rPr>
                <w:b/>
                <w:bCs/>
              </w:rPr>
            </w:r>
          </w:p>
          <w:p>
            <w:pPr>
              <w:pBdr/>
              <w:spacing/>
              <w:ind/>
              <w:jc w:val="both"/>
              <w:rPr/>
            </w:pPr>
            <w:r>
              <w:t xml:space="preserve">10.1 Operatorul economic desemnat câștigător se obligă să livreze bunurile/presteze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________20__, prezentul acord-cadru, în ___ exemplare toate având aceeaşi putere juridică.</w:t>
            </w:r>
            <w:r/>
          </w:p>
          <w:p>
            <w:pPr>
              <w:pBdr/>
              <w:spacing/>
              <w:ind/>
              <w:jc w:val="both"/>
              <w:rPr/>
            </w:pPr>
            <w:r>
              <w:t xml:space="preserve">Prezentul Acord – cadru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Promitent-furnizor/prestator,</w:t>
            </w:r>
            <w:r/>
          </w:p>
          <w:p>
            <w:pPr>
              <w:pBdr/>
              <w:spacing/>
              <w:ind/>
              <w:jc w:val="both"/>
              <w:rPr/>
            </w:pPr>
            <w:r>
              <w:t xml:space="preserve">              ...........................                                                     ..........................</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Promitent-furnizor /prestator,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t xml:space="preserve">Promitent-achizitor,                                              Promitent-furnizor /prestator,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 2</w:t>
            </w:r>
            <w:r/>
          </w:p>
          <w:p>
            <w:pPr>
              <w:pBdr/>
              <w:spacing/>
              <w:ind/>
              <w:jc w:val="right"/>
              <w:rPr/>
            </w:pPr>
            <w:r>
              <w:t xml:space="preserve">la Ordinul ministrului finanţelor</w:t>
            </w:r>
            <w:r/>
          </w:p>
          <w:p>
            <w:pPr>
              <w:pBdr/>
              <w:spacing/>
              <w:ind/>
              <w:jc w:val="right"/>
              <w:rPr/>
            </w:pPr>
            <w:r>
              <w:t xml:space="preserve">nr._________din “____” ________ 2021</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90"/>
        <w:numPr>
          <w:ilvl w:val="0"/>
          <w:numId w:val="22"/>
        </w:numPr>
        <w:pBdr/>
        <w:tabs>
          <w:tab w:val="left" w:leader="none" w:pos="851"/>
          <w:tab w:val="clear" w:leader="none" w:pos="1134"/>
        </w:tabs>
        <w:spacing/>
        <w:ind w:firstLine="11" w:left="709"/>
        <w:rPr/>
      </w:pPr>
      <w:r>
        <w:t xml:space="preserve">Ordinul ministrului finanțe</w:t>
      </w:r>
      <w:r>
        <w:t xml:space="preserve">lor nr. 173/2018 cu privire la aprobarea Documentației standard pentru realizarea achizițiilor publice de bunuri (Monitorul Oficial al Republicii Moldova, 2018, nr. 396-397, art. 1521), înregistrat la Ministerul Justiției cu nr. 1369 din 10 octombrie 2018.</w:t>
      </w:r>
      <w:r/>
    </w:p>
    <w:p>
      <w:pPr>
        <w:pStyle w:val="990"/>
        <w:numPr>
          <w:ilvl w:val="0"/>
          <w:numId w:val="0"/>
        </w:numPr>
        <w:pBdr/>
        <w:spacing/>
        <w:ind w:left="720"/>
        <w:rPr/>
      </w:pPr>
      <w:r/>
      <w:r/>
    </w:p>
    <w:p>
      <w:pPr>
        <w:pStyle w:val="990"/>
        <w:numPr>
          <w:ilvl w:val="0"/>
          <w:numId w:val="22"/>
        </w:numPr>
        <w:pBdr/>
        <w:tabs>
          <w:tab w:val="left" w:leader="none" w:pos="851"/>
          <w:tab w:val="clear" w:leader="none" w:pos="1134"/>
        </w:tabs>
        <w:spacing/>
        <w:ind w:firstLine="11" w:left="709"/>
        <w:rPr/>
      </w:pPr>
      <w:r>
        <w:t xml:space="preserve">Ordinul ministrului finanțelo</w:t>
      </w:r>
      <w:r>
        <w:t xml:space="preserve">r nr. 174/2018 cu privire la aprobarea Documentației standard pentru realizarea achizițiilor publice de servicii (Monitorul Oficial al Republicii Moldova, 2018, nr. 396-397, art. 1522), înregistrat la Ministerul Justiției cu nr. 1367 din 10 octombrie 2018.</w:t>
      </w:r>
      <w:r/>
    </w:p>
    <w:p>
      <w:pPr>
        <w:pBdr/>
        <w:spacing/>
        <w:ind/>
        <w:rPr/>
      </w:pPr>
      <w:r/>
      <w:r/>
    </w:p>
    <w:p>
      <w:pPr>
        <w:pStyle w:val="990"/>
        <w:numPr>
          <w:ilvl w:val="0"/>
          <w:numId w:val="22"/>
        </w:numPr>
        <w:pBdr/>
        <w:tabs>
          <w:tab w:val="left" w:leader="none" w:pos="851"/>
          <w:tab w:val="clear" w:leader="none" w:pos="1134"/>
        </w:tabs>
        <w:spacing/>
        <w:ind w:firstLine="11" w:left="709"/>
        <w:rPr/>
      </w:pPr>
      <w:r>
        <w:t xml:space="preserve">Ordinul ministrului finanțelor nr. 175/2018 cu privire la aprobarea Docum</w:t>
      </w:r>
      <w:r>
        <w:t xml:space="preserve">entației standard pentru realizarea achizițiilor publice de bunuri și servicii prin cererea ofertleor de prețuri (Monitorul Oficial al Republicii Moldova, 2018, nr. 396-397, art. 1523), înregistrat la Ministerul Justiției cu nr. 1368 din 10 octombrie 2018.</w:t>
      </w:r>
      <w:r/>
    </w:p>
    <w:p>
      <w:pPr>
        <w:pStyle w:val="990"/>
        <w:numPr>
          <w:ilvl w:val="0"/>
          <w:numId w:val="0"/>
        </w:numPr>
        <w:pBdr/>
        <w:spacing/>
        <w:ind w:left="720"/>
        <w:rPr/>
      </w:pPr>
      <w:r/>
      <w:r/>
    </w:p>
    <w:p>
      <w:pPr>
        <w:pStyle w:val="990"/>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7"/>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8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360"/>
      </w:pPr>
      <w:pStyle w:val="99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8">
    <w:lvl w:ilvl="0">
      <w:isLgl w:val="false"/>
      <w:lvlJc w:val="right"/>
      <w:lvlText w:val="%1."/>
      <w:numFmt w:val="upperRoman"/>
      <w:pPr>
        <w:pBdr/>
        <w:spacing/>
        <w:ind w:hanging="360" w:left="720"/>
      </w:pPr>
      <w:pStyle w:val="822"/>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1">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4">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7">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8">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0">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b/>
        <w:bCs w:val="0"/>
        <w:i w:val="0"/>
        <w:iCs w:val="0"/>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8"/>
  </w:num>
  <w:num w:numId="2">
    <w:abstractNumId w:val="6"/>
  </w:num>
  <w:num w:numId="3">
    <w:abstractNumId w:val="1"/>
  </w:num>
  <w:num w:numId="4">
    <w:abstractNumId w:val="15"/>
  </w:num>
  <w:num w:numId="5">
    <w:abstractNumId w:val="0"/>
  </w:num>
  <w:num w:numId="6">
    <w:abstractNumId w:val="17"/>
  </w:num>
  <w:num w:numId="7">
    <w:abstractNumId w:val="19"/>
  </w:num>
  <w:num w:numId="8">
    <w:abstractNumId w:val="7"/>
  </w:num>
  <w:num w:numId="9">
    <w:abstractNumId w:val="3"/>
  </w:num>
  <w:num w:numId="10">
    <w:abstractNumId w:val="5"/>
  </w:num>
  <w:num w:numId="11">
    <w:abstractNumId w:val="4"/>
  </w:num>
  <w:num w:numId="12">
    <w:abstractNumId w:val="9"/>
  </w:num>
  <w:num w:numId="13">
    <w:abstractNumId w:val="14"/>
  </w:num>
  <w:num w:numId="14">
    <w:abstractNumId w:val="18"/>
  </w:num>
  <w:num w:numId="15">
    <w:abstractNumId w:val="2"/>
  </w:num>
  <w:num w:numId="16">
    <w:abstractNumId w:val="10"/>
  </w:num>
  <w:num w:numId="17">
    <w:abstractNumId w:val="12"/>
  </w:num>
  <w:num w:numId="18">
    <w:abstractNumId w:val="11"/>
  </w:num>
  <w:num w:numId="19">
    <w:abstractNumId w:val="8"/>
    <w:lvlOverride w:ilvl="0">
      <w:startOverride w:val="2"/>
    </w:lvlOverride>
  </w:num>
  <w:num w:numId="20">
    <w:abstractNumId w:val="6"/>
    <w:lvlOverride w:ilvl="0">
      <w:startOverride w:val="7"/>
    </w:lvlOverride>
  </w:num>
  <w:num w:numId="21">
    <w:abstractNumId w:val="13"/>
  </w:num>
  <w:num w:numId="22">
    <w:abstractNumId w:val="16"/>
  </w:num>
  <w:num w:numId="23">
    <w:abstractNumId w:val="20"/>
  </w:num>
  <w:num w:numId="24">
    <w:abstractNumId w:val="21"/>
  </w:num>
  <w:num w:numId="25">
    <w:abstractNumId w:val="22"/>
  </w:num>
  <w:num w:numId="2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3">
    <w:name w:val="Table Grid Light"/>
    <w:basedOn w:val="8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1 Light - Accent 1"/>
    <w:basedOn w:val="8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1 Light - Accent 3"/>
    <w:basedOn w:val="8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1 Light - Accent 4"/>
    <w:basedOn w:val="8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 Accent 5"/>
    <w:basedOn w:val="8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1 Light - Accent 6"/>
    <w:basedOn w:val="8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2 - Accent 1"/>
    <w:basedOn w:val="8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2 - Accent 2"/>
    <w:basedOn w:val="8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2 - Accent 3"/>
    <w:basedOn w:val="8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2 - Accent 4"/>
    <w:basedOn w:val="8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2 - Accent 5"/>
    <w:basedOn w:val="8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 Accent 6"/>
    <w:basedOn w:val="8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3 - Accent 1"/>
    <w:basedOn w:val="8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3 - Accent 2"/>
    <w:basedOn w:val="8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3 - Accent 3"/>
    <w:basedOn w:val="8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3 - Accent 4"/>
    <w:basedOn w:val="8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3 - Accent 5"/>
    <w:basedOn w:val="8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3 - Accent 6"/>
    <w:basedOn w:val="8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4 - Accent 1"/>
    <w:basedOn w:val="8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4 - Accent 2"/>
    <w:basedOn w:val="8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4 - Accent 3"/>
    <w:basedOn w:val="8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4 - Accent 4"/>
    <w:basedOn w:val="8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4 - Accent 5"/>
    <w:basedOn w:val="8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4 - Accent 6"/>
    <w:basedOn w:val="8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5 Dark - Accent 2"/>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5 Dark - Accent 3"/>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5 Dark - Accent 5"/>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5 Dark - Accent 6"/>
    <w:basedOn w:val="8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1 Light - Accent 1"/>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1 Light - Accent 2"/>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1 Light - Accent 3"/>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1 Light - Accent 4"/>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1 Light - Accent 5"/>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1 Light - Accent 6"/>
    <w:basedOn w:val="8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2 - Accent 1"/>
    <w:basedOn w:val="8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2 - Accent 2"/>
    <w:basedOn w:val="8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2 - Accent 3"/>
    <w:basedOn w:val="8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2 - Accent 4"/>
    <w:basedOn w:val="8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2 - Accent 5"/>
    <w:basedOn w:val="8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2 - Accent 6"/>
    <w:basedOn w:val="8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3 - Accent 1"/>
    <w:basedOn w:val="8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3 - Accent 2"/>
    <w:basedOn w:val="8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3 - Accent 3"/>
    <w:basedOn w:val="8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3 - Accent 4"/>
    <w:basedOn w:val="8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3 - Accent 5"/>
    <w:basedOn w:val="8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3 - Accent 6"/>
    <w:basedOn w:val="8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4 - Accent 1"/>
    <w:basedOn w:val="8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4 - Accent 2"/>
    <w:basedOn w:val="8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4 - Accent 3"/>
    <w:basedOn w:val="8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4 - Accent 4"/>
    <w:basedOn w:val="8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4 - Accent 5"/>
    <w:basedOn w:val="8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4 - Accent 6"/>
    <w:basedOn w:val="8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5 Dark - Accent 1"/>
    <w:basedOn w:val="8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6">
    <w:name w:val="List Table 5 Dark - Accent 2"/>
    <w:basedOn w:val="8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7">
    <w:name w:val="List Table 5 Dark - Accent 3"/>
    <w:basedOn w:val="8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8">
    <w:name w:val="List Table 5 Dark - Accent 4"/>
    <w:basedOn w:val="8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9">
    <w:name w:val="List Table 5 Dark - Accent 5"/>
    <w:basedOn w:val="8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0">
    <w:name w:val="List Table 5 Dark - Accent 6"/>
    <w:basedOn w:val="8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paragraph" w:styleId="821"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22">
    <w:name w:val="Heading 1"/>
    <w:basedOn w:val="990"/>
    <w:next w:val="821"/>
    <w:link w:val="980"/>
    <w:qFormat/>
    <w:pPr>
      <w:numPr>
        <w:numId w:val="1"/>
      </w:numPr>
      <w:pBdr/>
      <w:spacing/>
      <w:ind/>
      <w:jc w:val="center"/>
      <w:outlineLvl w:val="0"/>
    </w:pPr>
    <w:rPr>
      <w:b/>
    </w:rPr>
  </w:style>
  <w:style w:type="paragraph" w:styleId="823">
    <w:name w:val="Heading 2"/>
    <w:basedOn w:val="821"/>
    <w:next w:val="821"/>
    <w:link w:val="98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24">
    <w:name w:val="Heading 3"/>
    <w:basedOn w:val="821"/>
    <w:next w:val="821"/>
    <w:link w:val="98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25">
    <w:name w:val="Heading 4"/>
    <w:basedOn w:val="821"/>
    <w:next w:val="821"/>
    <w:link w:val="983"/>
    <w:qFormat/>
    <w:pPr>
      <w:keepNext w:val="true"/>
      <w:pBdr/>
      <w:spacing/>
      <w:ind/>
      <w:outlineLvl w:val="3"/>
    </w:pPr>
    <w:rPr>
      <w:rFonts w:ascii="Baltica RR" w:hAnsi="Baltica RR"/>
      <w:b/>
      <w:szCs w:val="20"/>
      <w:lang w:eastAsia="ru-RU"/>
    </w:rPr>
  </w:style>
  <w:style w:type="paragraph" w:styleId="826">
    <w:name w:val="Heading 5"/>
    <w:basedOn w:val="821"/>
    <w:next w:val="821"/>
    <w:link w:val="984"/>
    <w:qFormat/>
    <w:pPr>
      <w:keepNext w:val="true"/>
      <w:pBdr/>
      <w:spacing/>
      <w:ind w:firstLine="6804"/>
      <w:outlineLvl w:val="4"/>
    </w:pPr>
    <w:rPr>
      <w:sz w:val="28"/>
      <w:szCs w:val="20"/>
      <w:lang w:eastAsia="ru-RU"/>
    </w:rPr>
  </w:style>
  <w:style w:type="paragraph" w:styleId="827">
    <w:name w:val="Heading 6"/>
    <w:basedOn w:val="821"/>
    <w:next w:val="821"/>
    <w:link w:val="960"/>
    <w:uiPriority w:val="9"/>
    <w:unhideWhenUsed/>
    <w:qFormat/>
    <w:pPr>
      <w:keepNext w:val="true"/>
      <w:keepLines w:val="true"/>
      <w:pBdr/>
      <w:spacing w:before="40"/>
      <w:ind/>
      <w:outlineLvl w:val="5"/>
    </w:pPr>
    <w:rPr>
      <w:rFonts w:ascii="Arial" w:hAnsi="Arial" w:eastAsia="Arial" w:cs="Arial"/>
      <w:i/>
      <w:iCs/>
      <w:color w:val="595959" w:themeColor="text1" w:themeTint="A6"/>
    </w:rPr>
  </w:style>
  <w:style w:type="paragraph" w:styleId="828">
    <w:name w:val="Heading 7"/>
    <w:basedOn w:val="821"/>
    <w:next w:val="821"/>
    <w:link w:val="961"/>
    <w:uiPriority w:val="9"/>
    <w:unhideWhenUsed/>
    <w:qFormat/>
    <w:pPr>
      <w:keepNext w:val="true"/>
      <w:keepLines w:val="true"/>
      <w:pBdr/>
      <w:spacing w:before="40"/>
      <w:ind/>
      <w:outlineLvl w:val="6"/>
    </w:pPr>
    <w:rPr>
      <w:rFonts w:ascii="Arial" w:hAnsi="Arial" w:eastAsia="Arial" w:cs="Arial"/>
      <w:color w:val="595959" w:themeColor="text1" w:themeTint="A6"/>
    </w:rPr>
  </w:style>
  <w:style w:type="paragraph" w:styleId="829">
    <w:name w:val="Heading 8"/>
    <w:basedOn w:val="821"/>
    <w:next w:val="821"/>
    <w:link w:val="985"/>
    <w:semiHidden/>
    <w:unhideWhenUsed/>
    <w:qFormat/>
    <w:pPr>
      <w:pBdr/>
      <w:spacing w:after="60" w:before="240"/>
      <w:ind/>
      <w:outlineLvl w:val="7"/>
    </w:pPr>
    <w:rPr>
      <w:rFonts w:ascii="Calibri" w:hAnsi="Calibri"/>
      <w:i/>
      <w:iCs/>
    </w:rPr>
  </w:style>
  <w:style w:type="paragraph" w:styleId="830">
    <w:name w:val="Heading 9"/>
    <w:basedOn w:val="821"/>
    <w:next w:val="821"/>
    <w:link w:val="986"/>
    <w:semiHidden/>
    <w:unhideWhenUsed/>
    <w:qFormat/>
    <w:pPr>
      <w:pBdr/>
      <w:spacing w:after="60" w:before="240"/>
      <w:ind/>
      <w:outlineLvl w:val="8"/>
    </w:pPr>
    <w:rPr>
      <w:rFonts w:ascii="Cambria" w:hAnsi="Cambria"/>
      <w:sz w:val="22"/>
      <w:szCs w:val="22"/>
    </w:rPr>
  </w:style>
  <w:style w:type="character" w:styleId="831" w:default="1">
    <w:name w:val="Default Paragraph Font"/>
    <w:uiPriority w:val="1"/>
    <w:semiHidden/>
    <w:unhideWhenUsed/>
    <w:pPr>
      <w:pBdr/>
      <w:spacing/>
      <w:ind/>
    </w:pPr>
  </w:style>
  <w:style w:type="table" w:styleId="83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33" w:default="1">
    <w:name w:val="No List"/>
    <w:uiPriority w:val="99"/>
    <w:semiHidden/>
    <w:unhideWhenUsed/>
    <w:pPr>
      <w:pBdr/>
      <w:spacing/>
      <w:ind/>
    </w:pPr>
  </w:style>
  <w:style w:type="character" w:styleId="834" w:customStyle="1">
    <w:name w:val="Caption Char"/>
    <w:uiPriority w:val="99"/>
    <w:pPr>
      <w:pBdr/>
      <w:spacing/>
      <w:ind/>
    </w:pPr>
  </w:style>
  <w:style w:type="table" w:styleId="835" w:customStyle="1">
    <w:name w:val="Table Grid Light1"/>
    <w:basedOn w:val="832"/>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Plain Table 1"/>
    <w:basedOn w:val="832"/>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Plain Table 2"/>
    <w:basedOn w:val="832"/>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Plain Table 3"/>
    <w:basedOn w:val="83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Plain Table 4"/>
    <w:basedOn w:val="83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Plain Table 5"/>
    <w:basedOn w:val="83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w:basedOn w:val="832"/>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Grid Table 1 Light - Accent 11"/>
    <w:basedOn w:val="832"/>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Grid Table 1 Light - Accent 2"/>
    <w:basedOn w:val="832"/>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Grid Table 1 Light - Accent 31"/>
    <w:basedOn w:val="832"/>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Grid Table 1 Light - Accent 41"/>
    <w:basedOn w:val="832"/>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Grid Table 1 Light - Accent 51"/>
    <w:basedOn w:val="832"/>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Grid Table 1 Light - Accent 61"/>
    <w:basedOn w:val="832"/>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w:basedOn w:val="832"/>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Grid Table 2 - Accent 11"/>
    <w:basedOn w:val="832"/>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Grid Table 2 - Accent 21"/>
    <w:basedOn w:val="832"/>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Grid Table 2 - Accent 31"/>
    <w:basedOn w:val="832"/>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Grid Table 2 - Accent 41"/>
    <w:basedOn w:val="832"/>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Grid Table 2 - Accent 51"/>
    <w:basedOn w:val="832"/>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Grid Table 2 - Accent 61"/>
    <w:basedOn w:val="832"/>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w:basedOn w:val="832"/>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Grid Table 3 - Accent 11"/>
    <w:basedOn w:val="832"/>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Grid Table 3 - Accent 21"/>
    <w:basedOn w:val="832"/>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Grid Table 3 - Accent 31"/>
    <w:basedOn w:val="832"/>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Grid Table 3 - Accent 41"/>
    <w:basedOn w:val="832"/>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Grid Table 3 - Accent 51"/>
    <w:basedOn w:val="832"/>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Grid Table 3 - Accent 61"/>
    <w:basedOn w:val="832"/>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w:basedOn w:val="832"/>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Grid Table 4 - Accent 11"/>
    <w:basedOn w:val="832"/>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Grid Table 4 - Accent 21"/>
    <w:basedOn w:val="832"/>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Grid Table 4 - Accent 31"/>
    <w:basedOn w:val="832"/>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Grid Table 4 - Accent 41"/>
    <w:basedOn w:val="832"/>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Grid Table 4 - Accent 51"/>
    <w:basedOn w:val="832"/>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4 - Accent 61"/>
    <w:basedOn w:val="832"/>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w:basedOn w:val="83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Grid Table 5 Dark- Accent 1"/>
    <w:basedOn w:val="83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5 Dark - Accent 21"/>
    <w:basedOn w:val="83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5 Dark - Accent 31"/>
    <w:basedOn w:val="83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5 Dark- Accent 4"/>
    <w:basedOn w:val="83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5 Dark - Accent 51"/>
    <w:basedOn w:val="83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5 Dark - Accent 61"/>
    <w:basedOn w:val="83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6 Colorful"/>
    <w:basedOn w:val="832"/>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Grid Table 6 Colorful - Accent 1"/>
    <w:basedOn w:val="832"/>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6 Colorful - Accent 2"/>
    <w:basedOn w:val="832"/>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Grid Table 6 Colorful - Accent 3"/>
    <w:basedOn w:val="832"/>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6 Colorful - Accent 4"/>
    <w:basedOn w:val="832"/>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6 Colorful - Accent 5"/>
    <w:basedOn w:val="832"/>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6 Colorful - Accent 6"/>
    <w:basedOn w:val="832"/>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7 Colorful"/>
    <w:basedOn w:val="832"/>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Grid Table 7 Colorful - Accent 1"/>
    <w:basedOn w:val="832"/>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7 Colorful - Accent 2"/>
    <w:basedOn w:val="832"/>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7 Colorful - Accent 3"/>
    <w:basedOn w:val="832"/>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7 Colorful - Accent 4"/>
    <w:basedOn w:val="832"/>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7 Colorful - Accent 5"/>
    <w:basedOn w:val="832"/>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7 Colorful - Accent 6"/>
    <w:basedOn w:val="832"/>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w:basedOn w:val="83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List Table 1 Light - Accent 11"/>
    <w:basedOn w:val="83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List Table 1 Light - Accent 21"/>
    <w:basedOn w:val="83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List Table 1 Light - Accent 31"/>
    <w:basedOn w:val="83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List Table 1 Light - Accent 41"/>
    <w:basedOn w:val="83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List Table 1 Light - Accent 51"/>
    <w:basedOn w:val="83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List Table 1 Light - Accent 61"/>
    <w:basedOn w:val="83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w:basedOn w:val="832"/>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List Table 2 - Accent 11"/>
    <w:basedOn w:val="832"/>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List Table 2 - Accent 21"/>
    <w:basedOn w:val="832"/>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List Table 2 - Accent 31"/>
    <w:basedOn w:val="832"/>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List Table 2 - Accent 41"/>
    <w:basedOn w:val="832"/>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List Table 2 - Accent 51"/>
    <w:basedOn w:val="832"/>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List Table 2 - Accent 61"/>
    <w:basedOn w:val="832"/>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w:basedOn w:val="83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List Table 3 - Accent 11"/>
    <w:basedOn w:val="832"/>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List Table 3 - Accent 21"/>
    <w:basedOn w:val="832"/>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List Table 3 - Accent 31"/>
    <w:basedOn w:val="832"/>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List Table 3 - Accent 41"/>
    <w:basedOn w:val="832"/>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List Table 3 - Accent 51"/>
    <w:basedOn w:val="832"/>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List Table 3 - Accent 61"/>
    <w:basedOn w:val="832"/>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w:basedOn w:val="83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List Table 4 - Accent 11"/>
    <w:basedOn w:val="832"/>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List Table 4 - Accent 21"/>
    <w:basedOn w:val="832"/>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List Table 4 - Accent 31"/>
    <w:basedOn w:val="832"/>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List Table 4 - Accent 41"/>
    <w:basedOn w:val="832"/>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List Table 4 - Accent 51"/>
    <w:basedOn w:val="832"/>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4 - Accent 61"/>
    <w:basedOn w:val="832"/>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5 Dark"/>
    <w:basedOn w:val="832"/>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List Table 5 Dark - Accent 11"/>
    <w:basedOn w:val="832"/>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5 Dark - Accent 21"/>
    <w:basedOn w:val="832"/>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5 Dark - Accent 31"/>
    <w:basedOn w:val="832"/>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5 Dark - Accent 41"/>
    <w:basedOn w:val="832"/>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5 Dark - Accent 51"/>
    <w:basedOn w:val="832"/>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5 Dark - Accent 61"/>
    <w:basedOn w:val="832"/>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6 Colorful"/>
    <w:basedOn w:val="832"/>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List Table 6 Colorful - Accent 1"/>
    <w:basedOn w:val="832"/>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6 Colorful - Accent 2"/>
    <w:basedOn w:val="832"/>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st Table 6 Colorful - Accent 3"/>
    <w:basedOn w:val="832"/>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6 Colorful - Accent 4"/>
    <w:basedOn w:val="832"/>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6 Colorful - Accent 5"/>
    <w:basedOn w:val="832"/>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6 Colorful - Accent 6"/>
    <w:basedOn w:val="832"/>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7 Colorful"/>
    <w:basedOn w:val="832"/>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List Table 7 Colorful - Accent 1"/>
    <w:basedOn w:val="832"/>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7 Colorful - Accent 2"/>
    <w:basedOn w:val="832"/>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7 Colorful - Accent 3"/>
    <w:basedOn w:val="832"/>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7 Colorful - Accent 4"/>
    <w:basedOn w:val="832"/>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7 Colorful - Accent 5"/>
    <w:basedOn w:val="832"/>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7 Colorful - Accent 6"/>
    <w:basedOn w:val="832"/>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ned - Accent"/>
    <w:basedOn w:val="83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Lined - Accent 1"/>
    <w:basedOn w:val="83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ned - Accent 2"/>
    <w:basedOn w:val="83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ned - Accent 3"/>
    <w:basedOn w:val="83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ned - Accent 4"/>
    <w:basedOn w:val="83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ned - Accent 5"/>
    <w:basedOn w:val="83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ned - Accent 6"/>
    <w:basedOn w:val="83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Bordered &amp; Lined - Accent"/>
    <w:basedOn w:val="832"/>
    <w:uiPriority w:val="99"/>
    <w:pPr>
      <w:pBdr/>
      <w:spacing w:after="0" w:line="240" w:lineRule="auto"/>
      <w:ind/>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Bordered &amp; Lined - Accent 1"/>
    <w:basedOn w:val="832"/>
    <w:uiPriority w:val="99"/>
    <w:pPr>
      <w:pBdr/>
      <w:spacing w:after="0" w:line="240" w:lineRule="auto"/>
      <w:ind/>
    </w:pPr>
    <w:rPr>
      <w:color w:val="404040"/>
      <w:sz w:val="20"/>
      <w:szCs w:val="2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Bordered &amp; Lined - Accent 2"/>
    <w:basedOn w:val="832"/>
    <w:uiPriority w:val="99"/>
    <w:pPr>
      <w:pBdr/>
      <w:spacing w:after="0" w:line="240" w:lineRule="auto"/>
      <w:ind/>
    </w:pPr>
    <w:rPr>
      <w:color w:val="404040"/>
      <w:sz w:val="20"/>
      <w:szCs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Bordered &amp; Lined - Accent 3"/>
    <w:basedOn w:val="832"/>
    <w:uiPriority w:val="99"/>
    <w:pPr>
      <w:pBdr/>
      <w:spacing w:after="0" w:line="240" w:lineRule="auto"/>
      <w:ind/>
    </w:pPr>
    <w:rPr>
      <w:color w:val="404040"/>
      <w:sz w:val="20"/>
      <w:szCs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Bordered &amp; Lined - Accent 4"/>
    <w:basedOn w:val="832"/>
    <w:uiPriority w:val="99"/>
    <w:pPr>
      <w:pBdr/>
      <w:spacing w:after="0" w:line="240" w:lineRule="auto"/>
      <w:ind/>
    </w:pPr>
    <w:rPr>
      <w:color w:val="404040"/>
      <w:sz w:val="20"/>
      <w:szCs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Bordered &amp; Lined - Accent 5"/>
    <w:basedOn w:val="832"/>
    <w:uiPriority w:val="99"/>
    <w:pPr>
      <w:pBdr/>
      <w:spacing w:after="0" w:line="240" w:lineRule="auto"/>
      <w:ind/>
    </w:pPr>
    <w:rPr>
      <w:color w:val="404040"/>
      <w:sz w:val="20"/>
      <w:szCs w:val="2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Bordered &amp; Lined - Accent 6"/>
    <w:basedOn w:val="832"/>
    <w:uiPriority w:val="99"/>
    <w:pPr>
      <w:pBdr/>
      <w:spacing w:after="0" w:line="240" w:lineRule="auto"/>
      <w:ind/>
    </w:pPr>
    <w:rPr>
      <w:color w:val="404040"/>
      <w:sz w:val="20"/>
      <w:szCs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Bordered"/>
    <w:basedOn w:val="832"/>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Bordered - Accent 1"/>
    <w:basedOn w:val="832"/>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Bordered - Accent 2"/>
    <w:basedOn w:val="832"/>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Bordered - Accent 3"/>
    <w:basedOn w:val="832"/>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Bordered - Accent 4"/>
    <w:basedOn w:val="832"/>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Bordered - Accent 5"/>
    <w:basedOn w:val="832"/>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Bordered - Accent 6"/>
    <w:basedOn w:val="832"/>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60" w:customStyle="1">
    <w:name w:val="Heading 6 Char"/>
    <w:basedOn w:val="831"/>
    <w:link w:val="827"/>
    <w:uiPriority w:val="9"/>
    <w:pPr>
      <w:pBdr/>
      <w:spacing/>
      <w:ind/>
    </w:pPr>
    <w:rPr>
      <w:rFonts w:ascii="Arial" w:hAnsi="Arial" w:eastAsia="Arial" w:cs="Arial"/>
      <w:i/>
      <w:iCs/>
      <w:color w:val="595959" w:themeColor="text1" w:themeTint="A6"/>
    </w:rPr>
  </w:style>
  <w:style w:type="character" w:styleId="961" w:customStyle="1">
    <w:name w:val="Heading 7 Char"/>
    <w:basedOn w:val="831"/>
    <w:link w:val="828"/>
    <w:uiPriority w:val="9"/>
    <w:pPr>
      <w:pBdr/>
      <w:spacing/>
      <w:ind/>
    </w:pPr>
    <w:rPr>
      <w:rFonts w:ascii="Arial" w:hAnsi="Arial" w:eastAsia="Arial" w:cs="Arial"/>
      <w:color w:val="595959" w:themeColor="text1" w:themeTint="A6"/>
    </w:rPr>
  </w:style>
  <w:style w:type="paragraph" w:styleId="962">
    <w:name w:val="Title"/>
    <w:basedOn w:val="821"/>
    <w:next w:val="821"/>
    <w:link w:val="963"/>
    <w:uiPriority w:val="10"/>
    <w:qFormat/>
    <w:pPr>
      <w:pBdr/>
      <w:spacing w:after="80"/>
      <w:ind/>
      <w:contextualSpacing w:val="true"/>
    </w:pPr>
    <w:rPr>
      <w:rFonts w:ascii="Arial" w:hAnsi="Arial" w:eastAsia="Arial" w:cs="Arial"/>
      <w:spacing w:val="-10"/>
      <w:sz w:val="56"/>
      <w:szCs w:val="56"/>
    </w:rPr>
  </w:style>
  <w:style w:type="character" w:styleId="963" w:customStyle="1">
    <w:name w:val="Title Char"/>
    <w:basedOn w:val="831"/>
    <w:link w:val="962"/>
    <w:uiPriority w:val="10"/>
    <w:pPr>
      <w:pBdr/>
      <w:spacing/>
      <w:ind/>
    </w:pPr>
    <w:rPr>
      <w:rFonts w:ascii="Arial" w:hAnsi="Arial" w:eastAsia="Arial" w:cs="Arial"/>
      <w:spacing w:val="-10"/>
      <w:sz w:val="56"/>
      <w:szCs w:val="56"/>
    </w:rPr>
  </w:style>
  <w:style w:type="paragraph" w:styleId="964">
    <w:name w:val="Quote"/>
    <w:basedOn w:val="821"/>
    <w:next w:val="821"/>
    <w:link w:val="965"/>
    <w:uiPriority w:val="29"/>
    <w:qFormat/>
    <w:pPr>
      <w:pBdr/>
      <w:spacing w:before="160"/>
      <w:ind/>
      <w:jc w:val="center"/>
    </w:pPr>
    <w:rPr>
      <w:i/>
      <w:iCs/>
      <w:color w:val="404040" w:themeColor="text1" w:themeTint="BF"/>
    </w:rPr>
  </w:style>
  <w:style w:type="character" w:styleId="965" w:customStyle="1">
    <w:name w:val="Quote Char"/>
    <w:basedOn w:val="831"/>
    <w:link w:val="964"/>
    <w:uiPriority w:val="29"/>
    <w:pPr>
      <w:pBdr/>
      <w:spacing/>
      <w:ind/>
    </w:pPr>
    <w:rPr>
      <w:i/>
      <w:iCs/>
      <w:color w:val="404040" w:themeColor="text1" w:themeTint="BF"/>
    </w:rPr>
  </w:style>
  <w:style w:type="character" w:styleId="966">
    <w:name w:val="Intense Emphasis"/>
    <w:basedOn w:val="831"/>
    <w:uiPriority w:val="21"/>
    <w:qFormat/>
    <w:pPr>
      <w:pBdr/>
      <w:spacing/>
      <w:ind/>
    </w:pPr>
    <w:rPr>
      <w:i/>
      <w:iCs/>
      <w:color w:val="2e74b5" w:themeColor="accent1" w:themeShade="BF"/>
    </w:rPr>
  </w:style>
  <w:style w:type="paragraph" w:styleId="967">
    <w:name w:val="Intense Quote"/>
    <w:basedOn w:val="821"/>
    <w:next w:val="821"/>
    <w:link w:val="968"/>
    <w:uiPriority w:val="30"/>
    <w:qFormat/>
    <w:pPr>
      <w:pBdr>
        <w:top w:val="single" w:color="2e74b5" w:themeColor="accent1" w:themeShade="BF" w:sz="4" w:space="10"/>
        <w:bottom w:val="single" w:color="2e74b5" w:themeColor="accent1" w:themeShade="BF" w:sz="4" w:space="10"/>
      </w:pBdr>
      <w:spacing w:after="360" w:before="360"/>
      <w:ind w:right="864" w:left="864"/>
      <w:jc w:val="center"/>
    </w:pPr>
    <w:rPr>
      <w:i/>
      <w:iCs/>
      <w:color w:val="2e74b5" w:themeColor="accent1" w:themeShade="BF"/>
    </w:rPr>
  </w:style>
  <w:style w:type="character" w:styleId="968" w:customStyle="1">
    <w:name w:val="Intense Quote Char"/>
    <w:basedOn w:val="831"/>
    <w:link w:val="967"/>
    <w:uiPriority w:val="30"/>
    <w:pPr>
      <w:pBdr/>
      <w:spacing/>
      <w:ind/>
    </w:pPr>
    <w:rPr>
      <w:i/>
      <w:iCs/>
      <w:color w:val="2e74b5" w:themeColor="accent1" w:themeShade="BF"/>
    </w:rPr>
  </w:style>
  <w:style w:type="character" w:styleId="969">
    <w:name w:val="Intense Reference"/>
    <w:basedOn w:val="831"/>
    <w:uiPriority w:val="32"/>
    <w:qFormat/>
    <w:pPr>
      <w:pBdr/>
      <w:spacing/>
      <w:ind/>
    </w:pPr>
    <w:rPr>
      <w:b/>
      <w:bCs/>
      <w:smallCaps/>
      <w:color w:val="2e74b5" w:themeColor="accent1" w:themeShade="BF"/>
      <w:spacing w:val="5"/>
    </w:rPr>
  </w:style>
  <w:style w:type="paragraph" w:styleId="970">
    <w:name w:val="No Spacing"/>
    <w:basedOn w:val="821"/>
    <w:uiPriority w:val="1"/>
    <w:qFormat/>
    <w:pPr>
      <w:pBdr/>
      <w:spacing/>
      <w:ind/>
    </w:pPr>
  </w:style>
  <w:style w:type="character" w:styleId="971">
    <w:name w:val="Subtle Emphasis"/>
    <w:basedOn w:val="831"/>
    <w:uiPriority w:val="19"/>
    <w:qFormat/>
    <w:pPr>
      <w:pBdr/>
      <w:spacing/>
      <w:ind/>
    </w:pPr>
    <w:rPr>
      <w:i/>
      <w:iCs/>
      <w:color w:val="404040" w:themeColor="text1" w:themeTint="BF"/>
    </w:rPr>
  </w:style>
  <w:style w:type="character" w:styleId="972">
    <w:name w:val="Emphasis"/>
    <w:basedOn w:val="831"/>
    <w:uiPriority w:val="20"/>
    <w:qFormat/>
    <w:pPr>
      <w:pBdr/>
      <w:spacing/>
      <w:ind/>
    </w:pPr>
    <w:rPr>
      <w:i/>
      <w:iCs/>
    </w:rPr>
  </w:style>
  <w:style w:type="character" w:styleId="973">
    <w:name w:val="Subtle Reference"/>
    <w:basedOn w:val="831"/>
    <w:uiPriority w:val="31"/>
    <w:qFormat/>
    <w:pPr>
      <w:pBdr/>
      <w:spacing/>
      <w:ind/>
    </w:pPr>
    <w:rPr>
      <w:smallCaps/>
      <w:color w:val="5a5a5a" w:themeColor="text1" w:themeTint="A5"/>
    </w:rPr>
  </w:style>
  <w:style w:type="character" w:styleId="974">
    <w:name w:val="Book Title"/>
    <w:basedOn w:val="831"/>
    <w:uiPriority w:val="33"/>
    <w:qFormat/>
    <w:pPr>
      <w:pBdr/>
      <w:spacing/>
      <w:ind/>
    </w:pPr>
    <w:rPr>
      <w:b/>
      <w:bCs/>
      <w:i/>
      <w:iCs/>
      <w:spacing w:val="5"/>
    </w:rPr>
  </w:style>
  <w:style w:type="paragraph" w:styleId="975">
    <w:name w:val="endnote text"/>
    <w:basedOn w:val="821"/>
    <w:link w:val="976"/>
    <w:uiPriority w:val="99"/>
    <w:semiHidden/>
    <w:unhideWhenUsed/>
    <w:pPr>
      <w:pBdr/>
      <w:spacing/>
      <w:ind/>
    </w:pPr>
    <w:rPr>
      <w:sz w:val="20"/>
      <w:szCs w:val="20"/>
    </w:rPr>
  </w:style>
  <w:style w:type="character" w:styleId="976" w:customStyle="1">
    <w:name w:val="Endnote Text Char"/>
    <w:basedOn w:val="831"/>
    <w:link w:val="975"/>
    <w:uiPriority w:val="99"/>
    <w:semiHidden/>
    <w:pPr>
      <w:pBdr/>
      <w:spacing/>
      <w:ind/>
    </w:pPr>
    <w:rPr>
      <w:sz w:val="20"/>
      <w:szCs w:val="20"/>
    </w:rPr>
  </w:style>
  <w:style w:type="character" w:styleId="977">
    <w:name w:val="endnote reference"/>
    <w:basedOn w:val="831"/>
    <w:uiPriority w:val="99"/>
    <w:semiHidden/>
    <w:unhideWhenUsed/>
    <w:pPr>
      <w:pBdr/>
      <w:spacing/>
      <w:ind/>
    </w:pPr>
    <w:rPr>
      <w:vertAlign w:val="superscript"/>
    </w:rPr>
  </w:style>
  <w:style w:type="character" w:styleId="978">
    <w:name w:val="FollowedHyperlink"/>
    <w:basedOn w:val="831"/>
    <w:uiPriority w:val="99"/>
    <w:semiHidden/>
    <w:unhideWhenUsed/>
    <w:pPr>
      <w:pBdr/>
      <w:spacing/>
      <w:ind/>
    </w:pPr>
    <w:rPr>
      <w:color w:val="954f72" w:themeColor="followedHyperlink"/>
      <w:u w:val="single"/>
    </w:rPr>
  </w:style>
  <w:style w:type="paragraph" w:styleId="979">
    <w:name w:val="table of figures"/>
    <w:basedOn w:val="821"/>
    <w:next w:val="821"/>
    <w:uiPriority w:val="99"/>
    <w:unhideWhenUsed/>
    <w:pPr>
      <w:pBdr/>
      <w:spacing/>
      <w:ind/>
    </w:pPr>
  </w:style>
  <w:style w:type="character" w:styleId="980" w:customStyle="1">
    <w:name w:val="Heading 1 Char"/>
    <w:basedOn w:val="831"/>
    <w:link w:val="822"/>
    <w:pPr>
      <w:pBdr/>
      <w:spacing/>
      <w:ind/>
    </w:pPr>
    <w:rPr>
      <w:rFonts w:ascii="Times New Roman" w:hAnsi="Times New Roman" w:eastAsia="Times New Roman" w:cs="Times New Roman"/>
      <w:b/>
      <w:sz w:val="24"/>
      <w:szCs w:val="24"/>
      <w:lang w:val="en-US"/>
    </w:rPr>
  </w:style>
  <w:style w:type="character" w:styleId="981" w:customStyle="1">
    <w:name w:val="Heading 2 Char"/>
    <w:basedOn w:val="831"/>
    <w:link w:val="823"/>
    <w:pPr>
      <w:pBdr/>
      <w:spacing/>
      <w:ind/>
    </w:pPr>
    <w:rPr>
      <w:rFonts w:asciiTheme="majorHAnsi" w:hAnsiTheme="majorHAnsi" w:eastAsiaTheme="majorEastAsia" w:cstheme="majorBidi"/>
      <w:b/>
      <w:bCs/>
      <w:color w:val="5b9bd5" w:themeColor="accent1"/>
      <w:sz w:val="26"/>
      <w:szCs w:val="26"/>
      <w:lang w:val="ro-RO"/>
    </w:rPr>
  </w:style>
  <w:style w:type="character" w:styleId="982" w:customStyle="1">
    <w:name w:val="Heading 3 Char"/>
    <w:basedOn w:val="831"/>
    <w:link w:val="824"/>
    <w:pPr>
      <w:pBdr/>
      <w:spacing/>
      <w:ind/>
    </w:pPr>
    <w:rPr>
      <w:rFonts w:asciiTheme="majorHAnsi" w:hAnsiTheme="majorHAnsi" w:eastAsiaTheme="majorEastAsia" w:cstheme="majorBidi"/>
      <w:b/>
      <w:bCs/>
      <w:color w:val="5b9bd5" w:themeColor="accent1"/>
      <w:sz w:val="24"/>
      <w:szCs w:val="24"/>
      <w:lang w:val="ro-RO"/>
    </w:rPr>
  </w:style>
  <w:style w:type="character" w:styleId="983" w:customStyle="1">
    <w:name w:val="Heading 4 Char"/>
    <w:basedOn w:val="831"/>
    <w:link w:val="825"/>
    <w:pPr>
      <w:pBdr/>
      <w:spacing/>
      <w:ind/>
    </w:pPr>
    <w:rPr>
      <w:rFonts w:ascii="Baltica RR" w:hAnsi="Baltica RR" w:eastAsia="Times New Roman" w:cs="Times New Roman"/>
      <w:b/>
      <w:sz w:val="24"/>
      <w:szCs w:val="20"/>
      <w:lang w:val="ro-RO" w:eastAsia="ru-RU"/>
    </w:rPr>
  </w:style>
  <w:style w:type="character" w:styleId="984" w:customStyle="1">
    <w:name w:val="Heading 5 Char"/>
    <w:basedOn w:val="831"/>
    <w:link w:val="826"/>
    <w:pPr>
      <w:pBdr/>
      <w:spacing/>
      <w:ind/>
    </w:pPr>
    <w:rPr>
      <w:rFonts w:ascii="Times New Roman" w:hAnsi="Times New Roman" w:eastAsia="Times New Roman" w:cs="Times New Roman"/>
      <w:sz w:val="28"/>
      <w:szCs w:val="20"/>
      <w:lang w:val="ro-RO" w:eastAsia="ru-RU"/>
    </w:rPr>
  </w:style>
  <w:style w:type="character" w:styleId="985" w:customStyle="1">
    <w:name w:val="Heading 8 Char"/>
    <w:basedOn w:val="831"/>
    <w:link w:val="829"/>
    <w:semiHidden/>
    <w:pPr>
      <w:pBdr/>
      <w:spacing/>
      <w:ind/>
    </w:pPr>
    <w:rPr>
      <w:rFonts w:ascii="Calibri" w:hAnsi="Calibri" w:eastAsia="Times New Roman" w:cs="Times New Roman"/>
      <w:i/>
      <w:iCs/>
      <w:sz w:val="24"/>
      <w:szCs w:val="24"/>
      <w:lang w:val="ro-RO"/>
    </w:rPr>
  </w:style>
  <w:style w:type="character" w:styleId="986" w:customStyle="1">
    <w:name w:val="Heading 9 Char"/>
    <w:basedOn w:val="831"/>
    <w:link w:val="830"/>
    <w:semiHidden/>
    <w:pPr>
      <w:pBdr/>
      <w:spacing/>
      <w:ind/>
    </w:pPr>
    <w:rPr>
      <w:rFonts w:ascii="Cambria" w:hAnsi="Cambria" w:eastAsia="Times New Roman" w:cs="Times New Roman"/>
      <w:lang w:val="ro-RO"/>
    </w:rPr>
  </w:style>
  <w:style w:type="paragraph" w:styleId="987">
    <w:name w:val="Footer"/>
    <w:basedOn w:val="821"/>
    <w:link w:val="988"/>
    <w:uiPriority w:val="99"/>
    <w:pPr>
      <w:pBdr/>
      <w:tabs>
        <w:tab w:val="center" w:leader="none" w:pos="4536"/>
        <w:tab w:val="right" w:leader="none" w:pos="9072"/>
      </w:tabs>
      <w:spacing/>
      <w:ind/>
    </w:pPr>
  </w:style>
  <w:style w:type="character" w:styleId="988" w:customStyle="1">
    <w:name w:val="Footer Char"/>
    <w:basedOn w:val="831"/>
    <w:link w:val="987"/>
    <w:uiPriority w:val="99"/>
    <w:pPr>
      <w:pBdr/>
      <w:spacing/>
      <w:ind/>
    </w:pPr>
    <w:rPr>
      <w:rFonts w:ascii="Times New Roman" w:hAnsi="Times New Roman" w:eastAsia="Times New Roman" w:cs="Times New Roman"/>
      <w:sz w:val="24"/>
      <w:szCs w:val="24"/>
      <w:lang w:val="ro-RO"/>
    </w:rPr>
  </w:style>
  <w:style w:type="character" w:styleId="989">
    <w:name w:val="page number"/>
    <w:basedOn w:val="831"/>
    <w:pPr>
      <w:pBdr/>
      <w:spacing/>
      <w:ind/>
    </w:pPr>
  </w:style>
  <w:style w:type="paragraph" w:styleId="990">
    <w:name w:val="List Paragraph"/>
    <w:basedOn w:val="821"/>
    <w:link w:val="1063"/>
    <w:uiPriority w:val="34"/>
    <w:qFormat/>
    <w:pPr>
      <w:numPr>
        <w:numId w:val="2"/>
      </w:numPr>
      <w:pBdr/>
      <w:tabs>
        <w:tab w:val="left" w:leader="none" w:pos="1134"/>
      </w:tabs>
      <w:spacing/>
      <w:ind/>
      <w:jc w:val="both"/>
    </w:pPr>
    <w:rPr>
      <w:lang w:val="en-US"/>
    </w:rPr>
  </w:style>
  <w:style w:type="paragraph" w:styleId="991">
    <w:name w:val="Body Text"/>
    <w:basedOn w:val="821"/>
    <w:link w:val="992"/>
    <w:pPr>
      <w:pBdr/>
      <w:spacing/>
      <w:ind/>
    </w:pPr>
    <w:rPr>
      <w:rFonts w:ascii="Baltica RR" w:hAnsi="Baltica RR"/>
      <w:szCs w:val="20"/>
    </w:rPr>
  </w:style>
  <w:style w:type="character" w:styleId="992" w:customStyle="1">
    <w:name w:val="Body Text Char"/>
    <w:basedOn w:val="831"/>
    <w:link w:val="991"/>
    <w:pPr>
      <w:pBdr/>
      <w:spacing/>
      <w:ind/>
    </w:pPr>
    <w:rPr>
      <w:rFonts w:ascii="Baltica RR" w:hAnsi="Baltica RR" w:eastAsia="Times New Roman" w:cs="Times New Roman"/>
      <w:sz w:val="24"/>
      <w:szCs w:val="20"/>
      <w:lang w:val="ro-RO"/>
    </w:rPr>
  </w:style>
  <w:style w:type="paragraph" w:styleId="993">
    <w:name w:val="Header"/>
    <w:basedOn w:val="821"/>
    <w:link w:val="994"/>
    <w:pPr>
      <w:pBdr/>
      <w:tabs>
        <w:tab w:val="center" w:leader="none" w:pos="4703"/>
        <w:tab w:val="right" w:leader="none" w:pos="9406"/>
      </w:tabs>
      <w:spacing/>
      <w:ind/>
    </w:pPr>
    <w:rPr>
      <w:sz w:val="20"/>
      <w:szCs w:val="20"/>
      <w:lang w:val="ru-RU" w:eastAsia="ru-RU"/>
    </w:rPr>
  </w:style>
  <w:style w:type="character" w:styleId="994" w:customStyle="1">
    <w:name w:val="Header Char"/>
    <w:basedOn w:val="831"/>
    <w:link w:val="993"/>
    <w:pPr>
      <w:pBdr/>
      <w:spacing/>
      <w:ind/>
    </w:pPr>
    <w:rPr>
      <w:rFonts w:ascii="Times New Roman" w:hAnsi="Times New Roman" w:eastAsia="Times New Roman" w:cs="Times New Roman"/>
      <w:sz w:val="20"/>
      <w:szCs w:val="20"/>
      <w:lang w:val="ru-RU" w:eastAsia="ru-RU"/>
    </w:rPr>
  </w:style>
  <w:style w:type="paragraph" w:styleId="995">
    <w:name w:val="Subtitle"/>
    <w:basedOn w:val="821"/>
    <w:link w:val="996"/>
    <w:qFormat/>
    <w:pPr>
      <w:pBdr/>
      <w:spacing/>
      <w:ind/>
      <w:jc w:val="center"/>
    </w:pPr>
    <w:rPr>
      <w:b/>
      <w:sz w:val="32"/>
      <w:szCs w:val="20"/>
      <w:lang w:val="en-US" w:eastAsia="ru-RU"/>
    </w:rPr>
  </w:style>
  <w:style w:type="character" w:styleId="996" w:customStyle="1">
    <w:name w:val="Subtitle Char"/>
    <w:basedOn w:val="831"/>
    <w:link w:val="995"/>
    <w:pPr>
      <w:pBdr/>
      <w:spacing/>
      <w:ind/>
    </w:pPr>
    <w:rPr>
      <w:rFonts w:ascii="Times New Roman" w:hAnsi="Times New Roman" w:eastAsia="Times New Roman" w:cs="Times New Roman"/>
      <w:b/>
      <w:sz w:val="32"/>
      <w:szCs w:val="20"/>
      <w:lang w:val="en-US" w:eastAsia="ru-RU"/>
    </w:rPr>
  </w:style>
  <w:style w:type="paragraph" w:styleId="997">
    <w:name w:val="Body Text Indent"/>
    <w:basedOn w:val="821"/>
    <w:link w:val="998"/>
    <w:pPr>
      <w:pBdr/>
      <w:spacing/>
      <w:ind w:firstLine="720"/>
      <w:jc w:val="both"/>
    </w:pPr>
    <w:rPr>
      <w:sz w:val="20"/>
      <w:szCs w:val="20"/>
      <w:lang w:eastAsia="ru-RU"/>
    </w:rPr>
  </w:style>
  <w:style w:type="character" w:styleId="998" w:customStyle="1">
    <w:name w:val="Body Text Indent Char"/>
    <w:basedOn w:val="831"/>
    <w:link w:val="997"/>
    <w:pPr>
      <w:pBdr/>
      <w:spacing/>
      <w:ind/>
    </w:pPr>
    <w:rPr>
      <w:rFonts w:ascii="Times New Roman" w:hAnsi="Times New Roman" w:eastAsia="Times New Roman" w:cs="Times New Roman"/>
      <w:sz w:val="20"/>
      <w:szCs w:val="20"/>
      <w:lang w:val="ro-RO" w:eastAsia="ru-RU"/>
    </w:rPr>
  </w:style>
  <w:style w:type="paragraph" w:styleId="999">
    <w:name w:val="Body Text Indent 2"/>
    <w:basedOn w:val="821"/>
    <w:link w:val="1000"/>
    <w:pPr>
      <w:pBdr/>
      <w:spacing/>
      <w:ind w:firstLine="567"/>
    </w:pPr>
    <w:rPr>
      <w:rFonts w:ascii="Baltica RR" w:hAnsi="Baltica RR"/>
      <w:szCs w:val="20"/>
      <w:lang w:eastAsia="ru-RU"/>
    </w:rPr>
  </w:style>
  <w:style w:type="character" w:styleId="1000" w:customStyle="1">
    <w:name w:val="Body Text Indent 2 Char"/>
    <w:basedOn w:val="831"/>
    <w:link w:val="999"/>
    <w:pPr>
      <w:pBdr/>
      <w:spacing/>
      <w:ind/>
    </w:pPr>
    <w:rPr>
      <w:rFonts w:ascii="Baltica RR" w:hAnsi="Baltica RR" w:eastAsia="Times New Roman" w:cs="Times New Roman"/>
      <w:sz w:val="24"/>
      <w:szCs w:val="20"/>
      <w:lang w:val="ro-RO" w:eastAsia="ru-RU"/>
    </w:rPr>
  </w:style>
  <w:style w:type="paragraph" w:styleId="1001">
    <w:name w:val="Body Text 2"/>
    <w:basedOn w:val="821"/>
    <w:link w:val="1002"/>
    <w:pPr>
      <w:pBdr/>
      <w:tabs>
        <w:tab w:val="left" w:leader="none" w:pos="426"/>
      </w:tabs>
      <w:spacing/>
      <w:ind/>
      <w:jc w:val="both"/>
    </w:pPr>
    <w:rPr>
      <w:rFonts w:ascii="Baltica RR" w:hAnsi="Baltica RR"/>
      <w:szCs w:val="20"/>
      <w:lang w:eastAsia="ru-RU"/>
    </w:rPr>
  </w:style>
  <w:style w:type="character" w:styleId="1002" w:customStyle="1">
    <w:name w:val="Body Text 2 Char"/>
    <w:basedOn w:val="831"/>
    <w:link w:val="1001"/>
    <w:pPr>
      <w:pBdr/>
      <w:spacing/>
      <w:ind/>
    </w:pPr>
    <w:rPr>
      <w:rFonts w:ascii="Baltica RR" w:hAnsi="Baltica RR" w:eastAsia="Times New Roman" w:cs="Times New Roman"/>
      <w:sz w:val="24"/>
      <w:szCs w:val="20"/>
      <w:lang w:val="ro-RO" w:eastAsia="ru-RU"/>
    </w:rPr>
  </w:style>
  <w:style w:type="paragraph" w:styleId="1003">
    <w:name w:val="Balloon Text"/>
    <w:basedOn w:val="821"/>
    <w:link w:val="1004"/>
    <w:semiHidden/>
    <w:pPr>
      <w:pBdr/>
      <w:spacing/>
      <w:ind/>
    </w:pPr>
    <w:rPr>
      <w:rFonts w:ascii="Tahoma" w:hAnsi="Tahoma" w:cs="Tahoma"/>
      <w:sz w:val="16"/>
      <w:szCs w:val="16"/>
      <w:lang w:val="ru-RU" w:eastAsia="ru-RU"/>
    </w:rPr>
  </w:style>
  <w:style w:type="character" w:styleId="1004" w:customStyle="1">
    <w:name w:val="Balloon Text Char"/>
    <w:basedOn w:val="831"/>
    <w:link w:val="1003"/>
    <w:semiHidden/>
    <w:pPr>
      <w:pBdr/>
      <w:spacing/>
      <w:ind/>
    </w:pPr>
    <w:rPr>
      <w:rFonts w:ascii="Tahoma" w:hAnsi="Tahoma" w:eastAsia="Times New Roman" w:cs="Tahoma"/>
      <w:sz w:val="16"/>
      <w:szCs w:val="16"/>
      <w:lang w:val="ru-RU" w:eastAsia="ru-RU"/>
    </w:rPr>
  </w:style>
  <w:style w:type="table" w:styleId="1005">
    <w:name w:val="Table Grid"/>
    <w:basedOn w:val="832"/>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6">
    <w:name w:val="Normal (Web)"/>
    <w:basedOn w:val="821"/>
    <w:unhideWhenUsed/>
    <w:pPr>
      <w:pBdr/>
      <w:spacing/>
      <w:ind w:firstLine="567"/>
      <w:jc w:val="both"/>
    </w:pPr>
    <w:rPr>
      <w:lang w:val="ru-RU" w:eastAsia="ru-RU"/>
    </w:rPr>
  </w:style>
  <w:style w:type="paragraph" w:styleId="1007" w:customStyle="1">
    <w:name w:val="cn"/>
    <w:basedOn w:val="821"/>
    <w:pPr>
      <w:pBdr/>
      <w:spacing/>
      <w:ind/>
      <w:jc w:val="center"/>
    </w:pPr>
    <w:rPr>
      <w:lang w:val="ru-RU" w:eastAsia="ru-RU"/>
    </w:rPr>
  </w:style>
  <w:style w:type="paragraph" w:styleId="1008" w:customStyle="1">
    <w:name w:val="cb"/>
    <w:basedOn w:val="821"/>
    <w:pPr>
      <w:pBdr/>
      <w:spacing/>
      <w:ind/>
      <w:jc w:val="center"/>
    </w:pPr>
    <w:rPr>
      <w:b/>
      <w:bCs/>
      <w:lang w:val="ru-RU" w:eastAsia="ru-RU"/>
    </w:rPr>
  </w:style>
  <w:style w:type="paragraph" w:styleId="1009">
    <w:name w:val="Body Text Indent 3"/>
    <w:basedOn w:val="821"/>
    <w:link w:val="1010"/>
    <w:pPr>
      <w:pBdr/>
      <w:spacing w:after="120"/>
      <w:ind w:left="283"/>
    </w:pPr>
    <w:rPr>
      <w:sz w:val="16"/>
      <w:szCs w:val="16"/>
    </w:rPr>
  </w:style>
  <w:style w:type="character" w:styleId="1010" w:customStyle="1">
    <w:name w:val="Body Text Indent 3 Char"/>
    <w:basedOn w:val="831"/>
    <w:link w:val="1009"/>
    <w:pPr>
      <w:pBdr/>
      <w:spacing/>
      <w:ind/>
    </w:pPr>
    <w:rPr>
      <w:rFonts w:ascii="Times New Roman" w:hAnsi="Times New Roman" w:eastAsia="Times New Roman" w:cs="Times New Roman"/>
      <w:sz w:val="16"/>
      <w:szCs w:val="16"/>
      <w:lang w:val="ro-RO"/>
    </w:rPr>
  </w:style>
  <w:style w:type="character" w:styleId="1011">
    <w:name w:val="Hyperlink"/>
    <w:uiPriority w:val="99"/>
    <w:pPr>
      <w:pBdr/>
      <w:spacing/>
      <w:ind/>
    </w:pPr>
    <w:rPr>
      <w:color w:val="0000ff"/>
      <w:u w:val="single"/>
    </w:rPr>
  </w:style>
  <w:style w:type="paragraph" w:styleId="1012" w:customStyle="1">
    <w:name w:val="cp"/>
    <w:basedOn w:val="821"/>
    <w:pPr>
      <w:pBdr/>
      <w:spacing/>
      <w:ind/>
      <w:jc w:val="center"/>
    </w:pPr>
    <w:rPr>
      <w:b/>
      <w:bCs/>
      <w:lang w:eastAsia="ru-RU"/>
    </w:rPr>
  </w:style>
  <w:style w:type="paragraph" w:styleId="1013" w:customStyle="1">
    <w:name w:val="rg"/>
    <w:basedOn w:val="821"/>
    <w:pPr>
      <w:pBdr/>
      <w:spacing/>
      <w:ind/>
      <w:jc w:val="right"/>
    </w:pPr>
    <w:rPr>
      <w:lang w:val="ru-RU" w:eastAsia="ru-RU"/>
    </w:rPr>
  </w:style>
  <w:style w:type="paragraph" w:styleId="1014" w:customStyle="1">
    <w:name w:val="Listă paragraf1"/>
    <w:basedOn w:val="821"/>
    <w:qFormat/>
    <w:pPr>
      <w:pBdr/>
      <w:spacing/>
      <w:ind w:left="708"/>
    </w:pPr>
    <w:rPr>
      <w:lang w:eastAsia="ru-RU"/>
    </w:rPr>
  </w:style>
  <w:style w:type="paragraph" w:styleId="1015" w:customStyle="1">
    <w:name w:val="Sub-Clause Text"/>
    <w:basedOn w:val="821"/>
    <w:pPr>
      <w:pBdr/>
      <w:spacing w:after="120" w:before="120"/>
      <w:ind/>
      <w:jc w:val="both"/>
    </w:pPr>
    <w:rPr>
      <w:spacing w:val="-4"/>
      <w:szCs w:val="20"/>
      <w:lang w:val="en-US"/>
    </w:rPr>
  </w:style>
  <w:style w:type="paragraph" w:styleId="1016" w:customStyle="1">
    <w:name w:val="(i)"/>
    <w:basedOn w:val="821"/>
    <w:pPr>
      <w:pBdr/>
      <w:spacing/>
      <w:ind/>
      <w:jc w:val="both"/>
    </w:pPr>
    <w:rPr>
      <w:rFonts w:ascii="Tms Rmn" w:hAnsi="Tms Rmn"/>
      <w:szCs w:val="20"/>
      <w:lang w:val="en-US"/>
    </w:rPr>
  </w:style>
  <w:style w:type="paragraph" w:styleId="1017" w:customStyle="1">
    <w:name w:val="List Paragraph1"/>
    <w:basedOn w:val="821"/>
    <w:qFormat/>
    <w:pPr>
      <w:pBdr/>
      <w:spacing w:after="200" w:line="276" w:lineRule="auto"/>
      <w:ind w:left="720"/>
      <w:contextualSpacing w:val="true"/>
    </w:pPr>
    <w:rPr>
      <w:rFonts w:ascii="Calibri" w:hAnsi="Calibri" w:eastAsia="PMingLiU"/>
      <w:sz w:val="22"/>
      <w:szCs w:val="22"/>
      <w:lang w:val="en-US" w:eastAsia="zh-CN"/>
    </w:rPr>
  </w:style>
  <w:style w:type="paragraph" w:styleId="1018" w:customStyle="1">
    <w:name w:val="BankNormal"/>
    <w:basedOn w:val="821"/>
    <w:pPr>
      <w:pBdr/>
      <w:spacing w:after="240"/>
      <w:ind/>
    </w:pPr>
    <w:rPr>
      <w:szCs w:val="20"/>
      <w:lang w:val="en-US"/>
    </w:rPr>
  </w:style>
  <w:style w:type="paragraph" w:styleId="1019">
    <w:name w:val="TOC Heading"/>
    <w:basedOn w:val="822"/>
    <w:next w:val="821"/>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20">
    <w:name w:val="toc 2"/>
    <w:basedOn w:val="821"/>
    <w:next w:val="821"/>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21">
    <w:name w:val="toc 1"/>
    <w:basedOn w:val="821"/>
    <w:next w:val="821"/>
    <w:uiPriority w:val="39"/>
    <w:unhideWhenUsed/>
    <w:pPr>
      <w:pBdr/>
      <w:tabs>
        <w:tab w:val="right" w:leader="dot" w:pos="9638"/>
      </w:tabs>
      <w:spacing w:after="100" w:line="259" w:lineRule="auto"/>
      <w:ind/>
    </w:pPr>
    <w:rPr>
      <w:rFonts w:eastAsia="SimSun"/>
      <w:b/>
      <w:lang w:val="en-US"/>
    </w:rPr>
  </w:style>
  <w:style w:type="paragraph" w:styleId="1022">
    <w:name w:val="toc 3"/>
    <w:basedOn w:val="821"/>
    <w:next w:val="821"/>
    <w:uiPriority w:val="39"/>
    <w:unhideWhenUsed/>
    <w:pPr>
      <w:pBdr/>
      <w:spacing w:after="100" w:line="259" w:lineRule="auto"/>
      <w:ind w:left="440"/>
    </w:pPr>
    <w:rPr>
      <w:rFonts w:ascii="Calibri" w:hAnsi="Calibri" w:eastAsia="SimSun"/>
      <w:sz w:val="22"/>
      <w:szCs w:val="22"/>
      <w:lang w:val="en-US"/>
    </w:rPr>
  </w:style>
  <w:style w:type="paragraph" w:styleId="1023">
    <w:name w:val="footnote text"/>
    <w:basedOn w:val="821"/>
    <w:link w:val="1024"/>
    <w:pPr>
      <w:pBdr/>
      <w:spacing/>
      <w:ind/>
      <w:jc w:val="both"/>
    </w:pPr>
    <w:rPr>
      <w:sz w:val="20"/>
      <w:szCs w:val="20"/>
      <w:lang w:val="en-US"/>
    </w:rPr>
  </w:style>
  <w:style w:type="character" w:styleId="1024" w:customStyle="1">
    <w:name w:val="Footnote Text Char"/>
    <w:basedOn w:val="831"/>
    <w:link w:val="1023"/>
    <w:pPr>
      <w:pBdr/>
      <w:spacing/>
      <w:ind/>
    </w:pPr>
    <w:rPr>
      <w:rFonts w:ascii="Times New Roman" w:hAnsi="Times New Roman" w:eastAsia="Times New Roman" w:cs="Times New Roman"/>
      <w:sz w:val="20"/>
      <w:szCs w:val="20"/>
      <w:lang w:val="en-US"/>
    </w:rPr>
  </w:style>
  <w:style w:type="character" w:styleId="1025">
    <w:name w:val="footnote reference"/>
    <w:pPr>
      <w:pBdr/>
      <w:spacing/>
      <w:ind/>
    </w:pPr>
    <w:rPr>
      <w:vertAlign w:val="superscript"/>
    </w:rPr>
  </w:style>
  <w:style w:type="character" w:styleId="1026">
    <w:name w:val="annotation reference"/>
    <w:uiPriority w:val="99"/>
    <w:pPr>
      <w:pBdr/>
      <w:spacing/>
      <w:ind/>
    </w:pPr>
    <w:rPr>
      <w:sz w:val="16"/>
      <w:szCs w:val="16"/>
    </w:rPr>
  </w:style>
  <w:style w:type="paragraph" w:styleId="1027">
    <w:name w:val="annotation text"/>
    <w:basedOn w:val="821"/>
    <w:link w:val="1028"/>
    <w:uiPriority w:val="99"/>
    <w:pPr>
      <w:pBdr/>
      <w:spacing/>
      <w:ind/>
    </w:pPr>
    <w:rPr>
      <w:sz w:val="20"/>
      <w:szCs w:val="20"/>
      <w:lang w:val="ru-RU" w:eastAsia="ru-RU"/>
    </w:rPr>
  </w:style>
  <w:style w:type="character" w:styleId="1028" w:customStyle="1">
    <w:name w:val="Comment Text Char"/>
    <w:basedOn w:val="831"/>
    <w:link w:val="1027"/>
    <w:uiPriority w:val="99"/>
    <w:pPr>
      <w:pBdr/>
      <w:spacing/>
      <w:ind/>
    </w:pPr>
    <w:rPr>
      <w:rFonts w:ascii="Times New Roman" w:hAnsi="Times New Roman" w:eastAsia="Times New Roman" w:cs="Times New Roman"/>
      <w:sz w:val="20"/>
      <w:szCs w:val="20"/>
      <w:lang w:val="ru-RU" w:eastAsia="ru-RU"/>
    </w:rPr>
  </w:style>
  <w:style w:type="paragraph" w:styleId="1029">
    <w:name w:val="annotation subject"/>
    <w:basedOn w:val="1027"/>
    <w:next w:val="1027"/>
    <w:link w:val="1030"/>
    <w:pPr>
      <w:pBdr/>
      <w:spacing/>
      <w:ind/>
    </w:pPr>
    <w:rPr>
      <w:b/>
      <w:bCs/>
    </w:rPr>
  </w:style>
  <w:style w:type="character" w:styleId="1030" w:customStyle="1">
    <w:name w:val="Comment Subject Char"/>
    <w:basedOn w:val="1028"/>
    <w:link w:val="1029"/>
    <w:pPr>
      <w:pBdr/>
      <w:spacing/>
      <w:ind/>
    </w:pPr>
    <w:rPr>
      <w:rFonts w:ascii="Times New Roman" w:hAnsi="Times New Roman" w:eastAsia="Times New Roman" w:cs="Times New Roman"/>
      <w:b/>
      <w:bCs/>
      <w:sz w:val="20"/>
      <w:szCs w:val="20"/>
      <w:lang w:val="ru-RU" w:eastAsia="ru-RU"/>
    </w:rPr>
  </w:style>
  <w:style w:type="paragraph" w:styleId="103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2" w:customStyle="1">
    <w:name w:val="Standard"/>
    <w:pPr>
      <w:pBdr/>
      <w:spacing w:after="200" w:line="276" w:lineRule="auto"/>
      <w:ind/>
    </w:pPr>
    <w:rPr>
      <w:rFonts w:ascii="Calibri" w:hAnsi="Calibri" w:eastAsia="Calibri" w:cs="Calibri"/>
      <w:lang w:val="en-US"/>
    </w:rPr>
  </w:style>
  <w:style w:type="character" w:styleId="1033" w:customStyle="1">
    <w:name w:val="apple-converted-space"/>
    <w:pPr>
      <w:pBdr/>
      <w:spacing/>
      <w:ind/>
    </w:pPr>
  </w:style>
  <w:style w:type="paragraph" w:styleId="1034" w:customStyle="1">
    <w:name w:val="Style3"/>
    <w:basedOn w:val="824"/>
    <w:link w:val="103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35" w:customStyle="1">
    <w:name w:val="Style3 Char"/>
    <w:link w:val="1034"/>
    <w:pPr>
      <w:pBdr/>
      <w:spacing/>
      <w:ind/>
    </w:pPr>
    <w:rPr>
      <w:rFonts w:ascii="Times New Roman" w:hAnsi="Times New Roman" w:eastAsia="Times New Roman" w:cs="Times New Roman"/>
      <w:b/>
      <w:sz w:val="24"/>
      <w:szCs w:val="24"/>
      <w:lang w:val="en-US" w:eastAsia="ru-RU"/>
    </w:rPr>
  </w:style>
  <w:style w:type="paragraph" w:styleId="1036">
    <w:name w:val="toc 4"/>
    <w:basedOn w:val="821"/>
    <w:next w:val="821"/>
    <w:uiPriority w:val="39"/>
    <w:unhideWhenUsed/>
    <w:pPr>
      <w:pBdr/>
      <w:spacing w:after="100" w:line="276" w:lineRule="auto"/>
      <w:ind w:left="660"/>
    </w:pPr>
    <w:rPr>
      <w:rFonts w:ascii="Calibri" w:hAnsi="Calibri"/>
      <w:sz w:val="22"/>
      <w:szCs w:val="22"/>
      <w:lang w:val="en-US"/>
    </w:rPr>
  </w:style>
  <w:style w:type="paragraph" w:styleId="1037">
    <w:name w:val="toc 5"/>
    <w:basedOn w:val="821"/>
    <w:next w:val="821"/>
    <w:uiPriority w:val="39"/>
    <w:unhideWhenUsed/>
    <w:pPr>
      <w:pBdr/>
      <w:spacing w:after="100" w:line="276" w:lineRule="auto"/>
      <w:ind w:left="880"/>
    </w:pPr>
    <w:rPr>
      <w:rFonts w:ascii="Calibri" w:hAnsi="Calibri"/>
      <w:sz w:val="22"/>
      <w:szCs w:val="22"/>
      <w:lang w:val="en-US"/>
    </w:rPr>
  </w:style>
  <w:style w:type="paragraph" w:styleId="1038">
    <w:name w:val="toc 6"/>
    <w:basedOn w:val="821"/>
    <w:next w:val="821"/>
    <w:uiPriority w:val="39"/>
    <w:unhideWhenUsed/>
    <w:pPr>
      <w:pBdr/>
      <w:spacing w:after="100" w:line="276" w:lineRule="auto"/>
      <w:ind w:left="1100"/>
    </w:pPr>
    <w:rPr>
      <w:rFonts w:ascii="Calibri" w:hAnsi="Calibri"/>
      <w:sz w:val="22"/>
      <w:szCs w:val="22"/>
      <w:lang w:val="en-US"/>
    </w:rPr>
  </w:style>
  <w:style w:type="paragraph" w:styleId="1039">
    <w:name w:val="toc 7"/>
    <w:basedOn w:val="821"/>
    <w:next w:val="821"/>
    <w:uiPriority w:val="39"/>
    <w:unhideWhenUsed/>
    <w:pPr>
      <w:pBdr/>
      <w:spacing w:after="100" w:line="276" w:lineRule="auto"/>
      <w:ind w:left="1320"/>
    </w:pPr>
    <w:rPr>
      <w:rFonts w:ascii="Calibri" w:hAnsi="Calibri"/>
      <w:sz w:val="22"/>
      <w:szCs w:val="22"/>
      <w:lang w:val="en-US"/>
    </w:rPr>
  </w:style>
  <w:style w:type="paragraph" w:styleId="1040">
    <w:name w:val="toc 8"/>
    <w:basedOn w:val="821"/>
    <w:next w:val="821"/>
    <w:uiPriority w:val="39"/>
    <w:unhideWhenUsed/>
    <w:pPr>
      <w:pBdr/>
      <w:spacing w:after="100" w:line="276" w:lineRule="auto"/>
      <w:ind w:left="1540"/>
    </w:pPr>
    <w:rPr>
      <w:rFonts w:ascii="Calibri" w:hAnsi="Calibri"/>
      <w:sz w:val="22"/>
      <w:szCs w:val="22"/>
      <w:lang w:val="en-US"/>
    </w:rPr>
  </w:style>
  <w:style w:type="paragraph" w:styleId="1041">
    <w:name w:val="toc 9"/>
    <w:basedOn w:val="821"/>
    <w:next w:val="821"/>
    <w:uiPriority w:val="39"/>
    <w:unhideWhenUsed/>
    <w:pPr>
      <w:pBdr/>
      <w:spacing w:after="100" w:line="276" w:lineRule="auto"/>
      <w:ind w:left="1760"/>
    </w:pPr>
    <w:rPr>
      <w:rFonts w:ascii="Calibri" w:hAnsi="Calibri"/>
      <w:sz w:val="22"/>
      <w:szCs w:val="22"/>
      <w:lang w:val="en-US"/>
    </w:rPr>
  </w:style>
  <w:style w:type="paragraph" w:styleId="1042" w:customStyle="1">
    <w:name w:val="Style153"/>
    <w:basedOn w:val="821"/>
    <w:uiPriority w:val="99"/>
    <w:pPr>
      <w:widowControl w:val="false"/>
      <w:pBdr/>
      <w:spacing w:line="317" w:lineRule="exact"/>
      <w:ind/>
      <w:jc w:val="both"/>
    </w:pPr>
    <w:rPr>
      <w:lang w:eastAsia="ro-RO"/>
    </w:rPr>
  </w:style>
  <w:style w:type="character" w:styleId="1043" w:customStyle="1">
    <w:name w:val="Font Style195"/>
    <w:uiPriority w:val="99"/>
    <w:pPr>
      <w:pBdr/>
      <w:spacing/>
      <w:ind/>
    </w:pPr>
    <w:rPr>
      <w:rFonts w:ascii="Times New Roman" w:hAnsi="Times New Roman" w:cs="Times New Roman"/>
      <w:b/>
      <w:bCs/>
      <w:i/>
      <w:iCs/>
      <w:sz w:val="22"/>
      <w:szCs w:val="22"/>
    </w:rPr>
  </w:style>
  <w:style w:type="paragraph" w:styleId="1044" w:customStyle="1">
    <w:name w:val="Style73"/>
    <w:basedOn w:val="821"/>
    <w:uiPriority w:val="99"/>
    <w:pPr>
      <w:widowControl w:val="false"/>
      <w:pBdr/>
      <w:spacing w:line="314" w:lineRule="exact"/>
      <w:ind/>
      <w:jc w:val="both"/>
    </w:pPr>
    <w:rPr>
      <w:lang w:eastAsia="ro-RO"/>
    </w:rPr>
  </w:style>
  <w:style w:type="character" w:styleId="1045" w:customStyle="1">
    <w:name w:val="Font Style197"/>
    <w:uiPriority w:val="99"/>
    <w:pPr>
      <w:pBdr/>
      <w:spacing/>
      <w:ind/>
    </w:pPr>
    <w:rPr>
      <w:rFonts w:ascii="Times New Roman" w:hAnsi="Times New Roman" w:cs="Times New Roman"/>
      <w:sz w:val="22"/>
      <w:szCs w:val="22"/>
    </w:rPr>
  </w:style>
  <w:style w:type="paragraph" w:styleId="1046">
    <w:name w:val="HTML Preformatted"/>
    <w:basedOn w:val="821"/>
    <w:link w:val="1047"/>
    <w:uiPriority w:val="99"/>
    <w:semiHidden/>
    <w:unhideWhenUsed/>
    <w:pPr>
      <w:pBdr/>
      <w:spacing/>
      <w:ind/>
    </w:pPr>
    <w:rPr>
      <w:rFonts w:ascii="Consolas" w:hAnsi="Consolas"/>
      <w:sz w:val="20"/>
      <w:szCs w:val="20"/>
    </w:rPr>
  </w:style>
  <w:style w:type="character" w:styleId="1047" w:customStyle="1">
    <w:name w:val="HTML Preformatted Char"/>
    <w:basedOn w:val="831"/>
    <w:link w:val="1046"/>
    <w:uiPriority w:val="99"/>
    <w:semiHidden/>
    <w:pPr>
      <w:pBdr/>
      <w:spacing/>
      <w:ind/>
    </w:pPr>
    <w:rPr>
      <w:rFonts w:ascii="Consolas" w:hAnsi="Consolas" w:eastAsia="Times New Roman" w:cs="Times New Roman"/>
      <w:sz w:val="20"/>
      <w:szCs w:val="20"/>
      <w:lang w:val="ro-RO"/>
    </w:rPr>
  </w:style>
  <w:style w:type="character" w:styleId="1048" w:customStyle="1">
    <w:name w:val="Style4 Char"/>
    <w:basedOn w:val="1035"/>
    <w:pPr>
      <w:pBdr/>
      <w:spacing/>
      <w:ind/>
    </w:pPr>
    <w:rPr>
      <w:rFonts w:ascii="Times New Roman" w:hAnsi="Times New Roman" w:eastAsia="Calibri" w:cs="Times New Roman"/>
      <w:b/>
      <w:sz w:val="24"/>
      <w:szCs w:val="24"/>
      <w:lang w:val="ru-RU" w:eastAsia="ru-RU" w:bidi="ar-SA"/>
    </w:rPr>
  </w:style>
  <w:style w:type="character" w:styleId="1049" w:customStyle="1">
    <w:name w:val="short_text"/>
    <w:pPr>
      <w:pBdr/>
      <w:spacing/>
      <w:ind/>
    </w:pPr>
  </w:style>
  <w:style w:type="paragraph" w:styleId="1050">
    <w:name w:val="Caption"/>
    <w:basedOn w:val="821"/>
    <w:qFormat/>
    <w:pPr>
      <w:pBdr/>
      <w:spacing w:after="60" w:before="240"/>
      <w:ind/>
      <w:jc w:val="center"/>
    </w:pPr>
    <w:rPr>
      <w:rFonts w:ascii="Arial" w:hAnsi="Arial"/>
      <w:b/>
      <w:sz w:val="32"/>
      <w:szCs w:val="20"/>
      <w:lang w:val="ru-RU" w:eastAsia="ru-RU"/>
    </w:rPr>
  </w:style>
  <w:style w:type="character" w:styleId="105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2">
    <w:name w:val="Strong"/>
    <w:basedOn w:val="831"/>
    <w:uiPriority w:val="22"/>
    <w:qFormat/>
    <w:pPr>
      <w:pBdr/>
      <w:spacing/>
      <w:ind/>
    </w:pPr>
    <w:rPr>
      <w:b/>
      <w:bCs/>
    </w:rPr>
  </w:style>
  <w:style w:type="paragraph" w:styleId="105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54" w:customStyle="1">
    <w:name w:val="Griglia tabella1"/>
    <w:basedOn w:val="832"/>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glia tabella2"/>
    <w:basedOn w:val="832"/>
    <w:next w:val="100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glia tabella3"/>
    <w:basedOn w:val="832"/>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Table Grid2"/>
    <w:basedOn w:val="832"/>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glia tabella4"/>
    <w:basedOn w:val="832"/>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9">
    <w:name w:val="Placeholder Text"/>
    <w:basedOn w:val="831"/>
    <w:uiPriority w:val="99"/>
    <w:semiHidden/>
    <w:pPr>
      <w:pBdr/>
      <w:spacing/>
      <w:ind/>
    </w:pPr>
    <w:rPr>
      <w:color w:val="808080"/>
    </w:rPr>
  </w:style>
  <w:style w:type="character" w:styleId="1060" w:customStyle="1">
    <w:name w:val="ln2paragraf1"/>
    <w:pPr>
      <w:pBdr/>
      <w:spacing/>
      <w:ind/>
    </w:pPr>
    <w:rPr>
      <w:b/>
      <w:bCs/>
    </w:rPr>
  </w:style>
  <w:style w:type="character" w:styleId="1061" w:customStyle="1">
    <w:name w:val="ln2tparagraf"/>
    <w:pPr>
      <w:pBdr/>
      <w:spacing/>
      <w:ind/>
    </w:pPr>
  </w:style>
  <w:style w:type="character" w:styleId="1062" w:customStyle="1">
    <w:name w:val="ln2tpunct"/>
    <w:pPr>
      <w:pBdr/>
      <w:spacing/>
      <w:ind/>
    </w:pPr>
  </w:style>
  <w:style w:type="character" w:styleId="1063" w:customStyle="1">
    <w:name w:val="List Paragraph Char"/>
    <w:link w:val="990"/>
    <w:uiPriority w:val="34"/>
    <w:pPr>
      <w:pBdr/>
      <w:spacing/>
      <w:ind/>
    </w:pPr>
    <w:rPr>
      <w:rFonts w:ascii="Times New Roman" w:hAnsi="Times New Roman" w:eastAsia="Times New Roman" w:cs="Times New Roman"/>
      <w:sz w:val="24"/>
      <w:szCs w:val="24"/>
      <w:lang w:val="en-US"/>
    </w:rPr>
  </w:style>
  <w:style w:type="character" w:styleId="1064" w:customStyle="1">
    <w:name w:val="Unresolved Mention1"/>
    <w:basedOn w:val="831"/>
    <w:uiPriority w:val="99"/>
    <w:semiHidden/>
    <w:unhideWhenUsed/>
    <w:pPr>
      <w:pBdr/>
      <w:spacing/>
      <w:ind/>
    </w:pPr>
    <w:rPr>
      <w:color w:val="605e5c"/>
      <w:shd w:val="clear" w:color="auto" w:fill="e1dfdd"/>
    </w:rPr>
  </w:style>
  <w:style w:type="character" w:styleId="1065" w:customStyle="1">
    <w:name w:val="Unresolved Mention2"/>
    <w:basedOn w:val="831"/>
    <w:uiPriority w:val="99"/>
    <w:semiHidden/>
    <w:unhideWhenUsed/>
    <w:pPr>
      <w:pBdr/>
      <w:spacing/>
      <w:ind/>
    </w:pPr>
    <w:rPr>
      <w:color w:val="605e5c"/>
      <w:shd w:val="clear" w:color="auto" w:fill="e1dfdd"/>
    </w:rPr>
  </w:style>
  <w:style w:type="character" w:styleId="1066" w:customStyle="1">
    <w:name w:val="tax1"/>
    <w:pPr>
      <w:pBdr/>
      <w:spacing/>
      <w:ind/>
    </w:pPr>
    <w:rPr>
      <w:b/>
      <w:bCs/>
      <w:sz w:val="26"/>
      <w:szCs w:val="26"/>
    </w:rPr>
  </w:style>
  <w:style w:type="paragraph" w:styleId="1067" w:customStyle="1">
    <w:name w:val="Default Text"/>
    <w:basedOn w:val="821"/>
    <w:link w:val="1068"/>
    <w:uiPriority w:val="99"/>
    <w:pPr>
      <w:pBdr/>
      <w:spacing/>
      <w:ind/>
    </w:pPr>
    <w:rPr>
      <w:szCs w:val="20"/>
      <w:lang w:val="en-US"/>
    </w:rPr>
  </w:style>
  <w:style w:type="character" w:styleId="1068" w:customStyle="1">
    <w:name w:val="Default Text Char"/>
    <w:link w:val="1067"/>
    <w:uiPriority w:val="99"/>
    <w:pPr>
      <w:pBdr/>
      <w:spacing/>
      <w:ind/>
    </w:pPr>
    <w:rPr>
      <w:rFonts w:ascii="Times New Roman" w:hAnsi="Times New Roman" w:eastAsia="Times New Roman" w:cs="Times New Roman"/>
      <w:sz w:val="24"/>
      <w:szCs w:val="20"/>
      <w:lang w:val="en-US"/>
    </w:rPr>
  </w:style>
  <w:style w:type="paragraph" w:styleId="1_3278" w:customStyle="1">
    <w:name w:val="Table Paragraph"/>
    <w:basedOn w:val="754"/>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40" w:lineRule="auto"/>
      <w:ind w:right="0" w:firstLine="0" w:left="105"/>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ro-RO" w:bidi="ro-RO"/>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13</cp:revision>
  <dcterms:created xsi:type="dcterms:W3CDTF">2025-01-30T09:59:00Z</dcterms:created>
  <dcterms:modified xsi:type="dcterms:W3CDTF">2026-01-05T13:17:13Z</dcterms:modified>
</cp:coreProperties>
</file>