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Perii la stațiile de spălare automatizată a troleibuzelor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widowControl w:val="0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Perii la stațiile de spălare automatizată a troleibuzelor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2DE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eastAsia="en-US" w:bidi="ar-SA"/>
              </w:rPr>
            </w:pPr>
            <w:r>
              <w:rPr>
                <w:rFonts w:hint="default"/>
                <w:sz w:val="24"/>
                <w:szCs w:val="24"/>
                <w:lang/>
              </w:rPr>
              <w:t>Conform Anexei</w:t>
            </w:r>
            <w:bookmarkStart w:id="4" w:name="_GoBack"/>
            <w:bookmarkEnd w:id="4"/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4B71BFC9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FA65A97"/>
    <w:rsid w:val="1FEA49B7"/>
    <w:rsid w:val="20821DE2"/>
    <w:rsid w:val="214264BE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C9E4D4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7490911"/>
    <w:rsid w:val="69920591"/>
    <w:rsid w:val="72BF1C29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2026-02-12T13:24:38Z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