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5E1" w:rsidRPr="00C94A89" w:rsidRDefault="00C94A89">
      <w:pPr>
        <w:spacing w:after="0" w:line="259" w:lineRule="auto"/>
        <w:ind w:left="0" w:right="3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Caiet de sarcini pentru proiectări </w:t>
      </w:r>
    </w:p>
    <w:p w:rsidR="006A35E1" w:rsidRPr="00C94A89" w:rsidRDefault="00C94A89">
      <w:pPr>
        <w:spacing w:after="24" w:line="259" w:lineRule="auto"/>
        <w:ind w:left="149" w:righ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</w:p>
    <w:p w:rsidR="006A35E1" w:rsidRPr="00C94A89" w:rsidRDefault="00C94A89">
      <w:pPr>
        <w:spacing w:after="0" w:line="261" w:lineRule="auto"/>
        <w:ind w:left="0" w:righ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Proiectarea reparației capitale (crearea spațiilor pentru depozite) a subsolului clădirii cu 4 nivele al Serviciului de Informaţii şi Securitate al Republicii Moldova amplasată în mun. Chișinău. </w:t>
      </w:r>
    </w:p>
    <w:p w:rsidR="006A35E1" w:rsidRPr="00C94A89" w:rsidRDefault="00C94A89">
      <w:pPr>
        <w:ind w:left="0" w:firstLine="4679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          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Beneficiar: 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Serviciul de Informaţii şi Securitate al Republicii Moldova. </w:t>
      </w:r>
    </w:p>
    <w:p w:rsidR="006A35E1" w:rsidRPr="00C94A89" w:rsidRDefault="00C94A89">
      <w:pPr>
        <w:ind w:left="595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Faza de proiect: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Proiectarea reconstrucției subsolului clădirii cu 4 nivele al Serviciului de Informații și Securitate al Republicii Moldova amplasată în mun. Chișinău pentru cre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area spațiilor pentru depozitare (depozite).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Elaborarea proiectului de execuție structurat pe capitole și etape.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Coordonarea proiectului cu instituțiile de resort și agenții economici specializați care au funcții de control. </w:t>
      </w:r>
    </w:p>
    <w:p w:rsidR="006A35E1" w:rsidRPr="00C94A89" w:rsidRDefault="00C94A89">
      <w:pPr>
        <w:ind w:left="595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Conținutul-cadru al document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ației de proiect (capitolele proiectului): volumul complet și anume: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Expertiza tehnică.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Schița de proiect (inclusiv măsurări plane releveu).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Soluţii tehnice.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Arhitectura (soluții arhitectural constructive).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Rezistenţa.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OLC – Organizarea lucrărilor de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 construcție.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Reţele interioare de electricitate (EEF - echipament electric de forță/ IEI - iluminat electric interior).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Rețele interioare de încălzire și ventilare.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Rețele de semnalizare, depistare și stingere a incendiului.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Rețele  interioare de apă și canalizare.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Devize F7, F3, F5, F1 (inclusiv în format electronic).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Memoriul explicativ.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Raportul unic de verificare a documentației de proiect și deviz. Sarcini și responsabilități: Compania de proiectare va fi responsabilă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 pentru realizarea următoarelor sarcini: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Executarea lucrărilor de măsurare.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Elaborarea documentației de proiect și deviz.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Coordonarea și aprobarea proiectului cu autoritățile de resort.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Darea spre verificare a documentației de proiect și deviz (cheltui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elile pentru verificarea documentației de proiect și obținerea raportului de verificare a acestuia o va suporta compania de proiectare). </w:t>
      </w:r>
      <w:bookmarkStart w:id="0" w:name="_GoBack"/>
      <w:bookmarkEnd w:id="0"/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Multiplicarea documentației de proiect în trei exemplare.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lastRenderedPageBreak/>
        <w:t>Alte lucrări necesare pentru implementarea cu succes a proi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ectului. </w:t>
      </w:r>
    </w:p>
    <w:p w:rsidR="006A35E1" w:rsidRPr="00C94A89" w:rsidRDefault="00C94A89">
      <w:pPr>
        <w:ind w:left="437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Graficul de timp pentru îndeplinirea sarcinilor:  </w:t>
      </w:r>
    </w:p>
    <w:p w:rsidR="006A35E1" w:rsidRPr="00C94A89" w:rsidRDefault="00C94A89">
      <w:pPr>
        <w:ind w:left="427" w:right="0" w:firstLine="425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Termenul de elaborare a proiectului nu va depăși 90 zile calendaristice de la semnarea și înregistrarea contractului de achiziții la trezoreria de stat. </w:t>
      </w:r>
    </w:p>
    <w:p w:rsidR="006A35E1" w:rsidRPr="00C94A89" w:rsidRDefault="00C94A89">
      <w:pPr>
        <w:ind w:left="427" w:right="0" w:firstLine="425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La semnarea contractului de achiziții, pr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oiectantul, va prezenta graficul de execuție a fazelor necesare proiectării, identificând în mod clar durata fazelor de proiectare cum ar fi: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Documentații și avize.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Proiect tehnic.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Caiet de sarcini.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Coordonările cu instituțiile abilitate din RM.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Devi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z de cheltuieli. </w:t>
      </w:r>
    </w:p>
    <w:p w:rsidR="006A35E1" w:rsidRPr="00C94A89" w:rsidRDefault="00C94A89">
      <w:pPr>
        <w:ind w:left="437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Condiții speciale privind construirea, regimul economic şi juridic: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Conform prevederilor art.2 alin. (4) din Codul urbanismului și construcțiilor nr.434/2023, modalitatea de autorizare, proiectare, execuție, recepție, exploatare și post 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utilizare a construcțiilor cu caracter militar sau secret se stabilesc de către structurile abilitate ale autorității administrației publice centrale din domeniul apărării și al securității naționale. </w:t>
      </w:r>
    </w:p>
    <w:p w:rsidR="006A35E1" w:rsidRPr="00C94A89" w:rsidRDefault="00C94A89">
      <w:pPr>
        <w:ind w:left="437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Baza proiectării: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Tema de proiectare. </w:t>
      </w:r>
    </w:p>
    <w:p w:rsidR="006A35E1" w:rsidRPr="00C94A89" w:rsidRDefault="00C94A89">
      <w:pPr>
        <w:ind w:left="595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Menţiuni: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Suprafața totală a subsolului clădirii administrative al Serviciului de Informaţii şi Securitate al Republicii Moldova amplasată în mun. </w:t>
      </w:r>
    </w:p>
    <w:p w:rsidR="006A35E1" w:rsidRPr="00C94A89" w:rsidRDefault="00C94A89">
      <w:pPr>
        <w:ind w:left="595" w:right="0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Chișinău propus pentru proiectare constituie aproximativ 870 m2.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>Lucrările de construcţie vor fi supravegheate de aut</w:t>
      </w: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orul proiectului iar cheltuielile de supraveghere vor fi suportate de compania de proiectare.  </w:t>
      </w:r>
    </w:p>
    <w:p w:rsidR="006A35E1" w:rsidRPr="00C94A89" w:rsidRDefault="00C94A89">
      <w:pPr>
        <w:numPr>
          <w:ilvl w:val="0"/>
          <w:numId w:val="1"/>
        </w:numPr>
        <w:ind w:right="0" w:hanging="427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Documentaţia de proiect de prezentat beneficiarului  în 3 (trei) exemplare în limba română, inclusiv în format electronic. </w:t>
      </w:r>
    </w:p>
    <w:p w:rsidR="006A35E1" w:rsidRPr="00C94A89" w:rsidRDefault="00C94A89">
      <w:pPr>
        <w:spacing w:after="24" w:line="259" w:lineRule="auto"/>
        <w:ind w:left="0" w:right="0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C94A8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sectPr w:rsidR="006A35E1" w:rsidRPr="00C94A89">
      <w:footerReference w:type="even" r:id="rId7"/>
      <w:footerReference w:type="default" r:id="rId8"/>
      <w:footerReference w:type="first" r:id="rId9"/>
      <w:pgSz w:w="11906" w:h="16838"/>
      <w:pgMar w:top="564" w:right="846" w:bottom="1485" w:left="1702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94A89">
      <w:pPr>
        <w:spacing w:after="0" w:line="240" w:lineRule="auto"/>
      </w:pPr>
      <w:r>
        <w:separator/>
      </w:r>
    </w:p>
  </w:endnote>
  <w:endnote w:type="continuationSeparator" w:id="0">
    <w:p w:rsidR="00000000" w:rsidRDefault="00C94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ne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5E1" w:rsidRDefault="00C94A89">
    <w:pPr>
      <w:spacing w:after="0" w:line="259" w:lineRule="auto"/>
      <w:ind w:left="0" w:right="0" w:firstLine="0"/>
      <w:jc w:val="center"/>
    </w:pPr>
    <w:r>
      <w:rPr>
        <w:rFonts w:ascii="Calibri" w:eastAsia="Calibri" w:hAnsi="Calibri" w:cs="Calibri"/>
        <w:color w:val="4F81BD"/>
        <w:sz w:val="22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color w:val="4F81BD"/>
        <w:sz w:val="22"/>
      </w:rPr>
      <w:t>1</w:t>
    </w:r>
    <w:r>
      <w:rPr>
        <w:rFonts w:ascii="Calibri" w:eastAsia="Calibri" w:hAnsi="Calibri" w:cs="Calibri"/>
        <w:b/>
        <w:color w:val="4F81BD"/>
        <w:sz w:val="22"/>
      </w:rPr>
      <w:fldChar w:fldCharType="end"/>
    </w:r>
    <w:r>
      <w:rPr>
        <w:rFonts w:ascii="Calibri" w:eastAsia="Calibri" w:hAnsi="Calibri" w:cs="Calibri"/>
        <w:color w:val="4F81BD"/>
        <w:sz w:val="22"/>
      </w:rPr>
      <w:t xml:space="preserve"> din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Calibri" w:eastAsia="Calibri" w:hAnsi="Calibri" w:cs="Calibri"/>
        <w:b/>
        <w:color w:val="4F81BD"/>
        <w:sz w:val="22"/>
      </w:rPr>
      <w:t>3</w:t>
    </w:r>
    <w:r>
      <w:rPr>
        <w:rFonts w:ascii="Calibri" w:eastAsia="Calibri" w:hAnsi="Calibri" w:cs="Calibri"/>
        <w:b/>
        <w:color w:val="4F81BD"/>
        <w:sz w:val="22"/>
      </w:rPr>
      <w:fldChar w:fldCharType="end"/>
    </w:r>
    <w:r>
      <w:rPr>
        <w:rFonts w:ascii="Calibri" w:eastAsia="Calibri" w:hAnsi="Calibri" w:cs="Calibri"/>
        <w:color w:val="4F81BD"/>
        <w:sz w:val="22"/>
      </w:rPr>
      <w:t xml:space="preserve"> </w:t>
    </w:r>
  </w:p>
  <w:p w:rsidR="006A35E1" w:rsidRDefault="00C94A89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color w:val="000000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5E1" w:rsidRPr="00C94A89" w:rsidRDefault="00C94A89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auto"/>
      </w:rPr>
    </w:pPr>
    <w:r w:rsidRPr="00C94A89">
      <w:rPr>
        <w:rFonts w:ascii="Times New Roman" w:eastAsia="Calibri" w:hAnsi="Times New Roman" w:cs="Times New Roman"/>
        <w:color w:val="auto"/>
        <w:sz w:val="22"/>
      </w:rPr>
      <w:t xml:space="preserve">Pagina </w:t>
    </w:r>
    <w:r w:rsidRPr="00C94A89">
      <w:rPr>
        <w:rFonts w:ascii="Times New Roman" w:hAnsi="Times New Roman" w:cs="Times New Roman"/>
        <w:color w:val="auto"/>
      </w:rPr>
      <w:fldChar w:fldCharType="begin"/>
    </w:r>
    <w:r w:rsidRPr="00C94A89">
      <w:rPr>
        <w:rFonts w:ascii="Times New Roman" w:hAnsi="Times New Roman" w:cs="Times New Roman"/>
        <w:color w:val="auto"/>
      </w:rPr>
      <w:instrText xml:space="preserve"> PAGE   \* MERGEFORMAT </w:instrText>
    </w:r>
    <w:r w:rsidRPr="00C94A89">
      <w:rPr>
        <w:rFonts w:ascii="Times New Roman" w:hAnsi="Times New Roman" w:cs="Times New Roman"/>
        <w:color w:val="auto"/>
      </w:rPr>
      <w:fldChar w:fldCharType="separate"/>
    </w:r>
    <w:r w:rsidRPr="00C94A89">
      <w:rPr>
        <w:rFonts w:ascii="Times New Roman" w:eastAsia="Calibri" w:hAnsi="Times New Roman" w:cs="Times New Roman"/>
        <w:b/>
        <w:noProof/>
        <w:color w:val="auto"/>
        <w:sz w:val="22"/>
      </w:rPr>
      <w:t>1</w:t>
    </w:r>
    <w:r w:rsidRPr="00C94A89">
      <w:rPr>
        <w:rFonts w:ascii="Times New Roman" w:eastAsia="Calibri" w:hAnsi="Times New Roman" w:cs="Times New Roman"/>
        <w:b/>
        <w:color w:val="auto"/>
        <w:sz w:val="22"/>
      </w:rPr>
      <w:fldChar w:fldCharType="end"/>
    </w:r>
    <w:r w:rsidRPr="00C94A89">
      <w:rPr>
        <w:rFonts w:ascii="Times New Roman" w:eastAsia="Calibri" w:hAnsi="Times New Roman" w:cs="Times New Roman"/>
        <w:color w:val="auto"/>
        <w:sz w:val="22"/>
      </w:rPr>
      <w:t xml:space="preserve"> din </w:t>
    </w:r>
    <w:r w:rsidRPr="00C94A89">
      <w:rPr>
        <w:rFonts w:ascii="Times New Roman" w:hAnsi="Times New Roman" w:cs="Times New Roman"/>
        <w:color w:val="auto"/>
      </w:rPr>
      <w:fldChar w:fldCharType="begin"/>
    </w:r>
    <w:r w:rsidRPr="00C94A89">
      <w:rPr>
        <w:rFonts w:ascii="Times New Roman" w:hAnsi="Times New Roman" w:cs="Times New Roman"/>
        <w:color w:val="auto"/>
      </w:rPr>
      <w:instrText xml:space="preserve"> NUMPAGES   \* MERGEFORMAT </w:instrText>
    </w:r>
    <w:r w:rsidRPr="00C94A89">
      <w:rPr>
        <w:rFonts w:ascii="Times New Roman" w:hAnsi="Times New Roman" w:cs="Times New Roman"/>
        <w:color w:val="auto"/>
      </w:rPr>
      <w:fldChar w:fldCharType="separate"/>
    </w:r>
    <w:r w:rsidRPr="00C94A89">
      <w:rPr>
        <w:rFonts w:ascii="Times New Roman" w:eastAsia="Calibri" w:hAnsi="Times New Roman" w:cs="Times New Roman"/>
        <w:b/>
        <w:noProof/>
        <w:color w:val="auto"/>
        <w:sz w:val="22"/>
      </w:rPr>
      <w:t>2</w:t>
    </w:r>
    <w:r w:rsidRPr="00C94A89">
      <w:rPr>
        <w:rFonts w:ascii="Times New Roman" w:eastAsia="Calibri" w:hAnsi="Times New Roman" w:cs="Times New Roman"/>
        <w:b/>
        <w:color w:val="auto"/>
        <w:sz w:val="22"/>
      </w:rPr>
      <w:fldChar w:fldCharType="end"/>
    </w:r>
    <w:r w:rsidRPr="00C94A89">
      <w:rPr>
        <w:rFonts w:ascii="Times New Roman" w:eastAsia="Calibri" w:hAnsi="Times New Roman" w:cs="Times New Roman"/>
        <w:color w:val="auto"/>
        <w:sz w:val="22"/>
      </w:rPr>
      <w:t xml:space="preserve"> </w:t>
    </w:r>
  </w:p>
  <w:p w:rsidR="006A35E1" w:rsidRDefault="00C94A89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color w:val="000000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5E1" w:rsidRDefault="00C94A89">
    <w:pPr>
      <w:spacing w:after="0" w:line="259" w:lineRule="auto"/>
      <w:ind w:left="0" w:right="0" w:firstLine="0"/>
      <w:jc w:val="center"/>
    </w:pPr>
    <w:r>
      <w:rPr>
        <w:rFonts w:ascii="Calibri" w:eastAsia="Calibri" w:hAnsi="Calibri" w:cs="Calibri"/>
        <w:color w:val="4F81BD"/>
        <w:sz w:val="22"/>
      </w:rP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color w:val="4F81BD"/>
        <w:sz w:val="22"/>
      </w:rPr>
      <w:t>1</w:t>
    </w:r>
    <w:r>
      <w:rPr>
        <w:rFonts w:ascii="Calibri" w:eastAsia="Calibri" w:hAnsi="Calibri" w:cs="Calibri"/>
        <w:b/>
        <w:color w:val="4F81BD"/>
        <w:sz w:val="22"/>
      </w:rPr>
      <w:fldChar w:fldCharType="end"/>
    </w:r>
    <w:r>
      <w:rPr>
        <w:rFonts w:ascii="Calibri" w:eastAsia="Calibri" w:hAnsi="Calibri" w:cs="Calibri"/>
        <w:color w:val="4F81BD"/>
        <w:sz w:val="22"/>
      </w:rPr>
      <w:t xml:space="preserve"> din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Calibri" w:eastAsia="Calibri" w:hAnsi="Calibri" w:cs="Calibri"/>
        <w:b/>
        <w:color w:val="4F81BD"/>
        <w:sz w:val="22"/>
      </w:rPr>
      <w:t>3</w:t>
    </w:r>
    <w:r>
      <w:rPr>
        <w:rFonts w:ascii="Calibri" w:eastAsia="Calibri" w:hAnsi="Calibri" w:cs="Calibri"/>
        <w:b/>
        <w:color w:val="4F81BD"/>
        <w:sz w:val="22"/>
      </w:rPr>
      <w:fldChar w:fldCharType="end"/>
    </w:r>
    <w:r>
      <w:rPr>
        <w:rFonts w:ascii="Calibri" w:eastAsia="Calibri" w:hAnsi="Calibri" w:cs="Calibri"/>
        <w:color w:val="4F81BD"/>
        <w:sz w:val="22"/>
      </w:rPr>
      <w:t xml:space="preserve"> </w:t>
    </w:r>
  </w:p>
  <w:p w:rsidR="006A35E1" w:rsidRDefault="00C94A89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color w:val="000000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94A89">
      <w:pPr>
        <w:spacing w:after="0" w:line="240" w:lineRule="auto"/>
      </w:pPr>
      <w:r>
        <w:separator/>
      </w:r>
    </w:p>
  </w:footnote>
  <w:footnote w:type="continuationSeparator" w:id="0">
    <w:p w:rsidR="00000000" w:rsidRDefault="00C94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9328B"/>
    <w:multiLevelType w:val="hybridMultilevel"/>
    <w:tmpl w:val="9CAE34C6"/>
    <w:lvl w:ilvl="0" w:tplc="D7F2DDE2">
      <w:start w:val="1"/>
      <w:numFmt w:val="bullet"/>
      <w:lvlText w:val="-"/>
      <w:lvlJc w:val="left"/>
      <w:pPr>
        <w:ind w:left="1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945162">
      <w:start w:val="1"/>
      <w:numFmt w:val="bullet"/>
      <w:lvlText w:val="o"/>
      <w:lvlJc w:val="left"/>
      <w:pPr>
        <w:ind w:left="1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3003E72">
      <w:start w:val="1"/>
      <w:numFmt w:val="bullet"/>
      <w:lvlText w:val="▪"/>
      <w:lvlJc w:val="left"/>
      <w:pPr>
        <w:ind w:left="2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F0709A">
      <w:start w:val="1"/>
      <w:numFmt w:val="bullet"/>
      <w:lvlText w:val="•"/>
      <w:lvlJc w:val="left"/>
      <w:pPr>
        <w:ind w:left="2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2CFE90">
      <w:start w:val="1"/>
      <w:numFmt w:val="bullet"/>
      <w:lvlText w:val="o"/>
      <w:lvlJc w:val="left"/>
      <w:pPr>
        <w:ind w:left="3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6C0462">
      <w:start w:val="1"/>
      <w:numFmt w:val="bullet"/>
      <w:lvlText w:val="▪"/>
      <w:lvlJc w:val="left"/>
      <w:pPr>
        <w:ind w:left="4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B26070">
      <w:start w:val="1"/>
      <w:numFmt w:val="bullet"/>
      <w:lvlText w:val="•"/>
      <w:lvlJc w:val="left"/>
      <w:pPr>
        <w:ind w:left="5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66D5AA">
      <w:start w:val="1"/>
      <w:numFmt w:val="bullet"/>
      <w:lvlText w:val="o"/>
      <w:lvlJc w:val="left"/>
      <w:pPr>
        <w:ind w:left="5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742F24">
      <w:start w:val="1"/>
      <w:numFmt w:val="bullet"/>
      <w:lvlText w:val="▪"/>
      <w:lvlJc w:val="left"/>
      <w:pPr>
        <w:ind w:left="6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F4E7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E1"/>
    <w:rsid w:val="006A35E1"/>
    <w:rsid w:val="00C9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C214C-968E-4F8E-A241-DB250D0B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68" w:lineRule="auto"/>
      <w:ind w:left="10" w:right="3237" w:hanging="10"/>
      <w:jc w:val="both"/>
    </w:pPr>
    <w:rPr>
      <w:rFonts w:ascii="Onest" w:eastAsia="Onest" w:hAnsi="Onest" w:cs="Onest"/>
      <w:color w:val="1F4E79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4A89"/>
    <w:rPr>
      <w:rFonts w:ascii="Onest" w:eastAsia="Onest" w:hAnsi="Onest" w:cs="Onest"/>
      <w:color w:val="1F4E79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2996</Characters>
  <Application>Microsoft Office Word</Application>
  <DocSecurity>4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Peiu</dc:creator>
  <cp:keywords/>
  <cp:lastModifiedBy>Veaceslav Peiu</cp:lastModifiedBy>
  <cp:revision>2</cp:revision>
  <dcterms:created xsi:type="dcterms:W3CDTF">2026-02-18T11:49:00Z</dcterms:created>
  <dcterms:modified xsi:type="dcterms:W3CDTF">2026-02-18T11:49:00Z</dcterms:modified>
</cp:coreProperties>
</file>