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118"/>
        <w:tblpPr w:leftFromText="180" w:rightFromText="180" w:vertAnchor="page" w:horzAnchor="page" w:tblpX="1529" w:tblpY="259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848"/>
        <w:gridCol w:w="920"/>
        <w:gridCol w:w="1245"/>
        <w:gridCol w:w="3379"/>
        <w:gridCol w:w="1849"/>
      </w:tblGrid>
      <w:tr w14:paraId="040DE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48" w:type="dxa"/>
          </w:tcPr>
          <w:p w14:paraId="33B46D74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vertAlign w:val="baseline"/>
                <w:lang w:val="en-US"/>
              </w:rPr>
              <w:t>Tip abonament</w:t>
            </w:r>
          </w:p>
        </w:tc>
        <w:tc>
          <w:tcPr>
            <w:tcW w:w="920" w:type="dxa"/>
          </w:tcPr>
          <w:p w14:paraId="16F7BAE1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vertAlign w:val="baseline"/>
                <w:lang w:val="en-US"/>
              </w:rPr>
              <w:t>Un m</w:t>
            </w: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vertAlign w:val="baseline"/>
                <w:lang/>
              </w:rPr>
              <w:t>ăsură</w:t>
            </w:r>
          </w:p>
        </w:tc>
        <w:tc>
          <w:tcPr>
            <w:tcW w:w="1245" w:type="dxa"/>
          </w:tcPr>
          <w:p w14:paraId="34FF129C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vertAlign w:val="baseline"/>
                <w:lang/>
              </w:rPr>
              <w:t>Cantitatea</w:t>
            </w:r>
          </w:p>
        </w:tc>
        <w:tc>
          <w:tcPr>
            <w:tcW w:w="3379" w:type="dxa"/>
          </w:tcPr>
          <w:p w14:paraId="60988209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vertAlign w:val="baseline"/>
                <w:lang/>
              </w:rPr>
              <w:t>Specificația tehnică</w:t>
            </w:r>
          </w:p>
        </w:tc>
        <w:tc>
          <w:tcPr>
            <w:tcW w:w="1849" w:type="dxa"/>
          </w:tcPr>
          <w:p w14:paraId="763F46BA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vertAlign w:val="baseline"/>
                <w:lang/>
              </w:rPr>
              <w:t>Valoarea estimativă</w:t>
            </w:r>
          </w:p>
        </w:tc>
      </w:tr>
      <w:tr w14:paraId="3BE13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48" w:type="dxa"/>
          </w:tcPr>
          <w:p w14:paraId="26369BF2"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/>
              </w:rPr>
              <w:t>Abonamente de 3 luni și 6 luni</w:t>
            </w:r>
          </w:p>
        </w:tc>
        <w:tc>
          <w:tcPr>
            <w:tcW w:w="920" w:type="dxa"/>
          </w:tcPr>
          <w:p w14:paraId="1804C21B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/>
              </w:rPr>
              <w:t>buc</w:t>
            </w:r>
          </w:p>
        </w:tc>
        <w:tc>
          <w:tcPr>
            <w:tcW w:w="1245" w:type="dxa"/>
          </w:tcPr>
          <w:p w14:paraId="68C07ED5"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/>
              </w:rPr>
              <w:t>400 000</w:t>
            </w:r>
          </w:p>
        </w:tc>
        <w:tc>
          <w:tcPr>
            <w:tcW w:w="3379" w:type="dxa"/>
            <w:shd w:val="clear"/>
            <w:vAlign w:val="top"/>
          </w:tcPr>
          <w:p w14:paraId="1A6823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Abonamentul trebuie să conțină:</w:t>
            </w:r>
          </w:p>
          <w:p w14:paraId="4072EA4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Serie și număr de ordine consecutiv;</w:t>
            </w:r>
          </w:p>
          <w:p w14:paraId="46655F4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-Anul;</w:t>
            </w:r>
          </w:p>
          <w:p w14:paraId="6E4864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-Luna;</w:t>
            </w:r>
          </w:p>
          <w:p w14:paraId="39CFF0B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-Tipul abonamentului </w:t>
            </w:r>
          </w:p>
          <w:p w14:paraId="13CF4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-Tirajul;</w:t>
            </w:r>
          </w:p>
          <w:p w14:paraId="56CD90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-Valoarea nominală;</w:t>
            </w:r>
          </w:p>
          <w:p w14:paraId="0B211C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-Elemente de siguranță împot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riva contrafacerii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hologramă a cărei culoare se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/>
              </w:rPr>
              <w:t xml:space="preserve">va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fiecare lună, vopsea reflectori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zantă, gravare laser,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/>
              </w:rPr>
              <w:t>linii neregulate invizibile, bar code și alte elemente de siguranță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);</w:t>
            </w:r>
          </w:p>
          <w:p w14:paraId="6D724B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-Logoul întreprinderii și organelor ierarhic superioare</w:t>
            </w:r>
          </w:p>
          <w:p w14:paraId="39AD4189">
            <w:pPr>
              <w:spacing w:after="0" w:line="240" w:lineRule="auto"/>
              <w:rPr>
                <w:rFonts w:hint="default" w:ascii="Times New Roman" w:hAnsi="Times New Roman" w:cs="Times New Roman" w:eastAsiaTheme="minorEastAsia"/>
                <w:sz w:val="24"/>
                <w:szCs w:val="24"/>
                <w:lang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Abonamentele urmează a fi imprimate pe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/>
              </w:rPr>
              <w:t>carton cu densitatea minimă 350 g/m.p.</w:t>
            </w:r>
          </w:p>
        </w:tc>
        <w:tc>
          <w:tcPr>
            <w:tcW w:w="1849" w:type="dxa"/>
          </w:tcPr>
          <w:p w14:paraId="7AB0D36A"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</w:p>
        </w:tc>
      </w:tr>
      <w:tr w14:paraId="5C1D9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48" w:type="dxa"/>
          </w:tcPr>
          <w:p w14:paraId="10AE4589"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/>
              </w:rPr>
              <w:t>Abonamente lunare</w:t>
            </w:r>
          </w:p>
        </w:tc>
        <w:tc>
          <w:tcPr>
            <w:tcW w:w="920" w:type="dxa"/>
          </w:tcPr>
          <w:p w14:paraId="2238A412"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  <w:t>buc</w:t>
            </w:r>
          </w:p>
        </w:tc>
        <w:tc>
          <w:tcPr>
            <w:tcW w:w="1245" w:type="dxa"/>
          </w:tcPr>
          <w:p w14:paraId="617DCE7F"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/>
              </w:rPr>
              <w:t>400 000</w:t>
            </w:r>
          </w:p>
        </w:tc>
        <w:tc>
          <w:tcPr>
            <w:tcW w:w="3379" w:type="dxa"/>
            <w:shd w:val="clear"/>
            <w:vAlign w:val="top"/>
          </w:tcPr>
          <w:p w14:paraId="39DEB36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Abonamentul trebuie să conțină:</w:t>
            </w:r>
          </w:p>
          <w:p w14:paraId="1157B7D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Serie și număr de ordine consecutiv;</w:t>
            </w:r>
          </w:p>
          <w:p w14:paraId="2F30E8F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-Anul;</w:t>
            </w:r>
          </w:p>
          <w:p w14:paraId="0F1829F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-Luna;</w:t>
            </w:r>
          </w:p>
          <w:p w14:paraId="7FAAC19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-Tipul abonamentului </w:t>
            </w:r>
          </w:p>
          <w:p w14:paraId="482FE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-Tirajul;</w:t>
            </w:r>
          </w:p>
          <w:p w14:paraId="13FDD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-Valoarea nominală;</w:t>
            </w:r>
          </w:p>
          <w:p w14:paraId="2AC37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-Elemente de siguranță împotriva contrafacerii (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hologramă a cărei culoare se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va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fiecare lună, vopsea reflectorizantă, gravare laser,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linii neregulate invizibile, bar code și alte elemente de siguranță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);</w:t>
            </w:r>
          </w:p>
          <w:p w14:paraId="6FAF4D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-Logoul întreprinderii și organelor ierarhic superioare</w:t>
            </w:r>
          </w:p>
          <w:p w14:paraId="2DF8FA77">
            <w:pPr>
              <w:spacing w:after="0" w:line="240" w:lineRule="auto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ro-RO"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Abonamentele urmează a fi imprimate pe carton cu densitatea minimă 3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 g/m.p.</w:t>
            </w:r>
          </w:p>
        </w:tc>
        <w:tc>
          <w:tcPr>
            <w:tcW w:w="1849" w:type="dxa"/>
          </w:tcPr>
          <w:p w14:paraId="51D93246">
            <w:pPr>
              <w:rPr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</w:p>
        </w:tc>
      </w:tr>
      <w:tr w14:paraId="788B4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48" w:type="dxa"/>
          </w:tcPr>
          <w:p w14:paraId="6B40B413"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/>
              </w:rPr>
              <w:t>Total</w:t>
            </w:r>
          </w:p>
        </w:tc>
        <w:tc>
          <w:tcPr>
            <w:tcW w:w="920" w:type="dxa"/>
          </w:tcPr>
          <w:p w14:paraId="466A81DC"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/>
              </w:rPr>
              <w:t>buc</w:t>
            </w:r>
          </w:p>
        </w:tc>
        <w:tc>
          <w:tcPr>
            <w:tcW w:w="1245" w:type="dxa"/>
          </w:tcPr>
          <w:p w14:paraId="799A024B"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/>
              </w:rPr>
              <w:t>800 000</w:t>
            </w:r>
          </w:p>
        </w:tc>
        <w:tc>
          <w:tcPr>
            <w:tcW w:w="3379" w:type="dxa"/>
          </w:tcPr>
          <w:p w14:paraId="593B44E4"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849" w:type="dxa"/>
          </w:tcPr>
          <w:p w14:paraId="09C7CFE7"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/>
              </w:rPr>
              <w:t>400 000,00</w:t>
            </w:r>
          </w:p>
        </w:tc>
      </w:tr>
    </w:tbl>
    <w:p w14:paraId="23120E0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/>
        </w:rPr>
        <w:t>Caiet de sarcini</w:t>
      </w:r>
    </w:p>
    <w:p w14:paraId="5922A32E">
      <w:pPr>
        <w:rPr>
          <w:lang w:val="en-US"/>
        </w:rPr>
      </w:pPr>
      <w:bookmarkStart w:id="0" w:name="_GoBack"/>
      <w:bookmarkEnd w:id="0"/>
    </w:p>
    <w:p w14:paraId="6A3CF447">
      <w:pPr>
        <w:rPr>
          <w:lang w:val="en-US"/>
        </w:rPr>
      </w:pPr>
    </w:p>
    <w:sectPr>
      <w:type w:val="continuous"/>
      <w:pgSz w:w="11905" w:h="16838"/>
      <w:pgMar w:top="1800" w:right="1440" w:bottom="1800" w:left="1440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05C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27DE4781"/>
    <w:rsid w:val="3D2E204C"/>
    <w:rsid w:val="65633E65"/>
    <w:rsid w:val="732F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qFormat="1"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qFormat="1"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qFormat="1"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qFormat/>
    <w:uiPriority w:val="0"/>
    <w:rPr>
      <w:rFonts w:ascii="Courier New" w:hAnsi="Courier New" w:cs="Courier New"/>
    </w:rPr>
  </w:style>
  <w:style w:type="character" w:styleId="14">
    <w:name w:val="FollowedHyperlink"/>
    <w:basedOn w:val="11"/>
    <w:qFormat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endnote reference"/>
    <w:basedOn w:val="11"/>
    <w:qFormat/>
    <w:uiPriority w:val="0"/>
    <w:rPr>
      <w:vertAlign w:val="superscript"/>
    </w:rPr>
  </w:style>
  <w:style w:type="character" w:styleId="18">
    <w:name w:val="HTML Acronym"/>
    <w:basedOn w:val="11"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uiPriority w:val="0"/>
    <w:rPr>
      <w:color w:val="0000FF"/>
      <w:u w:val="single"/>
    </w:rPr>
  </w:style>
  <w:style w:type="character" w:styleId="21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uiPriority w:val="0"/>
  </w:style>
  <w:style w:type="character" w:styleId="24">
    <w:name w:val="line number"/>
    <w:basedOn w:val="11"/>
    <w:uiPriority w:val="0"/>
  </w:style>
  <w:style w:type="character" w:styleId="25">
    <w:name w:val="HTML Definition"/>
    <w:basedOn w:val="11"/>
    <w:uiPriority w:val="0"/>
    <w:rPr>
      <w:i/>
      <w:iCs/>
    </w:rPr>
  </w:style>
  <w:style w:type="character" w:styleId="26">
    <w:name w:val="HTML Variable"/>
    <w:basedOn w:val="11"/>
    <w:uiPriority w:val="0"/>
    <w:rPr>
      <w:i/>
      <w:iCs/>
    </w:rPr>
  </w:style>
  <w:style w:type="character" w:styleId="27">
    <w:name w:val="HTML Typewriter"/>
    <w:basedOn w:val="11"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uiPriority w:val="0"/>
    <w:rPr>
      <w:i/>
      <w:iCs/>
    </w:rPr>
  </w:style>
  <w:style w:type="paragraph" w:styleId="30">
    <w:name w:val="Balloon Text"/>
    <w:basedOn w:val="1"/>
    <w:uiPriority w:val="0"/>
    <w:rPr>
      <w:sz w:val="16"/>
      <w:szCs w:val="16"/>
    </w:rPr>
  </w:style>
  <w:style w:type="paragraph" w:styleId="31">
    <w:name w:val="List 5"/>
    <w:basedOn w:val="1"/>
    <w:uiPriority w:val="0"/>
    <w:pPr>
      <w:ind w:left="1800" w:hanging="360"/>
    </w:pPr>
  </w:style>
  <w:style w:type="paragraph" w:styleId="32">
    <w:name w:val="List Continue"/>
    <w:basedOn w:val="1"/>
    <w:uiPriority w:val="0"/>
    <w:pPr>
      <w:spacing w:after="120"/>
      <w:ind w:left="360"/>
    </w:pPr>
  </w:style>
  <w:style w:type="paragraph" w:styleId="33">
    <w:name w:val="Body Text 2"/>
    <w:basedOn w:val="1"/>
    <w:uiPriority w:val="0"/>
    <w:pPr>
      <w:spacing w:after="120" w:line="480" w:lineRule="auto"/>
    </w:pPr>
  </w:style>
  <w:style w:type="paragraph" w:styleId="34">
    <w:name w:val="List Number 5"/>
    <w:basedOn w:val="1"/>
    <w:uiPriority w:val="0"/>
    <w:pPr>
      <w:numPr>
        <w:ilvl w:val="0"/>
        <w:numId w:val="1"/>
      </w:numPr>
    </w:pPr>
  </w:style>
  <w:style w:type="paragraph" w:styleId="35">
    <w:name w:val="Closing"/>
    <w:basedOn w:val="1"/>
    <w:uiPriority w:val="0"/>
    <w:pPr>
      <w:ind w:left="4320"/>
    </w:pPr>
  </w:style>
  <w:style w:type="paragraph" w:styleId="36">
    <w:name w:val="Normal Indent"/>
    <w:basedOn w:val="1"/>
    <w:uiPriority w:val="0"/>
    <w:pPr>
      <w:ind w:left="708"/>
    </w:pPr>
  </w:style>
  <w:style w:type="paragraph" w:styleId="37">
    <w:name w:val="envelope return"/>
    <w:basedOn w:val="1"/>
    <w:uiPriority w:val="0"/>
    <w:rPr>
      <w:rFonts w:ascii="Arial" w:hAnsi="Arial" w:cs="Arial"/>
      <w:sz w:val="20"/>
    </w:rPr>
  </w:style>
  <w:style w:type="paragraph" w:styleId="38">
    <w:name w:val="Plain Text"/>
    <w:basedOn w:val="1"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uiPriority w:val="0"/>
    <w:pPr>
      <w:jc w:val="left"/>
    </w:pPr>
  </w:style>
  <w:style w:type="paragraph" w:styleId="43">
    <w:name w:val="index 1"/>
    <w:basedOn w:val="1"/>
    <w:next w:val="1"/>
    <w:uiPriority w:val="0"/>
  </w:style>
  <w:style w:type="paragraph" w:styleId="44">
    <w:name w:val="annotation subject"/>
    <w:basedOn w:val="42"/>
    <w:next w:val="42"/>
    <w:uiPriority w:val="0"/>
    <w:rPr>
      <w:b/>
      <w:bCs/>
    </w:rPr>
  </w:style>
  <w:style w:type="paragraph" w:styleId="45">
    <w:name w:val="Document Map"/>
    <w:basedOn w:val="1"/>
    <w:uiPriority w:val="0"/>
    <w:pPr>
      <w:shd w:val="clear" w:color="auto" w:fill="000080"/>
    </w:pPr>
  </w:style>
  <w:style w:type="paragraph" w:styleId="46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uiPriority w:val="0"/>
    <w:pPr>
      <w:ind w:left="2940" w:leftChars="1400"/>
    </w:pPr>
  </w:style>
  <w:style w:type="paragraph" w:styleId="48">
    <w:name w:val="index 2"/>
    <w:basedOn w:val="1"/>
    <w:next w:val="1"/>
    <w:uiPriority w:val="0"/>
    <w:pPr>
      <w:ind w:left="200" w:leftChars="200"/>
    </w:pPr>
  </w:style>
  <w:style w:type="paragraph" w:styleId="49">
    <w:name w:val="List Number 3"/>
    <w:basedOn w:val="1"/>
    <w:uiPriority w:val="0"/>
    <w:pPr>
      <w:numPr>
        <w:ilvl w:val="0"/>
        <w:numId w:val="2"/>
      </w:numPr>
    </w:pPr>
  </w:style>
  <w:style w:type="paragraph" w:styleId="50">
    <w:name w:val="HTML Address"/>
    <w:basedOn w:val="1"/>
    <w:uiPriority w:val="0"/>
    <w:rPr>
      <w:i/>
      <w:iCs/>
    </w:rPr>
  </w:style>
  <w:style w:type="paragraph" w:styleId="51">
    <w:name w:val="index 7"/>
    <w:basedOn w:val="1"/>
    <w:next w:val="1"/>
    <w:uiPriority w:val="0"/>
    <w:pPr>
      <w:ind w:left="1200" w:leftChars="1200"/>
    </w:pPr>
  </w:style>
  <w:style w:type="paragraph" w:styleId="52">
    <w:name w:val="index 3"/>
    <w:basedOn w:val="1"/>
    <w:next w:val="1"/>
    <w:uiPriority w:val="0"/>
    <w:pPr>
      <w:ind w:left="400" w:leftChars="400"/>
    </w:pPr>
  </w:style>
  <w:style w:type="paragraph" w:styleId="53">
    <w:name w:val="index 5"/>
    <w:basedOn w:val="1"/>
    <w:next w:val="1"/>
    <w:uiPriority w:val="0"/>
    <w:pPr>
      <w:ind w:left="800" w:leftChars="800"/>
    </w:pPr>
  </w:style>
  <w:style w:type="paragraph" w:styleId="54">
    <w:name w:val="index 4"/>
    <w:basedOn w:val="1"/>
    <w:next w:val="1"/>
    <w:uiPriority w:val="0"/>
    <w:pPr>
      <w:ind w:left="600" w:leftChars="600"/>
    </w:pPr>
  </w:style>
  <w:style w:type="paragraph" w:styleId="55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uiPriority w:val="0"/>
    <w:pPr>
      <w:ind w:left="3360" w:leftChars="1600"/>
    </w:pPr>
  </w:style>
  <w:style w:type="paragraph" w:styleId="57">
    <w:name w:val="toc 7"/>
    <w:basedOn w:val="1"/>
    <w:next w:val="1"/>
    <w:uiPriority w:val="0"/>
    <w:pPr>
      <w:ind w:left="2520" w:leftChars="1200"/>
    </w:pPr>
  </w:style>
  <w:style w:type="paragraph" w:styleId="58">
    <w:name w:val="index 6"/>
    <w:basedOn w:val="1"/>
    <w:next w:val="1"/>
    <w:uiPriority w:val="0"/>
    <w:pPr>
      <w:ind w:left="1000" w:leftChars="1000"/>
    </w:pPr>
  </w:style>
  <w:style w:type="paragraph" w:styleId="59">
    <w:name w:val="envelope address"/>
    <w:basedOn w:val="1"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uiPriority w:val="0"/>
    <w:pPr>
      <w:ind w:left="1400" w:leftChars="1400"/>
    </w:pPr>
  </w:style>
  <w:style w:type="paragraph" w:styleId="61">
    <w:name w:val="Body Text"/>
    <w:basedOn w:val="1"/>
    <w:uiPriority w:val="0"/>
    <w:pPr>
      <w:spacing w:after="120"/>
    </w:pPr>
  </w:style>
  <w:style w:type="paragraph" w:styleId="62">
    <w:name w:val="index 9"/>
    <w:basedOn w:val="1"/>
    <w:next w:val="1"/>
    <w:uiPriority w:val="0"/>
    <w:pPr>
      <w:ind w:left="1600" w:leftChars="1600"/>
    </w:pPr>
  </w:style>
  <w:style w:type="paragraph" w:styleId="63">
    <w:name w:val="List Number 4"/>
    <w:basedOn w:val="1"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uiPriority w:val="0"/>
  </w:style>
  <w:style w:type="paragraph" w:styleId="67">
    <w:name w:val="table of authorities"/>
    <w:basedOn w:val="1"/>
    <w:next w:val="1"/>
    <w:uiPriority w:val="0"/>
    <w:pPr>
      <w:ind w:left="420" w:leftChars="200"/>
    </w:pPr>
  </w:style>
  <w:style w:type="paragraph" w:styleId="68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qFormat/>
    <w:uiPriority w:val="0"/>
    <w:pPr>
      <w:ind w:left="2100" w:leftChars="1000"/>
    </w:pPr>
  </w:style>
  <w:style w:type="paragraph" w:styleId="70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71">
    <w:name w:val="toc 3"/>
    <w:basedOn w:val="1"/>
    <w:next w:val="1"/>
    <w:uiPriority w:val="0"/>
    <w:pPr>
      <w:ind w:left="840" w:leftChars="400"/>
    </w:pPr>
  </w:style>
  <w:style w:type="paragraph" w:styleId="72">
    <w:name w:val="toc 2"/>
    <w:basedOn w:val="1"/>
    <w:next w:val="1"/>
    <w:uiPriority w:val="0"/>
    <w:pPr>
      <w:ind w:left="420" w:leftChars="200"/>
    </w:pPr>
  </w:style>
  <w:style w:type="paragraph" w:styleId="73">
    <w:name w:val="toc 4"/>
    <w:basedOn w:val="1"/>
    <w:next w:val="1"/>
    <w:uiPriority w:val="0"/>
    <w:pPr>
      <w:ind w:left="1260" w:leftChars="600"/>
    </w:pPr>
  </w:style>
  <w:style w:type="paragraph" w:styleId="74">
    <w:name w:val="toc 5"/>
    <w:basedOn w:val="1"/>
    <w:next w:val="1"/>
    <w:uiPriority w:val="0"/>
    <w:pPr>
      <w:ind w:left="1680" w:leftChars="800"/>
    </w:pPr>
  </w:style>
  <w:style w:type="paragraph" w:styleId="75">
    <w:name w:val="Note Heading"/>
    <w:basedOn w:val="1"/>
    <w:next w:val="1"/>
    <w:qFormat/>
    <w:uiPriority w:val="0"/>
  </w:style>
  <w:style w:type="paragraph" w:styleId="76">
    <w:name w:val="Date"/>
    <w:basedOn w:val="1"/>
    <w:next w:val="1"/>
    <w:uiPriority w:val="0"/>
  </w:style>
  <w:style w:type="paragraph" w:styleId="77">
    <w:name w:val="List Bullet 5"/>
    <w:basedOn w:val="1"/>
    <w:qFormat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qFormat/>
    <w:uiPriority w:val="0"/>
    <w:pPr>
      <w:ind w:firstLine="210"/>
    </w:pPr>
  </w:style>
  <w:style w:type="paragraph" w:styleId="79">
    <w:name w:val="Body Text First Indent 2"/>
    <w:basedOn w:val="80"/>
    <w:qFormat/>
    <w:uiPriority w:val="0"/>
    <w:pPr>
      <w:ind w:firstLine="210"/>
    </w:pPr>
  </w:style>
  <w:style w:type="paragraph" w:styleId="80">
    <w:name w:val="Body Text Indent"/>
    <w:basedOn w:val="1"/>
    <w:uiPriority w:val="0"/>
    <w:pPr>
      <w:spacing w:after="120"/>
      <w:ind w:left="360"/>
    </w:pPr>
  </w:style>
  <w:style w:type="paragraph" w:styleId="81">
    <w:name w:val="List Bullet 4"/>
    <w:basedOn w:val="1"/>
    <w:uiPriority w:val="0"/>
    <w:pPr>
      <w:numPr>
        <w:ilvl w:val="0"/>
        <w:numId w:val="5"/>
      </w:numPr>
    </w:pPr>
  </w:style>
  <w:style w:type="paragraph" w:styleId="82">
    <w:name w:val="List Bullet"/>
    <w:basedOn w:val="1"/>
    <w:qFormat/>
    <w:uiPriority w:val="0"/>
    <w:pPr>
      <w:numPr>
        <w:ilvl w:val="0"/>
        <w:numId w:val="6"/>
      </w:numPr>
    </w:pPr>
  </w:style>
  <w:style w:type="paragraph" w:styleId="83">
    <w:name w:val="List Bullet 2"/>
    <w:basedOn w:val="1"/>
    <w:uiPriority w:val="0"/>
    <w:pPr>
      <w:numPr>
        <w:ilvl w:val="0"/>
        <w:numId w:val="7"/>
      </w:numPr>
    </w:pPr>
  </w:style>
  <w:style w:type="paragraph" w:styleId="84">
    <w:name w:val="List Bullet 3"/>
    <w:basedOn w:val="1"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uiPriority w:val="0"/>
    <w:pPr>
      <w:numPr>
        <w:ilvl w:val="0"/>
        <w:numId w:val="9"/>
      </w:numPr>
    </w:pPr>
  </w:style>
  <w:style w:type="paragraph" w:styleId="88">
    <w:name w:val="List Number 2"/>
    <w:basedOn w:val="1"/>
    <w:uiPriority w:val="0"/>
    <w:pPr>
      <w:numPr>
        <w:ilvl w:val="0"/>
        <w:numId w:val="10"/>
      </w:numPr>
    </w:pPr>
  </w:style>
  <w:style w:type="paragraph" w:styleId="89">
    <w:name w:val="List"/>
    <w:basedOn w:val="1"/>
    <w:qFormat/>
    <w:uiPriority w:val="0"/>
    <w:pPr>
      <w:ind w:left="360" w:hanging="360"/>
    </w:pPr>
  </w:style>
  <w:style w:type="paragraph" w:styleId="90">
    <w:name w:val="Normal (Web)"/>
    <w:basedOn w:val="1"/>
    <w:qFormat/>
    <w:uiPriority w:val="0"/>
    <w:rPr>
      <w:sz w:val="24"/>
      <w:szCs w:val="24"/>
    </w:rPr>
  </w:style>
  <w:style w:type="paragraph" w:styleId="91">
    <w:name w:val="Body Text 3"/>
    <w:basedOn w:val="1"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uiPriority w:val="0"/>
    <w:pPr>
      <w:ind w:left="4320"/>
    </w:pPr>
  </w:style>
  <w:style w:type="paragraph" w:styleId="95">
    <w:name w:val="Salutation"/>
    <w:basedOn w:val="1"/>
    <w:next w:val="1"/>
    <w:qFormat/>
    <w:uiPriority w:val="0"/>
  </w:style>
  <w:style w:type="paragraph" w:styleId="96">
    <w:name w:val="List Continue 2"/>
    <w:basedOn w:val="1"/>
    <w:uiPriority w:val="0"/>
    <w:pPr>
      <w:spacing w:after="120"/>
      <w:ind w:left="720"/>
    </w:pPr>
  </w:style>
  <w:style w:type="paragraph" w:styleId="97">
    <w:name w:val="List Continue 3"/>
    <w:basedOn w:val="1"/>
    <w:qFormat/>
    <w:uiPriority w:val="0"/>
    <w:pPr>
      <w:spacing w:after="120"/>
      <w:ind w:left="1080"/>
    </w:pPr>
  </w:style>
  <w:style w:type="paragraph" w:styleId="98">
    <w:name w:val="List Continue 4"/>
    <w:basedOn w:val="1"/>
    <w:uiPriority w:val="0"/>
    <w:pPr>
      <w:spacing w:after="120"/>
      <w:ind w:left="1440"/>
    </w:pPr>
  </w:style>
  <w:style w:type="paragraph" w:styleId="99">
    <w:name w:val="List Continue 5"/>
    <w:basedOn w:val="1"/>
    <w:uiPriority w:val="0"/>
    <w:pPr>
      <w:spacing w:after="120"/>
      <w:ind w:left="1800"/>
    </w:pPr>
  </w:style>
  <w:style w:type="paragraph" w:styleId="100">
    <w:name w:val="List 2"/>
    <w:basedOn w:val="1"/>
    <w:qFormat/>
    <w:uiPriority w:val="0"/>
    <w:pPr>
      <w:ind w:left="720" w:hanging="360"/>
    </w:pPr>
  </w:style>
  <w:style w:type="paragraph" w:styleId="101">
    <w:name w:val="List 3"/>
    <w:basedOn w:val="1"/>
    <w:uiPriority w:val="0"/>
    <w:pPr>
      <w:ind w:left="1080" w:hanging="360"/>
    </w:pPr>
  </w:style>
  <w:style w:type="paragraph" w:styleId="102">
    <w:name w:val="List 4"/>
    <w:basedOn w:val="1"/>
    <w:uiPriority w:val="0"/>
    <w:pPr>
      <w:ind w:left="1440" w:hanging="360"/>
    </w:pPr>
  </w:style>
  <w:style w:type="paragraph" w:styleId="103">
    <w:name w:val="HTML Preformatted"/>
    <w:basedOn w:val="1"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qFormat/>
    <w:uiPriority w:val="0"/>
    <w:pPr>
      <w:spacing w:after="120"/>
      <w:ind w:left="1440" w:right="1440"/>
    </w:pPr>
  </w:style>
  <w:style w:type="paragraph" w:styleId="105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uiPriority w:val="0"/>
  </w:style>
  <w:style w:type="table" w:styleId="107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2025-04-09T06:21:00Z</dcterms:created>
  <dc:creator>Achiziții RTEC</dc:creator>
  <cp:lastModifiedBy>Achiziții RTEC</cp:lastModifiedBy>
  <dcterms:modified xsi:type="dcterms:W3CDTF">2026-05-21T06:14:51Z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F4363F351A3F4943B64984B3FA7061DE_12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