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41" w:tblpY="393"/>
        <w:tblOverlap w:val="never"/>
        <w:tblW w:w="150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419"/>
        <w:gridCol w:w="950"/>
        <w:gridCol w:w="798"/>
        <w:gridCol w:w="891"/>
        <w:gridCol w:w="841"/>
        <w:gridCol w:w="873"/>
        <w:gridCol w:w="806"/>
        <w:gridCol w:w="237"/>
        <w:gridCol w:w="1352"/>
        <w:gridCol w:w="48"/>
        <w:gridCol w:w="1540"/>
        <w:gridCol w:w="81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150" w:type="dxa"/>
            <w:gridSpan w:val="12"/>
            <w:shd w:val="clear" w:color="auto" w:fill="auto"/>
            <w:vAlign w:val="center"/>
          </w:tcPr>
          <w:p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t>Specificații de preț</w:t>
            </w:r>
          </w:p>
        </w:tc>
        <w:tc>
          <w:tcPr>
            <w:tcW w:w="1922" w:type="dxa"/>
            <w:gridSpan w:val="2"/>
          </w:tcPr>
          <w:p>
            <w:pPr>
              <w:pStyle w:val="2"/>
              <w:jc w:val="right"/>
              <w:rPr>
                <w:b w:val="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0" w:type="dxa"/>
            <w:gridSpan w:val="12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[Acest tabel va fi completat de către ofertant în coloanele 5,6,7,8 și 11 la necesitate, iar de către autoritatea contractantă – în coloanele 1,2,3,4,9,10]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bottom w:val="single" w:color="auto" w:sz="4" w:space="0"/>
            </w:tcBorders>
          </w:tcPr>
          <w:p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Numărul  procedurii de achiziție______________din_________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Obiectul de achiziției:</w:t>
            </w:r>
            <w:r>
              <w:rPr>
                <w:rFonts w:hint="default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/>
                <w:b/>
                <w:bCs w:val="0"/>
                <w:i/>
                <w:iCs/>
                <w:sz w:val="22"/>
                <w:szCs w:val="22"/>
                <w:u w:val="single"/>
                <w:lang w:val="ro-RO"/>
              </w:rPr>
              <w:t>Piese și instalații pentru sistemul de apeduct, canalizare și încălzire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Denumirea bunurilor/serviciilor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Unitatea de măsură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Canti-tatea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Preţ unitar (cu TVA)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fără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TVA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 TVA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Termenul de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livrare/prestare 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Clasificație bugetară (IBAN)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cs="Times New Roman"/>
                <w:b/>
                <w:bCs/>
                <w:sz w:val="22"/>
                <w:szCs w:val="22"/>
                <w:vertAlign w:val="baseline"/>
                <w:lang w:val="ro-RO"/>
              </w:rPr>
              <w:t>LOT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PVC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PVC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PVC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Garnitură de cauciuc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Mufa PVC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Ramificație PVC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Piesa de curațare PVC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PVC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PVC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PVC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PVC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PVC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Conector flexibil canalizare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Dop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Garnitură de cauciuc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Mufa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Ramificație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Ramificație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Ramificație PVC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Ramificație UNIVERSALA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Capac din fontă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Sifon gofrat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Sifon lavuar tip "butelie"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Colier metalic cu cauciuc și diblu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Garnitură sifon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Clemă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Clemă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Clemă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Mufa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Mufa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Mufa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Punte ocolire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Punte ocolire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Reducție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Reducție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Robinet bilă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Robinet bilă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Robinet bilă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Set montare baterie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Set montare baterie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Teu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Teu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Teu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Teu redus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Teu redus  ppr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Manometru 1/4 FE 6 bar radial dn 50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Manometru 1/4 FE 6 bar axial dn 50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Lavuar cu piedestal cu fixator 60 cm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Pisuar de perete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Vas Wc în set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Buton rezervor crom WC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Mecanizm de scurgere pentru WC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Rezervor WC (buton plastic) cu alimentare inferioară 6 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Ace pentru baterie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Ace pentru baterie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Furtun flexibil antivibrant 100 cm, 1/2"Fe/Fi din inox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Ace pentru baterie din inox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Furtun flexibil antivibrant 40 cm, 1/2"Fe/Fi din inox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Cartuș pentru baterie 35 mm, plastic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Cartuș pentru baterie 40 mm, plastic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Duza aerator baterie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Baterie pentru lavuar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Baterie pentru duș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Baterie pisuar timer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Sistem de duș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Cap de duș din tavan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o-RO" w:eastAsia="zh-CN" w:bidi="ar"/>
              </w:rPr>
              <w:t xml:space="preserve">Cartuș pentru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filtru apă potabilă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Manșon cauciuc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Mufa dilatație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Mufa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Ramificație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Ramificație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Ramificație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Ramificație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Reducție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PP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Filtru de apă trei etape de purificare complexă a apei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Clemă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Robinet cu bilă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Robinet cu bilă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Niplu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292929"/>
                <w:kern w:val="0"/>
                <w:sz w:val="20"/>
                <w:szCs w:val="20"/>
                <w:u w:val="none"/>
                <w:lang w:val="en-US" w:eastAsia="zh-CN" w:bidi="ar"/>
              </w:rPr>
              <w:t>Furtun flexibil antivibrant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292929"/>
                <w:kern w:val="0"/>
                <w:sz w:val="20"/>
                <w:szCs w:val="20"/>
                <w:u w:val="none"/>
                <w:lang w:val="en-US" w:eastAsia="zh-CN" w:bidi="ar"/>
              </w:rPr>
              <w:t>Baterie pentru cadă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Încălzitor de apă electric 8 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Uscător pentru mâini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Cartuș pentru filtru apă potabilă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cs="Times New Roman"/>
                <w:b/>
                <w:bCs/>
                <w:sz w:val="22"/>
                <w:szCs w:val="22"/>
                <w:lang w:val="ro-RO"/>
              </w:rPr>
              <w:t>LOT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bookmarkStart w:id="0" w:name="_GoBack" w:colFirst="8" w:colLast="8"/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Clemă țeavă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Clemă țeavă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Cot PPR 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Cot PPR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Cot PPR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Cot PPR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Racord PPR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Radiator bimetal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Radiator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Radiator oțel 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Radiator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Robinet set radiator 1/2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Teu PPR redus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Tub PPR/FB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Tub PPR/FB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Țeavă din polipropilen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Țeavă din polipropilen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Țeavă din Rexal Dn 26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Țeavă din polipropilen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Țeavă din polipropilen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Reducție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Teu bronz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Racord olandez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Filet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Filet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Diblu din plastic cu aripioare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Conducta de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Conducta de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Conducta de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Conducta de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Țeavă instalație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Țeavă instalație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Tub gofrat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Cot de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Reducție de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Reducție de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Reducție de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Reducție de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Reducție de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Cot de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Cot de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Cot de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Cot de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Dop de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Dop de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Reducție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Reducție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Teu polipropilen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Teu polipropilen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Teu polipropilen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Teu polipropilen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Teu polipropilen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Teu polipropilen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Cot polipropilen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Cot polipropilen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Cot polipropilen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Cot polipropilen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Cot polipropilen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Reducție polipropilenă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Mufă polipropilenă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Mufă polipropilenă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Mufă polipropilenă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Mufă polipropilenă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Mufă combinată polipropilenă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Mufă combinată polipropilenă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Mufă combinată polipropilenă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Reducție polipropilenă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Reducție polipropilenă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Dop pentru radiator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Robinet reglaj tur cu termoreglator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Robinet retur de închidere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Brățară fixare polipropilenă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Brățară fixare polipropilenă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Brățară fixare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Brățară fixare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Brățară fixare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Brățară fixare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Brățară fixare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Vana fluture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Vana fluture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Robinet cu sferă și fluture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Robinet cu sferă și fluture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Flanșă rotundă din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Flanșă rotundă din oțel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Diblu cu expandare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Cablu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Cablu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Cablu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Robinet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Dezaerator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Filtru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Termoizolație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Termoizolație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Termoizolație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Termoizolație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Termoizolație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Termoizolație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Termoizolație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Aeroterma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Aeroterma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Termostat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Termostat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Robinet de trecere cu sfera și fluture 1"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both"/>
              <w:textAlignment w:val="bottom"/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</w:pPr>
            <w:r>
              <w:rPr>
                <w:rFonts w:hint="default" w:cs="Times New Roman"/>
                <w:b w:val="0"/>
                <w:bCs w:val="0"/>
                <w:sz w:val="20"/>
                <w:szCs w:val="20"/>
                <w:vertAlign w:val="baseline"/>
                <w:lang w:val="ro-RO"/>
              </w:rPr>
              <w:t>44100000-1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Cazan electric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MD17MO2224ASV54692887100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0210" w:type="dxa"/>
            <w:gridSpan w:val="9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</w:t>
            </w:r>
          </w:p>
          <w:p>
            <w:pPr>
              <w:rPr>
                <w:iCs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</w:tcBorders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</w:tcBorders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color="auto" w:sz="4" w:space="0"/>
            </w:tcBorders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</w:tr>
    </w:tbl>
    <w:p/>
    <w:p/>
    <w:p/>
    <w:p/>
    <w:p/>
    <w:p/>
    <w:p/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B5B07"/>
    <w:rsid w:val="0E1B1AC1"/>
    <w:rsid w:val="1E5551C3"/>
    <w:rsid w:val="28AF3164"/>
    <w:rsid w:val="501E5C27"/>
    <w:rsid w:val="53D07D0E"/>
    <w:rsid w:val="563A5999"/>
    <w:rsid w:val="56A62C96"/>
    <w:rsid w:val="597E005A"/>
    <w:rsid w:val="661B5B07"/>
    <w:rsid w:val="6FF263BF"/>
    <w:rsid w:val="7B4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2022-07-08T14:11:00Z</dcterms:created>
  <dc:creator>user</dc:creator>
  <cp:lastModifiedBy>user</cp:lastModifiedBy>
  <dcterms:modified xsi:type="dcterms:W3CDTF">2022-09-16T14:38:53Z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03A0F3715595408D82F6E95E408F1C8E</vt:lpwstr>
  </property>
</Properties>
</file>