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00" w:lineRule="auto"/>
        <w:ind w:left="6200" w:leftChars="3100" w:firstLine="0" w:firstLineChars="0"/>
        <w:textAlignment w:val="auto"/>
        <w:rPr>
          <w:rFonts w:hint="default" w:ascii="Times New Roman" w:hAnsi="Times New Roman"/>
          <w:sz w:val="24"/>
          <w:szCs w:val="24"/>
        </w:rPr>
      </w:pPr>
      <w:r>
        <w:rPr>
          <w:color w:val="000000" w:themeColor="text1"/>
          <w:sz w:val="24"/>
          <w:highlight w:val="yellow"/>
          <w:lang w:val="ro-RO"/>
          <w14:textFill>
            <w14:solidFill>
              <w14:schemeClr w14:val="tx1"/>
            </w14:solidFill>
          </w14:textFill>
        </w:rPr>
        <w:drawing>
          <wp:anchor distT="0" distB="0" distL="114300" distR="114300" simplePos="0" relativeHeight="251660288" behindDoc="1" locked="0" layoutInCell="1" allowOverlap="1">
            <wp:simplePos x="0" y="0"/>
            <wp:positionH relativeFrom="margin">
              <wp:posOffset>-4445</wp:posOffset>
            </wp:positionH>
            <wp:positionV relativeFrom="page">
              <wp:posOffset>652780</wp:posOffset>
            </wp:positionV>
            <wp:extent cx="1429385" cy="1323340"/>
            <wp:effectExtent l="0" t="0" r="18415" b="10160"/>
            <wp:wrapNone/>
            <wp:docPr id="1" name="Рисунок 1" descr="LOGO CUL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LOGO CULORI"/>
                    <pic:cNvPicPr>
                      <a:picLocks noChangeAspect="1"/>
                    </pic:cNvPicPr>
                  </pic:nvPicPr>
                  <pic:blipFill>
                    <a:blip r:embed="rId5"/>
                    <a:stretch>
                      <a:fillRect/>
                    </a:stretch>
                  </pic:blipFill>
                  <pic:spPr>
                    <a:xfrm>
                      <a:off x="0" y="0"/>
                      <a:ext cx="1429385" cy="1323340"/>
                    </a:xfrm>
                    <a:prstGeom prst="rect">
                      <a:avLst/>
                    </a:prstGeom>
                    <a:noFill/>
                    <a:ln>
                      <a:noFill/>
                    </a:ln>
                  </pic:spPr>
                </pic:pic>
              </a:graphicData>
            </a:graphic>
          </wp:anchor>
        </w:drawing>
      </w:r>
      <w:r>
        <w:rPr>
          <w:rFonts w:hint="default" w:ascii="Times New Roman" w:hAnsi="Times New Roman"/>
          <w:b/>
          <w:bCs/>
          <w:sz w:val="24"/>
          <w:szCs w:val="24"/>
        </w:rPr>
        <w:t>APROB</w:t>
      </w:r>
    </w:p>
    <w:p>
      <w:pPr>
        <w:keepNext w:val="0"/>
        <w:keepLines w:val="0"/>
        <w:pageBreakBefore w:val="0"/>
        <w:widowControl/>
        <w:kinsoku/>
        <w:wordWrap/>
        <w:overflowPunct/>
        <w:topLinePunct w:val="0"/>
        <w:autoSpaceDE/>
        <w:autoSpaceDN/>
        <w:bidi w:val="0"/>
        <w:adjustRightInd/>
        <w:snapToGrid/>
        <w:spacing w:line="300" w:lineRule="auto"/>
        <w:ind w:left="6200" w:leftChars="3100" w:firstLine="0" w:firstLineChars="0"/>
        <w:textAlignment w:val="auto"/>
        <w:rPr>
          <w:rFonts w:hint="default" w:ascii="Times New Roman" w:hAnsi="Times New Roman"/>
          <w:sz w:val="24"/>
          <w:szCs w:val="24"/>
        </w:rPr>
      </w:pPr>
      <w:r>
        <w:rPr>
          <w:rFonts w:hint="default" w:ascii="Times New Roman" w:hAnsi="Times New Roman"/>
          <w:sz w:val="24"/>
          <w:szCs w:val="24"/>
        </w:rPr>
        <w:t>Director General al întreprinderii S.A. „CET-Nord”</w:t>
      </w:r>
    </w:p>
    <w:p>
      <w:pPr>
        <w:keepNext w:val="0"/>
        <w:keepLines w:val="0"/>
        <w:pageBreakBefore w:val="0"/>
        <w:widowControl/>
        <w:kinsoku/>
        <w:wordWrap/>
        <w:overflowPunct/>
        <w:topLinePunct w:val="0"/>
        <w:autoSpaceDE/>
        <w:autoSpaceDN/>
        <w:bidi w:val="0"/>
        <w:adjustRightInd/>
        <w:snapToGrid/>
        <w:spacing w:before="181" w:beforeLines="50" w:line="300" w:lineRule="auto"/>
        <w:ind w:left="6200" w:leftChars="3100" w:firstLine="0" w:firstLineChars="0"/>
        <w:textAlignment w:val="auto"/>
        <w:rPr>
          <w:rFonts w:hint="default" w:ascii="Times New Roman" w:hAnsi="Times New Roman"/>
          <w:sz w:val="24"/>
          <w:szCs w:val="24"/>
        </w:rPr>
      </w:pPr>
      <w:r>
        <w:rPr>
          <w:rFonts w:hint="default" w:ascii="Times New Roman" w:hAnsi="Times New Roman"/>
          <w:sz w:val="24"/>
          <w:szCs w:val="24"/>
        </w:rPr>
        <w:t>______________ Marian BRÎNZA</w:t>
      </w:r>
    </w:p>
    <w:p>
      <w:pPr>
        <w:keepNext w:val="0"/>
        <w:keepLines w:val="0"/>
        <w:pageBreakBefore w:val="0"/>
        <w:widowControl/>
        <w:kinsoku/>
        <w:wordWrap/>
        <w:overflowPunct/>
        <w:topLinePunct w:val="0"/>
        <w:autoSpaceDE/>
        <w:autoSpaceDN/>
        <w:bidi w:val="0"/>
        <w:adjustRightInd/>
        <w:snapToGrid/>
        <w:spacing w:line="300" w:lineRule="auto"/>
        <w:ind w:left="6200" w:leftChars="3100" w:firstLine="0" w:firstLineChars="0"/>
        <w:textAlignment w:val="auto"/>
        <w:rPr>
          <w:rFonts w:hint="default" w:ascii="Times New Roman" w:hAnsi="Times New Roman" w:cs="Times New Roman"/>
          <w:sz w:val="24"/>
          <w:szCs w:val="24"/>
        </w:rPr>
      </w:pPr>
      <w:r>
        <w:rPr>
          <w:rFonts w:hint="default" w:ascii="Times New Roman" w:hAnsi="Times New Roman"/>
          <w:sz w:val="24"/>
          <w:szCs w:val="24"/>
        </w:rPr>
        <w:t>”_____” _______________ 2026</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jc w:val="center"/>
        <w:rPr>
          <w:rFonts w:hint="default" w:ascii="Times New Roman" w:hAnsi="Times New Roman" w:cs="Times New Roman"/>
          <w:b/>
          <w:bCs/>
          <w:sz w:val="24"/>
          <w:szCs w:val="24"/>
        </w:rPr>
      </w:pPr>
      <w:r>
        <w:rPr>
          <w:rFonts w:hint="default" w:ascii="Times New Roman" w:hAnsi="Times New Roman"/>
          <w:b/>
          <w:bCs/>
          <w:sz w:val="24"/>
          <w:szCs w:val="24"/>
        </w:rPr>
        <w:t>CAIET DE SARCINI</w:t>
      </w:r>
    </w:p>
    <w:p>
      <w:pPr>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line="300" w:lineRule="auto"/>
        <w:textAlignment w:val="auto"/>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Obiectul achiziției: Țevi din oțel, coturi din oțel și articole conexe</w:t>
      </w:r>
    </w:p>
    <w:p>
      <w:pPr>
        <w:keepNext w:val="0"/>
        <w:keepLines w:val="0"/>
        <w:pageBreakBefore w:val="0"/>
        <w:widowControl/>
        <w:kinsoku/>
        <w:wordWrap/>
        <w:overflowPunct/>
        <w:topLinePunct w:val="0"/>
        <w:autoSpaceDE/>
        <w:autoSpaceDN/>
        <w:bidi w:val="0"/>
        <w:adjustRightInd/>
        <w:snapToGrid/>
        <w:spacing w:line="300" w:lineRule="auto"/>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Cod CPV: 44160000-9</w:t>
      </w:r>
    </w:p>
    <w:p>
      <w:pPr>
        <w:keepNext w:val="0"/>
        <w:keepLines w:val="0"/>
        <w:pageBreakBefore w:val="0"/>
        <w:widowControl/>
        <w:kinsoku/>
        <w:wordWrap/>
        <w:overflowPunct/>
        <w:topLinePunct w:val="0"/>
        <w:autoSpaceDE/>
        <w:autoSpaceDN/>
        <w:bidi w:val="0"/>
        <w:adjustRightInd/>
        <w:snapToGrid/>
        <w:spacing w:line="300" w:lineRule="auto"/>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Entitatea contractantă: S.A. „CET-Nord”, mun. Bălţi, str. Ştefan cel Mare, 168</w:t>
      </w:r>
    </w:p>
    <w:p>
      <w:pPr>
        <w:rPr>
          <w:rFonts w:hint="default" w:ascii="Times New Roman" w:hAnsi="Times New Roman"/>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Introducere</w:t>
      </w:r>
    </w:p>
    <w:p>
      <w:pPr>
        <w:keepNext w:val="0"/>
        <w:keepLines w:val="0"/>
        <w:pageBreakBefore w:val="0"/>
        <w:widowControl/>
        <w:numPr>
          <w:ilvl w:val="0"/>
          <w:numId w:val="0"/>
        </w:numPr>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Caietul de sarcini este parte integrantă din documentaţia pentru atribuirea contractului şi constituie ansamblul cerinţelor pe baza cărora fiecare ofertant va elabora propunerea tehnică și financiară.</w:t>
      </w:r>
    </w:p>
    <w:p>
      <w:pPr>
        <w:keepNext w:val="0"/>
        <w:keepLines w:val="0"/>
        <w:pageBreakBefore w:val="0"/>
        <w:widowControl/>
        <w:numPr>
          <w:ilvl w:val="0"/>
          <w:numId w:val="0"/>
        </w:numPr>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Caietul de sarcini conţine specificaţii tehnice, care vor fi considerate ca fiind minimale şi obligatorii. 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cerinţele caietului de sarcini vor fi declarate oferte neconforme şi vor fi respinse.</w:t>
      </w:r>
    </w:p>
    <w:p>
      <w:pPr>
        <w:keepNext w:val="0"/>
        <w:keepLines w:val="0"/>
        <w:pageBreakBefore w:val="0"/>
        <w:widowControl/>
        <w:numPr>
          <w:ilvl w:val="0"/>
          <w:numId w:val="0"/>
        </w:numPr>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Scopul achiziției</w:t>
      </w:r>
    </w:p>
    <w:p>
      <w:pPr>
        <w:keepNext w:val="0"/>
        <w:keepLines w:val="0"/>
        <w:pageBreakBefore w:val="0"/>
        <w:widowControl/>
        <w:numPr>
          <w:ilvl w:val="0"/>
          <w:numId w:val="0"/>
        </w:numPr>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highlight w:val="none"/>
          <w14:textFill>
            <w14:solidFill>
              <w14:schemeClr w14:val="tx1"/>
            </w14:solidFill>
          </w14:textFill>
        </w:rPr>
      </w:pPr>
      <w:r>
        <w:rPr>
          <w:rFonts w:hint="default" w:ascii="Times New Roman" w:hAnsi="Times New Roman"/>
          <w:b w:val="0"/>
          <w:bCs w:val="0"/>
          <w:color w:val="000000" w:themeColor="text1"/>
          <w:sz w:val="24"/>
          <w:szCs w:val="24"/>
          <w:highlight w:val="none"/>
          <w14:textFill>
            <w14:solidFill>
              <w14:schemeClr w14:val="tx1"/>
            </w14:solidFill>
          </w14:textFill>
        </w:rPr>
        <w:t>Scopul prezentei achiziții îl constituie asigurarea întreprinderii cu țevi din oțel și articole conexe (fitinguri), izolate și neizolate termic, necesare pentru executarea lucrărilor de reparație capitală a cazanelor energetice și a rețelelor de transport și de distribuție a agentului termic aflate în gestiunea întreprinderii.</w:t>
      </w:r>
    </w:p>
    <w:p>
      <w:pPr>
        <w:keepNext w:val="0"/>
        <w:keepLines w:val="0"/>
        <w:pageBreakBefore w:val="0"/>
        <w:widowControl/>
        <w:numPr>
          <w:ilvl w:val="0"/>
          <w:numId w:val="0"/>
        </w:numPr>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highlight w:val="none"/>
          <w14:textFill>
            <w14:solidFill>
              <w14:schemeClr w14:val="tx1"/>
            </w14:solidFill>
          </w14:textFill>
        </w:rPr>
      </w:pPr>
      <w:r>
        <w:rPr>
          <w:rFonts w:hint="default" w:ascii="Times New Roman" w:hAnsi="Times New Roman"/>
          <w:b w:val="0"/>
          <w:bCs w:val="0"/>
          <w:color w:val="000000" w:themeColor="text1"/>
          <w:sz w:val="24"/>
          <w:szCs w:val="24"/>
          <w:highlight w:val="none"/>
          <w14:textFill>
            <w14:solidFill>
              <w14:schemeClr w14:val="tx1"/>
            </w14:solidFill>
          </w14:textFill>
        </w:rPr>
        <w:t>Materialele ce fac obiectul achiziției sunt esențiale pentru restabilirea parametrilor tehnico-funcționali ai instalațiilor termoenergetice, prevenirea avariilor, reducerea pierderilor de agent termic și asigurarea funcționării continue, sigure și eficiente a SACET. Necesitatea achiziției este determinată de gradul de uzură fizică și morală a unor elemente constructive existente, precum și de obligația întreprinderii de a menține infrastructura tehnologică în conformitate cu cerințele actelor normative, standardelor tehnice și prescripțiilor de securitate industrială.</w:t>
      </w:r>
    </w:p>
    <w:p>
      <w:pPr>
        <w:keepNext w:val="0"/>
        <w:keepLines w:val="0"/>
        <w:pageBreakBefore w:val="0"/>
        <w:widowControl/>
        <w:numPr>
          <w:ilvl w:val="0"/>
          <w:numId w:val="0"/>
        </w:numPr>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highlight w:val="none"/>
          <w14:textFill>
            <w14:solidFill>
              <w14:schemeClr w14:val="tx1"/>
            </w14:solidFill>
          </w14:textFill>
        </w:rPr>
      </w:pPr>
      <w:r>
        <w:rPr>
          <w:rFonts w:hint="default" w:ascii="Times New Roman" w:hAnsi="Times New Roman"/>
          <w:b w:val="0"/>
          <w:bCs w:val="0"/>
          <w:color w:val="000000" w:themeColor="text1"/>
          <w:sz w:val="24"/>
          <w:szCs w:val="24"/>
          <w:highlight w:val="none"/>
          <w14:textFill>
            <w14:solidFill>
              <w14:schemeClr w14:val="tx1"/>
            </w14:solidFill>
          </w14:textFill>
        </w:rPr>
        <w:t>Prin realizarea prezentei achiziții se urmărește garantarea fiabilității și durabilității lucrărilor executate, creșterea eficienței energetice a instalațiilor, precum și asigurarea unui serviciu public de termoficare sigur, stabil și de calitate pentru consumatori.</w:t>
      </w:r>
    </w:p>
    <w:p>
      <w:pPr>
        <w:keepNext w:val="0"/>
        <w:keepLines w:val="0"/>
        <w:pageBreakBefore w:val="0"/>
        <w:widowControl/>
        <w:numPr>
          <w:ilvl w:val="0"/>
          <w:numId w:val="0"/>
        </w:numPr>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Cerințe privind caracteristicile tehnice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Cerințe generale:</w:t>
      </w:r>
    </w:p>
    <w:p>
      <w:pPr>
        <w:keepNext w:val="0"/>
        <w:keepLines w:val="0"/>
        <w:pageBreakBefore w:val="0"/>
        <w:widowControl/>
        <w:numPr>
          <w:ilvl w:val="0"/>
          <w:numId w:val="2"/>
        </w:numPr>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Toate cerințele tehnice sunt minimale și obligatorii. Toate bunurile ofertate trebuie să fie noi (neutilizate), de calitatea corespunzătoare și fără careva vicii, cu respectarea tuturor caracteristicile și cerințelor tehnice descrise în tabelul de mai jos.</w:t>
      </w:r>
    </w:p>
    <w:p>
      <w:pPr>
        <w:keepNext w:val="0"/>
        <w:keepLines w:val="0"/>
        <w:pageBreakBefore w:val="0"/>
        <w:widowControl/>
        <w:numPr>
          <w:ilvl w:val="0"/>
          <w:numId w:val="2"/>
        </w:numPr>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Toate cheltuielile legate de rezolvarea unor defecțiuni apărute şi dovedite a fi urmare a neconformității produselor, conform prezentului Caiet de sarcini, cad în sarcina ofertantului. În măsura în care produsele nu corespund cerințelor, ofertantul va asigura înlocuirea acestora.</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Bunurile care fac obiectul contractului de achiziție sunt prezentate în Tabelul nr. 1.</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0"/>
        </w:numPr>
        <w:tabs>
          <w:tab w:val="left" w:pos="425"/>
        </w:tabs>
        <w:kinsoku/>
        <w:wordWrap/>
        <w:overflowPunct/>
        <w:topLinePunct w:val="0"/>
        <w:autoSpaceDE/>
        <w:autoSpaceDN/>
        <w:bidi w:val="0"/>
        <w:adjustRightInd/>
        <w:snapToGrid/>
        <w:jc w:val="right"/>
        <w:textAlignment w:val="auto"/>
        <w:rPr>
          <w:rFonts w:hint="default" w:ascii="Times New Roman" w:hAnsi="Times New Roman"/>
          <w:b/>
          <w:bCs/>
          <w:sz w:val="24"/>
          <w:szCs w:val="24"/>
        </w:rPr>
      </w:pPr>
      <w:r>
        <w:rPr>
          <w:rFonts w:hint="default" w:ascii="Times New Roman" w:hAnsi="Times New Roman"/>
          <w:b/>
          <w:bCs/>
          <w:sz w:val="24"/>
          <w:szCs w:val="24"/>
        </w:rPr>
        <w:t>Tabelul nr. 1</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jc w:val="center"/>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Specificația tehnică a bunurilor solicitate</w:t>
      </w:r>
    </w:p>
    <w:tbl>
      <w:tblPr>
        <w:tblStyle w:val="6"/>
        <w:tblW w:w="96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3"/>
        <w:gridCol w:w="3275"/>
        <w:gridCol w:w="587"/>
        <w:gridCol w:w="825"/>
        <w:gridCol w:w="4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blHeader/>
        </w:trPr>
        <w:tc>
          <w:tcPr>
            <w:tcW w:w="54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ascii="Times New Roman" w:hAnsi="Times New Roman" w:eastAsia="Calibri" w:cs="Times New Roman"/>
                <w:b/>
                <w:color w:val="000000" w:themeColor="text1"/>
                <w:sz w:val="22"/>
                <w:szCs w:val="22"/>
                <w:lang w:val="ru-RU" w:eastAsia="en-US" w:bidi="ar-SA"/>
                <w14:textFill>
                  <w14:solidFill>
                    <w14:schemeClr w14:val="tx1"/>
                  </w14:solidFill>
                </w14:textFill>
              </w:rPr>
            </w:pPr>
            <w:bookmarkStart w:id="0" w:name="_Toc403472733"/>
            <w:r>
              <w:rPr>
                <w:rFonts w:ascii="Times New Roman" w:hAnsi="Times New Roman" w:eastAsia="Calibri" w:cs="Times New Roman"/>
                <w:b/>
                <w:color w:val="000000" w:themeColor="text1"/>
                <w:sz w:val="22"/>
                <w:szCs w:val="22"/>
                <w:lang w:val="ru-RU" w:eastAsia="en-US" w:bidi="ar-SA"/>
                <w14:textFill>
                  <w14:solidFill>
                    <w14:schemeClr w14:val="tx1"/>
                  </w14:solidFill>
                </w14:textFill>
              </w:rPr>
              <w:t>Nr. d/o</w:t>
            </w:r>
          </w:p>
        </w:tc>
        <w:tc>
          <w:tcPr>
            <w:tcW w:w="327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eastAsia="Calibri" w:cs="Times New Roman"/>
                <w:b/>
                <w:color w:val="000000" w:themeColor="text1"/>
                <w:sz w:val="22"/>
                <w:szCs w:val="22"/>
                <w:lang w:val="ro-RO" w:eastAsia="en-US" w:bidi="ar-SA"/>
                <w14:textFill>
                  <w14:solidFill>
                    <w14:schemeClr w14:val="tx1"/>
                  </w14:solidFill>
                </w14:textFill>
              </w:rPr>
            </w:pPr>
            <w:r>
              <w:rPr>
                <w:rFonts w:ascii="Times New Roman" w:hAnsi="Times New Roman" w:eastAsia="Calibri" w:cs="Times New Roman"/>
                <w:b/>
                <w:color w:val="000000" w:themeColor="text1"/>
                <w:sz w:val="22"/>
                <w:szCs w:val="22"/>
                <w:lang w:val="ru-RU" w:eastAsia="en-US" w:bidi="ar-SA"/>
                <w14:textFill>
                  <w14:solidFill>
                    <w14:schemeClr w14:val="tx1"/>
                  </w14:solidFill>
                </w14:textFill>
              </w:rPr>
              <w:t>Denumire bunu</w:t>
            </w:r>
            <w:r>
              <w:rPr>
                <w:rFonts w:hint="default" w:ascii="Times New Roman" w:hAnsi="Times New Roman" w:eastAsia="Calibri" w:cs="Times New Roman"/>
                <w:b/>
                <w:color w:val="000000" w:themeColor="text1"/>
                <w:sz w:val="22"/>
                <w:szCs w:val="22"/>
                <w:lang w:val="ro-RO" w:eastAsia="en-US" w:bidi="ar-SA"/>
                <w14:textFill>
                  <w14:solidFill>
                    <w14:schemeClr w14:val="tx1"/>
                  </w14:solidFill>
                </w14:textFill>
              </w:rPr>
              <w:t>lui</w:t>
            </w:r>
          </w:p>
        </w:tc>
        <w:tc>
          <w:tcPr>
            <w:tcW w:w="58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eastAsia="Calibri" w:cs="Times New Roman"/>
                <w:b/>
                <w:color w:val="000000" w:themeColor="text1"/>
                <w:sz w:val="22"/>
                <w:szCs w:val="22"/>
                <w:lang w:val="ro-RO" w:eastAsia="en-US" w:bidi="ar-SA"/>
                <w14:textFill>
                  <w14:solidFill>
                    <w14:schemeClr w14:val="tx1"/>
                  </w14:solidFill>
                </w14:textFill>
              </w:rPr>
            </w:pPr>
            <w:r>
              <w:rPr>
                <w:rFonts w:ascii="Times New Roman" w:hAnsi="Times New Roman" w:eastAsia="Calibri" w:cs="Times New Roman"/>
                <w:b/>
                <w:color w:val="000000" w:themeColor="text1"/>
                <w:sz w:val="22"/>
                <w:szCs w:val="22"/>
                <w:lang w:val="ro-RO" w:eastAsia="en-US" w:bidi="ar-SA"/>
                <w14:textFill>
                  <w14:solidFill>
                    <w14:schemeClr w14:val="tx1"/>
                  </w14:solidFill>
                </w14:textFill>
              </w:rPr>
              <w:t>U</w:t>
            </w:r>
            <w:r>
              <w:rPr>
                <w:rFonts w:hint="default" w:ascii="Times New Roman" w:hAnsi="Times New Roman" w:eastAsia="Calibri" w:cs="Times New Roman"/>
                <w:b/>
                <w:color w:val="000000" w:themeColor="text1"/>
                <w:sz w:val="22"/>
                <w:szCs w:val="22"/>
                <w:lang w:val="ro-RO" w:eastAsia="en-US" w:bidi="ar-SA"/>
                <w14:textFill>
                  <w14:solidFill>
                    <w14:schemeClr w14:val="tx1"/>
                  </w14:solidFill>
                </w14:textFill>
              </w:rPr>
              <w:t>.</w:t>
            </w:r>
            <w:r>
              <w:rPr>
                <w:rFonts w:ascii="Times New Roman" w:hAnsi="Times New Roman" w:eastAsia="Calibri" w:cs="Times New Roman"/>
                <w:b/>
                <w:color w:val="000000" w:themeColor="text1"/>
                <w:sz w:val="22"/>
                <w:szCs w:val="22"/>
                <w:lang w:val="ro-RO" w:eastAsia="en-US" w:bidi="ar-SA"/>
                <w14:textFill>
                  <w14:solidFill>
                    <w14:schemeClr w14:val="tx1"/>
                  </w14:solidFill>
                </w14:textFill>
              </w:rPr>
              <w:t>M</w:t>
            </w:r>
            <w:r>
              <w:rPr>
                <w:rFonts w:hint="default" w:ascii="Times New Roman" w:hAnsi="Times New Roman" w:eastAsia="Calibri" w:cs="Times New Roman"/>
                <w:b/>
                <w:color w:val="000000" w:themeColor="text1"/>
                <w:sz w:val="22"/>
                <w:szCs w:val="22"/>
                <w:lang w:val="ro-RO" w:eastAsia="en-US" w:bidi="ar-SA"/>
                <w14:textFill>
                  <w14:solidFill>
                    <w14:schemeClr w14:val="tx1"/>
                  </w14:solidFill>
                </w14:textFill>
              </w:rPr>
              <w:t>.</w:t>
            </w:r>
          </w:p>
        </w:tc>
        <w:tc>
          <w:tcPr>
            <w:tcW w:w="825" w:type="dxa"/>
            <w:tcBorders>
              <w:top w:val="single" w:color="auto" w:sz="4" w:space="0"/>
              <w:left w:val="single" w:color="auto" w:sz="4" w:space="0"/>
              <w:right w:val="single" w:color="auto" w:sz="4" w:space="0"/>
            </w:tcBorders>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eastAsia="Calibri" w:cs="Times New Roman"/>
                <w:b/>
                <w:color w:val="000000" w:themeColor="text1"/>
                <w:sz w:val="22"/>
                <w:szCs w:val="22"/>
                <w:lang w:eastAsia="en-US" w:bidi="ar-SA"/>
                <w14:textFill>
                  <w14:solidFill>
                    <w14:schemeClr w14:val="tx1"/>
                  </w14:solidFill>
                </w14:textFill>
              </w:rPr>
            </w:pPr>
            <w:r>
              <w:rPr>
                <w:rFonts w:ascii="Times New Roman" w:hAnsi="Times New Roman" w:eastAsia="Calibri" w:cs="Times New Roman"/>
                <w:b/>
                <w:color w:val="000000" w:themeColor="text1"/>
                <w:sz w:val="22"/>
                <w:szCs w:val="22"/>
                <w:lang w:val="ru-RU" w:eastAsia="en-US" w:bidi="ar-SA"/>
                <w14:textFill>
                  <w14:solidFill>
                    <w14:schemeClr w14:val="tx1"/>
                  </w14:solidFill>
                </w14:textFill>
              </w:rPr>
              <w:t>Canti</w:t>
            </w:r>
            <w:r>
              <w:rPr>
                <w:rFonts w:hint="default" w:ascii="Times New Roman" w:hAnsi="Times New Roman" w:eastAsia="Calibri" w:cs="Times New Roman"/>
                <w:b/>
                <w:color w:val="000000" w:themeColor="text1"/>
                <w:sz w:val="22"/>
                <w:szCs w:val="22"/>
                <w:lang w:eastAsia="en-US" w:bidi="ar-SA"/>
                <w14:textFill>
                  <w14:solidFill>
                    <w14:schemeClr w14:val="tx1"/>
                  </w14:solidFill>
                </w14:textFill>
              </w:rPr>
              <w:t>-</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ascii="Times New Roman" w:hAnsi="Times New Roman" w:eastAsia="Calibri" w:cs="Times New Roman"/>
                <w:b/>
                <w:color w:val="000000" w:themeColor="text1"/>
                <w:sz w:val="22"/>
                <w:szCs w:val="22"/>
                <w:lang w:val="ru-RU" w:eastAsia="en-US" w:bidi="ar-SA"/>
                <w14:textFill>
                  <w14:solidFill>
                    <w14:schemeClr w14:val="tx1"/>
                  </w14:solidFill>
                </w14:textFill>
              </w:rPr>
            </w:pPr>
            <w:r>
              <w:rPr>
                <w:rFonts w:ascii="Times New Roman" w:hAnsi="Times New Roman" w:eastAsia="Calibri" w:cs="Times New Roman"/>
                <w:b/>
                <w:color w:val="000000" w:themeColor="text1"/>
                <w:sz w:val="22"/>
                <w:szCs w:val="22"/>
                <w:lang w:val="ru-RU" w:eastAsia="en-US" w:bidi="ar-SA"/>
                <w14:textFill>
                  <w14:solidFill>
                    <w14:schemeClr w14:val="tx1"/>
                  </w14:solidFill>
                </w14:textFill>
              </w:rPr>
              <w:t>tatea</w:t>
            </w:r>
          </w:p>
        </w:tc>
        <w:tc>
          <w:tcPr>
            <w:tcW w:w="44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eastAsia="Calibri" w:cs="Times New Roman"/>
                <w:b/>
                <w:color w:val="000000" w:themeColor="text1"/>
                <w:sz w:val="22"/>
                <w:szCs w:val="22"/>
                <w:lang w:eastAsia="en-US" w:bidi="ar-SA"/>
                <w14:textFill>
                  <w14:solidFill>
                    <w14:schemeClr w14:val="tx1"/>
                  </w14:solidFill>
                </w14:textFill>
              </w:rPr>
            </w:pPr>
            <w:r>
              <w:rPr>
                <w:rFonts w:ascii="Times New Roman" w:hAnsi="Times New Roman" w:eastAsia="Calibri" w:cs="Times New Roman"/>
                <w:b/>
                <w:color w:val="000000" w:themeColor="text1"/>
                <w:sz w:val="22"/>
                <w:szCs w:val="22"/>
                <w:lang w:eastAsia="en-US" w:bidi="ar-SA"/>
                <w14:textFill>
                  <w14:solidFill>
                    <w14:schemeClr w14:val="tx1"/>
                  </w14:solidFill>
                </w14:textFill>
              </w:rPr>
              <w:t>Specificarea tehnică deplină solicitată, Standarde de referință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35" w:type="dxa"/>
            <w:gridSpan w:val="5"/>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b/>
                <w:bCs/>
                <w:color w:val="000000" w:themeColor="text1"/>
                <w:sz w:val="22"/>
                <w:szCs w:val="22"/>
                <w:lang w:val="ro-RO" w:eastAsia="en-US" w:bidi="ar-SA"/>
                <w14:textFill>
                  <w14:solidFill>
                    <w14:schemeClr w14:val="tx1"/>
                  </w14:solidFill>
                </w14:textFill>
              </w:rPr>
              <w:t>L</w:t>
            </w:r>
            <w:r>
              <w:rPr>
                <w:rFonts w:hint="default" w:ascii="Times New Roman" w:hAnsi="Times New Roman" w:eastAsia="Calibri" w:cs="Times New Roman"/>
                <w:b/>
                <w:bCs/>
                <w:color w:val="000000" w:themeColor="text1"/>
                <w:sz w:val="22"/>
                <w:szCs w:val="22"/>
                <w:lang w:eastAsia="en-US" w:bidi="ar-SA"/>
                <w14:textFill>
                  <w14:solidFill>
                    <w14:schemeClr w14:val="tx1"/>
                  </w14:solidFill>
                </w14:textFill>
              </w:rPr>
              <w:t>otul nr.</w:t>
            </w:r>
            <w:r>
              <w:rPr>
                <w:rFonts w:hint="default" w:ascii="Times New Roman" w:hAnsi="Times New Roman" w:eastAsia="Calibri" w:cs="Times New Roman"/>
                <w:b/>
                <w:bCs/>
                <w:color w:val="000000" w:themeColor="text1"/>
                <w:sz w:val="22"/>
                <w:szCs w:val="22"/>
                <w:lang w:val="ro-RO" w:eastAsia="en-US" w:bidi="ar-SA"/>
                <w14:textFill>
                  <w14:solidFill>
                    <w14:schemeClr w14:val="tx1"/>
                  </w14:solidFill>
                </w14:textFill>
              </w:rPr>
              <w:t xml:space="preserve"> 1. </w:t>
            </w:r>
            <w:r>
              <w:rPr>
                <w:rFonts w:hint="default" w:ascii="Times New Roman" w:hAnsi="Times New Roman" w:eastAsia="Calibri"/>
                <w:b/>
                <w:bCs/>
                <w:color w:val="000000" w:themeColor="text1"/>
                <w:sz w:val="22"/>
                <w:szCs w:val="22"/>
                <w:lang w:eastAsia="en-US"/>
                <w14:textFill>
                  <w14:solidFill>
                    <w14:schemeClr w14:val="tx1"/>
                  </w14:solidFill>
                </w14:textFill>
              </w:rPr>
              <w:t>Țevi din oțel pre-izolate și articole conexe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108x5/200-PUR-PE,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144,0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Țeavă de oțel 108x5/200-PUR-PE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cu fir de semnalizare*.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Oțel marca P265GH conform SM EN 10028-2,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electrosudată longitudinal conform SM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EN 10217-2, pentru presiune de lucru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până la 2,5 MPa și temperatură maximă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a agentului termic de 120℃.</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Izolația conform SM EN 253. Tipul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izolației: poliuretan (PUR), manta din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219x6/315-PUR-PE,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468,0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Țeavă de oțel 219x6/315-PUR-PE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cu fir de semnalizare*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Oțel marca P265GH conform SM EN 10028-2,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electrosudată longitudinal conform SM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EN 10217-2, pentru presiune de lucru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până la 2,5 MPa și temperatură maximă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a agentului termic de 120℃.</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Izolația conform SM EN 253. Tipul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izolației: poliuretan (PUR), manta din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426x9/560-PUR-PE,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144,0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Țeavă de oțel 426x9/560-PUR-PE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cu fir de semnalizare*.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Oțel marca P265GH conform SM EN 10028-2,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electrosudată longitudinal conform SM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EN 10217-2, pentru presiune de lucru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până la 2,5 MPa și temperatură maximă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a agentului termic de 120℃.</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Izolația conform SM EN 253. Tipul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izolației: poliuretan (PUR), manta din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530x9/710-PUR-PE,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144,0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Țeavă de oțel 530x9/710-PUR-PE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cu fir de semnalizare*.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Oțel marca P265GH conform SM EN 10028-2,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electrosudată longitudinal conform SM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EN 10217-2, pentru presiune de lucru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până la 2,5 MPa și temperatură maximă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a agentului termic de 120℃.</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Izolația conform SM EN 253. Tipul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izolației: poliuretan (PUR), manta din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108x6-90/200-PUR-PE, oțel P265GH, tip 2D</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108x6-90/200-PUR-PE conform SM ISO 3419:2017</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cu fir de semnalizare*</w:t>
            </w:r>
            <w:r>
              <w:rPr>
                <w:rFonts w:hint="default" w:ascii="Times New Roman" w:hAnsi="Times New Roman" w:eastAsia="Calibri"/>
                <w:i/>
                <w:iCs/>
                <w:color w:val="000000" w:themeColor="text1"/>
                <w:sz w:val="22"/>
                <w:szCs w:val="22"/>
                <w:lang w:eastAsia="en-US"/>
                <w14:textFill>
                  <w14:solidFill>
                    <w14:schemeClr w14:val="tx1"/>
                  </w14:solidFill>
                </w14:textFill>
              </w:rPr>
              <w:t>.</w:t>
            </w:r>
            <w:r>
              <w:rPr>
                <w:rFonts w:hint="default" w:ascii="Times New Roman" w:hAnsi="Times New Roman" w:eastAsia="Calibri"/>
                <w:color w:val="000000" w:themeColor="text1"/>
                <w:sz w:val="22"/>
                <w:szCs w:val="22"/>
                <w:lang w:eastAsia="en-US"/>
                <w14:textFill>
                  <w14:solidFill>
                    <w14:schemeClr w14:val="tx1"/>
                  </w14:solidFill>
                </w14:textFill>
              </w:rPr>
              <w:t xml:space="preserve"> Oțel marca P265GH conform SM EN 10028-2. Cot de tip 2D (R≈DN), sudabil cap la cap, pentru presiune de lucru până la 2,5 MPa și temperatură maximă a </w:t>
            </w:r>
            <w:r>
              <w:rPr>
                <w:rFonts w:hint="default" w:ascii="Times New Roman" w:hAnsi="Times New Roman" w:eastAsia="Calibri"/>
                <w:color w:val="000000" w:themeColor="text1"/>
                <w:sz w:val="22"/>
                <w:szCs w:val="22"/>
                <w:highlight w:val="none"/>
                <w:lang w:eastAsia="en-US"/>
                <w14:textFill>
                  <w14:solidFill>
                    <w14:schemeClr w14:val="tx1"/>
                  </w14:solidFill>
                </w14:textFill>
              </w:rPr>
              <w:t>agentului termic de 120℃. Unghi</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de 90 grade.</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Izolația conform SM EN 448. Ti</w:t>
            </w:r>
            <w:r>
              <w:rPr>
                <w:rFonts w:hint="default" w:ascii="Times New Roman" w:hAnsi="Times New Roman" w:eastAsia="Calibri"/>
                <w:b w:val="0"/>
                <w:bCs w:val="0"/>
                <w:color w:val="000000" w:themeColor="text1"/>
                <w:sz w:val="22"/>
                <w:szCs w:val="22"/>
                <w:lang w:eastAsia="en-US"/>
                <w14:textFill>
                  <w14:solidFill>
                    <w14:schemeClr w14:val="tx1"/>
                  </w14:solidFill>
                </w14:textFill>
              </w:rPr>
              <w:t>p</w:t>
            </w:r>
            <w:r>
              <w:rPr>
                <w:rFonts w:hint="default" w:ascii="Times New Roman" w:hAnsi="Times New Roman" w:eastAsia="Calibri"/>
                <w:color w:val="000000" w:themeColor="text1"/>
                <w:sz w:val="22"/>
                <w:szCs w:val="22"/>
                <w:lang w:eastAsia="en-US"/>
                <w14:textFill>
                  <w14:solidFill>
                    <w14:schemeClr w14:val="tx1"/>
                  </w14:solidFill>
                </w14:textFill>
              </w:rPr>
              <w:t xml:space="preserve">ul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 xml:space="preserve">izolației: poliuretan (PUR), manta din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de oțel 219x7-90/315-PUR-PE,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Cot ștanțat din oțel 219x7-90/315-PUR-PE conform SM ISO 3419:2017</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cu fir de semnalizare*</w:t>
            </w:r>
            <w:r>
              <w:rPr>
                <w:rFonts w:hint="default" w:ascii="Times New Roman" w:hAnsi="Times New Roman" w:eastAsia="Calibri"/>
                <w:b w:val="0"/>
                <w:bCs w:val="0"/>
                <w:i/>
                <w:iCs/>
                <w:color w:val="000000" w:themeColor="text1"/>
                <w:sz w:val="22"/>
                <w:szCs w:val="22"/>
                <w:highlight w:val="none"/>
                <w:lang w:eastAsia="en-US"/>
                <w14:textFill>
                  <w14:solidFill>
                    <w14:schemeClr w14:val="tx1"/>
                  </w14:solidFill>
                </w14:textFill>
              </w:rPr>
              <w:t>.</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Oțel marca P265GH conform SM EN 10028-2. Cot de tip 2D (R≈DN), sudabil cap la cap, pentru presiune de lucru până la 2,5 MPa și temperatură maximă a agentului termic de 120℃. Unghi de 90 grade.</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Izolația conform SM EN 448. Tipul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izolației: poliuretan (PUR), manta din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b w:val="0"/>
                <w:bCs w:val="0"/>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426x9-90/560-PUR-PE, oțel P265GH, tip 2D</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Cot ștanțat din oțel 426x9-90/560-PUR-PE conform SM ISO 3419:2017</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cu fir de semnalizare*</w:t>
            </w:r>
            <w:r>
              <w:rPr>
                <w:rFonts w:hint="default" w:ascii="Times New Roman" w:hAnsi="Times New Roman" w:eastAsia="Calibri"/>
                <w:b w:val="0"/>
                <w:bCs w:val="0"/>
                <w:i/>
                <w:iCs/>
                <w:color w:val="000000" w:themeColor="text1"/>
                <w:sz w:val="22"/>
                <w:szCs w:val="22"/>
                <w:highlight w:val="none"/>
                <w:lang w:eastAsia="en-US"/>
                <w14:textFill>
                  <w14:solidFill>
                    <w14:schemeClr w14:val="tx1"/>
                  </w14:solidFill>
                </w14:textFill>
              </w:rPr>
              <w:t>.</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Oțel marca P265GH conform SM EN 10028-2. Cot de tip 2D (R≈DN), sudabil cap la cap, pentru presiune de lucru până la 2,5 MPa și temperatură maximă a agentului termic de 120℃. Unghi de 90 grade.</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Izolația conform SM EN 448. Tipul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izolației: poliuretan (PUR), manta din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530x10-90/710-PUR-PE, oțel P265GH, tip 2D</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530x10-90/710-PUR-PE conform SM ISO 3419:2017</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cu fir de semnalizare*</w:t>
            </w:r>
            <w:r>
              <w:rPr>
                <w:rFonts w:hint="default" w:ascii="Times New Roman" w:hAnsi="Times New Roman" w:eastAsia="Calibri"/>
                <w:i/>
                <w:iCs/>
                <w:color w:val="000000" w:themeColor="text1"/>
                <w:sz w:val="22"/>
                <w:szCs w:val="22"/>
                <w:lang w:eastAsia="en-US"/>
                <w14:textFill>
                  <w14:solidFill>
                    <w14:schemeClr w14:val="tx1"/>
                  </w14:solidFill>
                </w14:textFill>
              </w:rPr>
              <w:t>.</w:t>
            </w:r>
            <w:r>
              <w:rPr>
                <w:rFonts w:hint="default" w:ascii="Times New Roman" w:hAnsi="Times New Roman" w:eastAsia="Calibri"/>
                <w:color w:val="000000" w:themeColor="text1"/>
                <w:sz w:val="22"/>
                <w:szCs w:val="22"/>
                <w:lang w:eastAsia="en-US"/>
                <w14:textFill>
                  <w14:solidFill>
                    <w14:schemeClr w14:val="tx1"/>
                  </w14:solidFill>
                </w14:textFill>
              </w:rPr>
              <w:t xml:space="preserve"> Oțel marca P265GH conform SM EN 10028-2. Cot de tip 2D (R≈DN), sudabil cap la cap, pentru presiune de lucru până la 2,5 MPa și temperatură maximă a agentului termic de 120℃. Unghi de 90 grade.</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 xml:space="preserve">Izolația conform SM EN 253. Tipul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 xml:space="preserve">izolației: poliuretan (PUR), manta din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Mufă de tras pe tub cu manta din PE 200mm, cu set etanșare, componente și materiale SCMD</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set</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Mufă de tras pe tub cu manta din PE cu diametrul de 200mm cu set etanșare, componente și materiale pentru montarea sistemului de control și monitorizare la distanță a stării conductelor (sistemului de detectare a scurgerilor la îmbinările țevilor, СДКМ)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Mufă de tras pe tub cu manta din PE 315mm, cu set etanșare, componente și materiale SCMD</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set</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Mufă de tras pe tub cu manta din PE cu diametrul de 315mm, cu set de etanșare, componente și materiale pentru montarea sistemului de control și monitorizare la distanță a stării conductelor (sistemului de detectare a scurgerilor la îmbinările țevilor, СДКМ)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Mufă de tras pe tub cu manta din PE 560mm, cu set etanșare, componente și materiale SCMD</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set</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Mufă de tras pe tub cu manta din PE cu diametrul de 560mm, cu set de etanșare, componente și materiale pentru montarea sistemului de control și monitorizare la distanță a stării conductelor (sistemului de detectare a scurgerilor la îmbinările țevilor, СДКМ)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Mufă de tras pe tub cu manta din PE 710mm, cu set de etanșare, componente și materiale SCMD</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set</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Mufă de tras pe tub cu manta din PE cu diametrul de 710mm, cu set de etanșare, componente și materiale pentru montarea sistemului de control și monitorizare la distanță a stării conductelor (sistemului de detectare a scurgerilor la îmbinările țevilor, СДКМ)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Componente și materiale pentru montarea sistemului de control și monitorizare la distanță a stării conductelor PI 710-PUR-PE</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set</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50,0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 xml:space="preserve">Componente și materiale pentru montarea sistemului de control și monitorizare la distanță a stării conductelor PI 710-PUR-PE </w:t>
            </w:r>
            <w:r>
              <w:rPr>
                <w:rFonts w:hint="default" w:ascii="Times New Roman" w:hAnsi="Times New Roman" w:eastAsia="Calibri"/>
                <w:i/>
                <w:iCs/>
                <w:color w:val="000000" w:themeColor="text1"/>
                <w:sz w:val="22"/>
                <w:szCs w:val="22"/>
                <w:lang w:eastAsia="en-US"/>
                <w14:textFill>
                  <w14:solidFill>
                    <w14:schemeClr w14:val="tx1"/>
                  </w14:solidFill>
                </w14:textFill>
              </w:rPr>
              <w:t>(altfel spus, a sistemului de detectare a scurgerilor la îmbinările țevilor - СДКМ).</w:t>
            </w:r>
            <w:r>
              <w:rPr>
                <w:rFonts w:hint="default" w:ascii="Times New Roman" w:hAnsi="Times New Roman" w:eastAsia="Calibri"/>
                <w:color w:val="000000" w:themeColor="text1"/>
                <w:sz w:val="22"/>
                <w:szCs w:val="22"/>
                <w:lang w:eastAsia="en-US"/>
                <w14:textFill>
                  <w14:solidFill>
                    <w14:schemeClr w14:val="tx1"/>
                  </w14:solidFill>
                </w14:textFill>
              </w:rPr>
              <w:t xml:space="preserve"> Setul include: 1) fetru (фетр) - pentru izolarea conductoarelor; 2) conectori pentru fire electrice de cupru (соединители медных электрических проводов) - pentru conexini electrice sigure; 3) suport pentru fire electrice (держатель проводов) - asigură fixarea sigură în interiorul îmbinării; 4) material de lipit - sârmă (припой - проволока); 5) mastic de lipit (паяльная мастика) - asigură o lipire eficientă și durabilă; 6) fire electrice (медные провода) cu secțiunea de minim 1,5 mm</w:t>
            </w:r>
            <w:r>
              <w:rPr>
                <w:rFonts w:hint="default" w:ascii="Times New Roman" w:hAnsi="Times New Roman" w:eastAsia="Calibri"/>
                <w:color w:val="000000" w:themeColor="text1"/>
                <w:sz w:val="22"/>
                <w:szCs w:val="22"/>
                <w:vertAlign w:val="superscript"/>
                <w:lang w:eastAsia="en-US"/>
                <w14:textFill>
                  <w14:solidFill>
                    <w14:schemeClr w14:val="tx1"/>
                  </w14:solidFill>
                </w14:textFill>
              </w:rPr>
              <w:t>2</w:t>
            </w:r>
            <w:r>
              <w:rPr>
                <w:rFonts w:hint="default" w:ascii="Times New Roman" w:hAnsi="Times New Roman" w:eastAsia="Calibri"/>
                <w:color w:val="000000" w:themeColor="text1"/>
                <w:sz w:val="22"/>
                <w:szCs w:val="22"/>
                <w:lang w:eastAsia="en-US"/>
                <w14:textFill>
                  <w14:solidFill>
                    <w14:schemeClr w14:val="tx1"/>
                  </w14:solidFill>
                </w14:textFill>
              </w:rPr>
              <w:t>, cu izolație rezistentă la temperaturi ridicate; 7) bandă adezivă din hârtie (бумажная клейкая лента) - utilizată la fixarea temporară a componentelor în timpul montajului. Toate componentele trebuie să fie compatibile cu sistemele detecție utilizate la țevile pre-izolate, în conformitate cu SM EN 253.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fix PI 108x5/200-PUR-PE,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w:t>
            </w: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fix pre-izolat 108x5/200-PUR-P</w:t>
            </w:r>
            <w:r>
              <w:rPr>
                <w:rFonts w:hint="default" w:ascii="Times New Roman" w:hAnsi="Times New Roman" w:eastAsia="Calibri"/>
                <w:i w:val="0"/>
                <w:iCs w:val="0"/>
                <w:color w:val="000000" w:themeColor="text1"/>
                <w:sz w:val="22"/>
                <w:szCs w:val="22"/>
                <w:lang w:eastAsia="en-US"/>
                <w14:textFill>
                  <w14:solidFill>
                    <w14:schemeClr w14:val="tx1"/>
                  </w14:solidFill>
                </w14:textFill>
              </w:rPr>
              <w:t>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cu fir de semnalizare*</w:t>
            </w:r>
            <w:r>
              <w:rPr>
                <w:rFonts w:hint="default" w:ascii="Times New Roman" w:hAnsi="Times New Roman" w:eastAsia="Calibri"/>
                <w:i/>
                <w:iCs/>
                <w:color w:val="000000" w:themeColor="text1"/>
                <w:sz w:val="22"/>
                <w:szCs w:val="22"/>
                <w:lang w:eastAsia="en-US"/>
                <w14:textFill>
                  <w14:solidFill>
                    <w14:schemeClr w14:val="tx1"/>
                  </w14:solidFill>
                </w14:textFill>
              </w:rPr>
              <w:t>,</w:t>
            </w:r>
            <w:r>
              <w:rPr>
                <w:rFonts w:hint="default" w:ascii="Times New Roman" w:hAnsi="Times New Roman" w:eastAsia="Calibri"/>
                <w:color w:val="000000" w:themeColor="text1"/>
                <w:sz w:val="22"/>
                <w:szCs w:val="22"/>
                <w:lang w:eastAsia="en-US"/>
                <w14:textFill>
                  <w14:solidFill>
                    <w14:schemeClr w14:val="tx1"/>
                  </w14:solidFill>
                </w14:textFill>
              </w:rPr>
              <w:t xml:space="preserve"> din oțel marca P265GH conform SM EN 10028-2. În corespundere cu cerințele SM EN 448.</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fix PI 219x6/315-PUR-PE,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 xml:space="preserve">Suport fix pre-izolat 219x6/315-PUR-PE </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cu fir de semnalizare*,</w:t>
            </w:r>
            <w:r>
              <w:rPr>
                <w:rFonts w:hint="default" w:ascii="Times New Roman" w:hAnsi="Times New Roman" w:eastAsia="Calibri"/>
                <w:color w:val="000000" w:themeColor="text1"/>
                <w:sz w:val="22"/>
                <w:szCs w:val="22"/>
                <w:lang w:eastAsia="en-US"/>
                <w14:textFill>
                  <w14:solidFill>
                    <w14:schemeClr w14:val="tx1"/>
                  </w14:solidFill>
                </w14:textFill>
              </w:rPr>
              <w:t xml:space="preserve"> din oțel marca P265GH conform SM EN 10028-2. În corespundere cu cerințele SM EN 448.</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 xml:space="preserve">Suport fix PI </w:t>
            </w:r>
            <w:r>
              <w:rPr>
                <w:rFonts w:hint="default" w:ascii="Times New Roman" w:hAnsi="Times New Roman" w:eastAsia="Calibri"/>
                <w:color w:val="000000" w:themeColor="text1"/>
                <w:sz w:val="22"/>
                <w:szCs w:val="22"/>
                <w:lang w:eastAsia="en-US"/>
                <w14:textFill>
                  <w14:solidFill>
                    <w14:schemeClr w14:val="tx1"/>
                  </w14:solidFill>
                </w14:textFill>
              </w:rPr>
              <w:t>426</w:t>
            </w:r>
            <w:r>
              <w:rPr>
                <w:rFonts w:hint="default" w:ascii="Times New Roman" w:hAnsi="Times New Roman" w:eastAsia="Calibri"/>
                <w:color w:val="000000" w:themeColor="text1"/>
                <w:sz w:val="22"/>
                <w:szCs w:val="22"/>
                <w:lang w:eastAsia="en-US"/>
                <w14:textFill>
                  <w14:solidFill>
                    <w14:schemeClr w14:val="tx1"/>
                  </w14:solidFill>
                </w14:textFill>
              </w:rPr>
              <w:t>x</w:t>
            </w:r>
            <w:r>
              <w:rPr>
                <w:rFonts w:hint="default" w:ascii="Times New Roman" w:hAnsi="Times New Roman" w:eastAsia="Calibri"/>
                <w:color w:val="000000" w:themeColor="text1"/>
                <w:sz w:val="22"/>
                <w:szCs w:val="22"/>
                <w:lang w:eastAsia="en-US"/>
                <w14:textFill>
                  <w14:solidFill>
                    <w14:schemeClr w14:val="tx1"/>
                  </w14:solidFill>
                </w14:textFill>
              </w:rPr>
              <w:t>9</w:t>
            </w:r>
            <w:r>
              <w:rPr>
                <w:rFonts w:hint="default" w:ascii="Times New Roman" w:hAnsi="Times New Roman" w:eastAsia="Calibri"/>
                <w:color w:val="000000" w:themeColor="text1"/>
                <w:sz w:val="22"/>
                <w:szCs w:val="22"/>
                <w:lang w:eastAsia="en-US"/>
                <w14:textFill>
                  <w14:solidFill>
                    <w14:schemeClr w14:val="tx1"/>
                  </w14:solidFill>
                </w14:textFill>
              </w:rPr>
              <w:t>/</w:t>
            </w:r>
            <w:r>
              <w:rPr>
                <w:rFonts w:hint="default" w:ascii="Times New Roman" w:hAnsi="Times New Roman" w:eastAsia="Calibri"/>
                <w:color w:val="000000" w:themeColor="text1"/>
                <w:sz w:val="22"/>
                <w:szCs w:val="22"/>
                <w:lang w:eastAsia="en-US"/>
                <w14:textFill>
                  <w14:solidFill>
                    <w14:schemeClr w14:val="tx1"/>
                  </w14:solidFill>
                </w14:textFill>
              </w:rPr>
              <w:t>560</w:t>
            </w:r>
            <w:r>
              <w:rPr>
                <w:rFonts w:hint="default" w:ascii="Times New Roman" w:hAnsi="Times New Roman" w:eastAsia="Calibri"/>
                <w:color w:val="000000" w:themeColor="text1"/>
                <w:sz w:val="22"/>
                <w:szCs w:val="22"/>
                <w:lang w:eastAsia="en-US"/>
                <w14:textFill>
                  <w14:solidFill>
                    <w14:schemeClr w14:val="tx1"/>
                  </w14:solidFill>
                </w14:textFill>
              </w:rPr>
              <w:t>-PUR-PE,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4</w:t>
            </w: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 xml:space="preserve">Suport fix pre-izolat </w:t>
            </w:r>
            <w:r>
              <w:rPr>
                <w:rFonts w:hint="default" w:ascii="Times New Roman" w:hAnsi="Times New Roman" w:eastAsia="Calibri"/>
                <w:color w:val="000000" w:themeColor="text1"/>
                <w:sz w:val="22"/>
                <w:szCs w:val="22"/>
                <w:lang w:eastAsia="en-US"/>
                <w14:textFill>
                  <w14:solidFill>
                    <w14:schemeClr w14:val="tx1"/>
                  </w14:solidFill>
                </w14:textFill>
              </w:rPr>
              <w:t>426</w:t>
            </w:r>
            <w:r>
              <w:rPr>
                <w:rFonts w:hint="default" w:ascii="Times New Roman" w:hAnsi="Times New Roman" w:eastAsia="Calibri"/>
                <w:color w:val="000000" w:themeColor="text1"/>
                <w:sz w:val="22"/>
                <w:szCs w:val="22"/>
                <w:lang w:eastAsia="en-US"/>
                <w14:textFill>
                  <w14:solidFill>
                    <w14:schemeClr w14:val="tx1"/>
                  </w14:solidFill>
                </w14:textFill>
              </w:rPr>
              <w:t>x</w:t>
            </w:r>
            <w:r>
              <w:rPr>
                <w:rFonts w:hint="default" w:ascii="Times New Roman" w:hAnsi="Times New Roman" w:eastAsia="Calibri"/>
                <w:color w:val="000000" w:themeColor="text1"/>
                <w:sz w:val="22"/>
                <w:szCs w:val="22"/>
                <w:lang w:eastAsia="en-US"/>
                <w14:textFill>
                  <w14:solidFill>
                    <w14:schemeClr w14:val="tx1"/>
                  </w14:solidFill>
                </w14:textFill>
              </w:rPr>
              <w:t>9</w:t>
            </w:r>
            <w:r>
              <w:rPr>
                <w:rFonts w:hint="default" w:ascii="Times New Roman" w:hAnsi="Times New Roman" w:eastAsia="Calibri"/>
                <w:color w:val="000000" w:themeColor="text1"/>
                <w:sz w:val="22"/>
                <w:szCs w:val="22"/>
                <w:lang w:eastAsia="en-US"/>
                <w14:textFill>
                  <w14:solidFill>
                    <w14:schemeClr w14:val="tx1"/>
                  </w14:solidFill>
                </w14:textFill>
              </w:rPr>
              <w:t>/</w:t>
            </w:r>
            <w:r>
              <w:rPr>
                <w:rFonts w:hint="default" w:ascii="Times New Roman" w:hAnsi="Times New Roman" w:eastAsia="Calibri"/>
                <w:color w:val="000000" w:themeColor="text1"/>
                <w:sz w:val="22"/>
                <w:szCs w:val="22"/>
                <w:lang w:eastAsia="en-US"/>
                <w14:textFill>
                  <w14:solidFill>
                    <w14:schemeClr w14:val="tx1"/>
                  </w14:solidFill>
                </w14:textFill>
              </w:rPr>
              <w:t>560</w:t>
            </w:r>
            <w:r>
              <w:rPr>
                <w:rFonts w:hint="default" w:ascii="Times New Roman" w:hAnsi="Times New Roman" w:eastAsia="Calibri"/>
                <w:color w:val="000000" w:themeColor="text1"/>
                <w:sz w:val="22"/>
                <w:szCs w:val="22"/>
                <w:lang w:eastAsia="en-US"/>
                <w14:textFill>
                  <w14:solidFill>
                    <w14:schemeClr w14:val="tx1"/>
                  </w14:solidFill>
                </w14:textFill>
              </w:rPr>
              <w:t xml:space="preserve">-PUR-PE </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cu fir de semnalizare*,</w:t>
            </w:r>
            <w:r>
              <w:rPr>
                <w:rFonts w:hint="default" w:ascii="Times New Roman" w:hAnsi="Times New Roman" w:eastAsia="Calibri"/>
                <w:color w:val="000000" w:themeColor="text1"/>
                <w:sz w:val="22"/>
                <w:szCs w:val="22"/>
                <w:lang w:eastAsia="en-US"/>
                <w14:textFill>
                  <w14:solidFill>
                    <w14:schemeClr w14:val="tx1"/>
                  </w14:solidFill>
                </w14:textFill>
              </w:rPr>
              <w:t xml:space="preserve"> din oțel marca P265GH conform SM EN 10028-2. În corespundere cu cerințele SM EN 448.</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Suport fix PI 530x10/710-PUR-PE,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Suport fix pre-izolat 530x10/710-PUR-PE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cu fir de semnalizare*,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din oțel marca P265GH conform SM EN 10028-2. În corespundere cu cerințele SM EN 448.</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Manșon de capăt pentru țevi de oțel PI 200-PUR-PE</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Manșon de capăt pentru țevi de oțel pre-izolate 108/200-PUR-PE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Manșon de capăt pentru țevi de oțel PI 315-PUR-PE</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Manșon de capăt pentru țevi de oțel pre-izolate 219/315-PUR-PE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Manșon de capăt pentru țevi de oțel PI 560-PUR-PE</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Manșon de capăt pentru țevi de oțel pre-izolate 426/560-PUR-PE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Manșon de capăt pentru țevi de oțel PI 710-PUR-PE</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Manșon de capăt pentru țevi de oțel pre-izolate 530/710-PUR-PE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mobil pentru țevi PI 200-PUR-PE</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mobil pentru țevi pre-izolate 200-PUR-PE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mobil pentru țevi PI 315-PUR-PE</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mobil pentru țevi pre-izolate 315-PUR-PE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mobil pentru țevi PI 560-PUR-PE</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16,0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mobil pentru țevi pre-izolate 560-PUR-PE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mobil pentru țevi PI 710-PUR-PE</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Suport mobil pentru țevi pre-izolate 710-PUR-PE - în corespundere cu cerințele SM EN 253. Tipul izolației: poliuretan (PUR), manta din polietilenă (PE).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35" w:type="dxa"/>
            <w:gridSpan w:val="5"/>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b/>
                <w:bCs/>
                <w:color w:val="000000" w:themeColor="text1"/>
                <w:sz w:val="22"/>
                <w:szCs w:val="22"/>
                <w:lang w:eastAsia="en-US"/>
                <w14:textFill>
                  <w14:solidFill>
                    <w14:schemeClr w14:val="tx1"/>
                  </w14:solidFill>
                </w14:textFill>
              </w:rPr>
            </w:pPr>
            <w:r>
              <w:rPr>
                <w:rFonts w:hint="default" w:ascii="Times New Roman" w:hAnsi="Times New Roman" w:eastAsia="Calibri" w:cs="Times New Roman"/>
                <w:b/>
                <w:bCs/>
                <w:color w:val="000000" w:themeColor="text1"/>
                <w:sz w:val="22"/>
                <w:szCs w:val="22"/>
                <w:lang w:val="ro-RO" w:eastAsia="en-US" w:bidi="ar-SA"/>
                <w14:textFill>
                  <w14:solidFill>
                    <w14:schemeClr w14:val="tx1"/>
                  </w14:solidFill>
                </w14:textFill>
              </w:rPr>
              <w:t>L</w:t>
            </w:r>
            <w:r>
              <w:rPr>
                <w:rFonts w:hint="default" w:ascii="Times New Roman" w:hAnsi="Times New Roman" w:eastAsia="Calibri" w:cs="Times New Roman"/>
                <w:b/>
                <w:bCs/>
                <w:color w:val="000000" w:themeColor="text1"/>
                <w:sz w:val="22"/>
                <w:szCs w:val="22"/>
                <w:lang w:eastAsia="en-US" w:bidi="ar-SA"/>
                <w14:textFill>
                  <w14:solidFill>
                    <w14:schemeClr w14:val="tx1"/>
                  </w14:solidFill>
                </w14:textFill>
              </w:rPr>
              <w:t>otul nr.</w:t>
            </w:r>
            <w:r>
              <w:rPr>
                <w:rFonts w:hint="default" w:ascii="Times New Roman" w:hAnsi="Times New Roman" w:eastAsia="Calibri" w:cs="Times New Roman"/>
                <w:b/>
                <w:bCs/>
                <w:color w:val="000000" w:themeColor="text1"/>
                <w:sz w:val="22"/>
                <w:szCs w:val="22"/>
                <w:lang w:val="ro-RO" w:eastAsia="en-US" w:bidi="ar-SA"/>
                <w14:textFill>
                  <w14:solidFill>
                    <w14:schemeClr w14:val="tx1"/>
                  </w14:solidFill>
                </w14:textFill>
              </w:rPr>
              <w:t xml:space="preserve"> </w:t>
            </w:r>
            <w:r>
              <w:rPr>
                <w:rFonts w:hint="default" w:ascii="Times New Roman" w:hAnsi="Times New Roman" w:eastAsia="Calibri" w:cs="Times New Roman"/>
                <w:b/>
                <w:bCs/>
                <w:color w:val="000000" w:themeColor="text1"/>
                <w:sz w:val="22"/>
                <w:szCs w:val="22"/>
                <w:lang w:eastAsia="en-US" w:bidi="ar-SA"/>
                <w14:textFill>
                  <w14:solidFill>
                    <w14:schemeClr w14:val="tx1"/>
                  </w14:solidFill>
                </w14:textFill>
              </w:rPr>
              <w:t>2</w:t>
            </w:r>
            <w:r>
              <w:rPr>
                <w:rFonts w:hint="default" w:ascii="Times New Roman" w:hAnsi="Times New Roman" w:eastAsia="Calibri" w:cs="Times New Roman"/>
                <w:b/>
                <w:bCs/>
                <w:color w:val="000000" w:themeColor="text1"/>
                <w:sz w:val="22"/>
                <w:szCs w:val="22"/>
                <w:lang w:val="ro-RO" w:eastAsia="en-US" w:bidi="ar-SA"/>
                <w14:textFill>
                  <w14:solidFill>
                    <w14:schemeClr w14:val="tx1"/>
                  </w14:solidFill>
                </w14:textFill>
              </w:rPr>
              <w:t>.</w:t>
            </w:r>
            <w:r>
              <w:rPr>
                <w:rFonts w:hint="default" w:ascii="Times New Roman" w:hAnsi="Times New Roman" w:eastAsia="Calibri" w:cs="Times New Roman"/>
                <w:b/>
                <w:bCs/>
                <w:color w:val="000000" w:themeColor="text1"/>
                <w:sz w:val="22"/>
                <w:szCs w:val="22"/>
                <w:lang w:eastAsia="en-US" w:bidi="ar-SA"/>
                <w14:textFill>
                  <w14:solidFill>
                    <w14:schemeClr w14:val="tx1"/>
                  </w14:solidFill>
                </w14:textFill>
              </w:rPr>
              <w:t xml:space="preserve"> </w:t>
            </w:r>
            <w:r>
              <w:rPr>
                <w:rFonts w:hint="default" w:ascii="Times New Roman" w:hAnsi="Times New Roman" w:eastAsia="Calibri"/>
                <w:b/>
                <w:bCs/>
                <w:color w:val="000000" w:themeColor="text1"/>
                <w:sz w:val="22"/>
                <w:szCs w:val="22"/>
                <w:lang w:eastAsia="en-US"/>
                <w14:textFill>
                  <w14:solidFill>
                    <w14:schemeClr w14:val="tx1"/>
                  </w14:solidFill>
                </w14:textFill>
              </w:rPr>
              <w:t>Țevi din oțel neizolate și articole conexe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Țeavă de oțel 25x2,8mm,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eavă de oțel 25x2,8mm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32x2,8mm,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eavă de oțel 32x2,8mm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48x3,0mm,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60,0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eavă de oțel 48x3,0mm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57x4mm,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408,0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eavă de oțel 57x4</w:t>
            </w:r>
            <w:r>
              <w:rPr>
                <w:rFonts w:hint="default" w:ascii="Times New Roman" w:hAnsi="Times New Roman" w:eastAsia="Calibri"/>
                <w:color w:val="000000" w:themeColor="text1"/>
                <w:sz w:val="22"/>
                <w:szCs w:val="22"/>
                <w:highlight w:val="none"/>
                <w:lang w:eastAsia="en-US"/>
                <w14:textFill>
                  <w14:solidFill>
                    <w14:schemeClr w14:val="tx1"/>
                  </w14:solidFill>
                </w14:textFill>
              </w:rPr>
              <w:t>,0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76x4mm,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108,0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eavă de oțel </w:t>
            </w:r>
            <w:r>
              <w:rPr>
                <w:rFonts w:hint="default" w:ascii="Times New Roman" w:hAnsi="Times New Roman" w:eastAsia="Calibri"/>
                <w:color w:val="000000" w:themeColor="text1"/>
                <w:sz w:val="22"/>
                <w:szCs w:val="22"/>
                <w:highlight w:val="none"/>
                <w:lang w:eastAsia="en-US"/>
                <w14:textFill>
                  <w14:solidFill>
                    <w14:schemeClr w14:val="tx1"/>
                  </w14:solidFill>
                </w14:textFill>
              </w:rPr>
              <w:t>76</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x4</w:t>
            </w:r>
            <w:r>
              <w:rPr>
                <w:rFonts w:hint="default" w:ascii="Times New Roman" w:hAnsi="Times New Roman" w:eastAsia="Calibri"/>
                <w:color w:val="000000" w:themeColor="text1"/>
                <w:sz w:val="22"/>
                <w:szCs w:val="22"/>
                <w:highlight w:val="none"/>
                <w:lang w:eastAsia="en-US"/>
                <w14:textFill>
                  <w14:solidFill>
                    <w14:schemeClr w14:val="tx1"/>
                  </w14:solidFill>
                </w14:textFill>
              </w:rPr>
              <w:t>,0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89x4mm,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216,0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eavă de oțel </w:t>
            </w:r>
            <w:r>
              <w:rPr>
                <w:rFonts w:hint="default" w:ascii="Times New Roman" w:hAnsi="Times New Roman" w:eastAsia="Calibri"/>
                <w:color w:val="000000" w:themeColor="text1"/>
                <w:sz w:val="22"/>
                <w:szCs w:val="22"/>
                <w:highlight w:val="none"/>
                <w:lang w:eastAsia="en-US"/>
                <w14:textFill>
                  <w14:solidFill>
                    <w14:schemeClr w14:val="tx1"/>
                  </w14:solidFill>
                </w14:textFill>
              </w:rPr>
              <w:t>89</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x4</w:t>
            </w:r>
            <w:r>
              <w:rPr>
                <w:rFonts w:hint="default" w:ascii="Times New Roman" w:hAnsi="Times New Roman" w:eastAsia="Calibri"/>
                <w:color w:val="000000" w:themeColor="text1"/>
                <w:sz w:val="22"/>
                <w:szCs w:val="22"/>
                <w:highlight w:val="none"/>
                <w:lang w:eastAsia="en-US"/>
                <w14:textFill>
                  <w14:solidFill>
                    <w14:schemeClr w14:val="tx1"/>
                  </w14:solidFill>
                </w14:textFill>
              </w:rPr>
              <w:t>,0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89x4,0mm, electrosudată, oțel 20</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160,0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cu diametrul exterior de 89 mm și grosimea pereților de 4,0 mm, în conformitate cu GOST 1070</w:t>
            </w:r>
            <w:r>
              <w:rPr>
                <w:rFonts w:hint="default" w:ascii="Times New Roman" w:hAnsi="Times New Roman" w:eastAsia="Calibri"/>
                <w:color w:val="000000" w:themeColor="text1"/>
                <w:sz w:val="22"/>
                <w:szCs w:val="22"/>
                <w:highlight w:val="none"/>
                <w:lang w:eastAsia="en-US"/>
                <w14:textFill>
                  <w14:solidFill>
                    <w14:schemeClr w14:val="tx1"/>
                  </w14:solidFill>
                </w14:textFill>
              </w:rPr>
              <w:t>4 și GOST 10706. Material - oțel de calitate 20 (Ст20) conf</w:t>
            </w:r>
            <w:r>
              <w:rPr>
                <w:rFonts w:hint="default" w:ascii="Times New Roman" w:hAnsi="Times New Roman" w:eastAsia="Calibri"/>
                <w:color w:val="000000" w:themeColor="text1"/>
                <w:sz w:val="22"/>
                <w:szCs w:val="22"/>
                <w:lang w:eastAsia="en-US"/>
                <w14:textFill>
                  <w14:solidFill>
                    <w14:schemeClr w14:val="tx1"/>
                  </w14:solidFill>
                </w14:textFill>
              </w:rPr>
              <w:t>orm GOST 1050 (în concordanță cu NRS 35-03-59:2003, Anexa F). Lungimea țevii trebuie să fie de 10-12 metri, nemăsurată (немерная длина). Limitarea abaterilor pentru diametrul exterior și grosimea peretelui țevii conform GOST 10704. Capetele țevilor trebuie tăiate sub unghi drept.</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Se acceptă echivalentul: Țeavă de oțel 89x4,0mm, din oțel marca P265GH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108x5mm,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216,0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eavă de oțel </w:t>
            </w:r>
            <w:r>
              <w:rPr>
                <w:rFonts w:hint="default" w:ascii="Times New Roman" w:hAnsi="Times New Roman" w:eastAsia="Calibri"/>
                <w:color w:val="000000" w:themeColor="text1"/>
                <w:sz w:val="22"/>
                <w:szCs w:val="22"/>
                <w:highlight w:val="none"/>
                <w:lang w:eastAsia="en-US"/>
                <w14:textFill>
                  <w14:solidFill>
                    <w14:schemeClr w14:val="tx1"/>
                  </w14:solidFill>
                </w14:textFill>
              </w:rPr>
              <w:t>108</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x</w:t>
            </w:r>
            <w:r>
              <w:rPr>
                <w:rFonts w:hint="default" w:ascii="Times New Roman" w:hAnsi="Times New Roman" w:eastAsia="Calibri"/>
                <w:color w:val="000000" w:themeColor="text1"/>
                <w:sz w:val="22"/>
                <w:szCs w:val="22"/>
                <w:highlight w:val="none"/>
                <w:lang w:eastAsia="en-US"/>
                <w14:textFill>
                  <w14:solidFill>
                    <w14:schemeClr w14:val="tx1"/>
                  </w14:solidFill>
                </w14:textFill>
              </w:rPr>
              <w:t>5,0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108x5mm, electrosudată, oțel marca Ст3сп</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80,0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cu diametrul exterior de 108 mm și grosimea pereților d</w:t>
            </w:r>
            <w:r>
              <w:rPr>
                <w:rFonts w:hint="default" w:ascii="Times New Roman" w:hAnsi="Times New Roman" w:eastAsia="Calibri"/>
                <w:color w:val="000000" w:themeColor="text1"/>
                <w:sz w:val="22"/>
                <w:szCs w:val="22"/>
                <w:highlight w:val="none"/>
                <w:lang w:eastAsia="en-US"/>
                <w14:textFill>
                  <w14:solidFill>
                    <w14:schemeClr w14:val="tx1"/>
                  </w14:solidFill>
                </w14:textFill>
              </w:rPr>
              <w:t>e 5,0 mm, în conformitate cu GOST 10704 și GOST 10706. Material - oțel marca Ст3сп conform GOST 380. Lungimea țevii trebuie să fie între 6-9 metri, nemăsurată (немерная длина). Limitarea abaterilor pentru diametrul exterior și grosimea peretelui țevii conform GOST 10704. Capetele țevilor trebuie tăiate sub unghi drept.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219x6mm,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eavă de oțel </w:t>
            </w:r>
            <w:r>
              <w:rPr>
                <w:rFonts w:hint="default" w:ascii="Times New Roman" w:hAnsi="Times New Roman" w:eastAsia="Calibri"/>
                <w:color w:val="000000" w:themeColor="text1"/>
                <w:sz w:val="22"/>
                <w:szCs w:val="22"/>
                <w:highlight w:val="none"/>
                <w:lang w:eastAsia="en-US"/>
                <w14:textFill>
                  <w14:solidFill>
                    <w14:schemeClr w14:val="tx1"/>
                  </w14:solidFill>
                </w14:textFill>
              </w:rPr>
              <w:t>219</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x</w:t>
            </w:r>
            <w:r>
              <w:rPr>
                <w:rFonts w:hint="default" w:ascii="Times New Roman" w:hAnsi="Times New Roman" w:eastAsia="Calibri"/>
                <w:color w:val="000000" w:themeColor="text1"/>
                <w:sz w:val="22"/>
                <w:szCs w:val="22"/>
                <w:highlight w:val="none"/>
                <w:lang w:eastAsia="en-US"/>
                <w14:textFill>
                  <w14:solidFill>
                    <w14:schemeClr w14:val="tx1"/>
                  </w14:solidFill>
                </w14:textFill>
              </w:rPr>
              <w:t>6,0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273x7mm,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60,0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eavă de oțel </w:t>
            </w:r>
            <w:r>
              <w:rPr>
                <w:rFonts w:hint="default" w:ascii="Times New Roman" w:hAnsi="Times New Roman" w:eastAsia="Calibri"/>
                <w:color w:val="000000" w:themeColor="text1"/>
                <w:sz w:val="22"/>
                <w:szCs w:val="22"/>
                <w:highlight w:val="none"/>
                <w:lang w:eastAsia="en-US"/>
                <w14:textFill>
                  <w14:solidFill>
                    <w14:schemeClr w14:val="tx1"/>
                  </w14:solidFill>
                </w14:textFill>
              </w:rPr>
              <w:t>273</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x</w:t>
            </w:r>
            <w:r>
              <w:rPr>
                <w:rFonts w:hint="default" w:ascii="Times New Roman" w:hAnsi="Times New Roman" w:eastAsia="Calibri"/>
                <w:color w:val="000000" w:themeColor="text1"/>
                <w:sz w:val="22"/>
                <w:szCs w:val="22"/>
                <w:highlight w:val="none"/>
                <w:lang w:eastAsia="en-US"/>
                <w14:textFill>
                  <w14:solidFill>
                    <w14:schemeClr w14:val="tx1"/>
                  </w14:solidFill>
                </w14:textFill>
              </w:rPr>
              <w:t>7,0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325x8mm,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eavă de oțel </w:t>
            </w:r>
            <w:r>
              <w:rPr>
                <w:rFonts w:hint="default" w:ascii="Times New Roman" w:hAnsi="Times New Roman" w:eastAsia="Calibri"/>
                <w:color w:val="000000" w:themeColor="text1"/>
                <w:sz w:val="22"/>
                <w:szCs w:val="22"/>
                <w:highlight w:val="none"/>
                <w:lang w:eastAsia="en-US"/>
                <w14:textFill>
                  <w14:solidFill>
                    <w14:schemeClr w14:val="tx1"/>
                  </w14:solidFill>
                </w14:textFill>
              </w:rPr>
              <w:t>325</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x</w:t>
            </w:r>
            <w:r>
              <w:rPr>
                <w:rFonts w:hint="default" w:ascii="Times New Roman" w:hAnsi="Times New Roman" w:eastAsia="Calibri"/>
                <w:color w:val="000000" w:themeColor="text1"/>
                <w:sz w:val="22"/>
                <w:szCs w:val="22"/>
                <w:highlight w:val="none"/>
                <w:lang w:eastAsia="en-US"/>
                <w14:textFill>
                  <w14:solidFill>
                    <w14:schemeClr w14:val="tx1"/>
                  </w14:solidFill>
                </w14:textFill>
              </w:rPr>
              <w:t>8,0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426x9mm,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426x9,0mm. Oțel marca P265GH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de oțel 530x9mm, electrosudată,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eavă de oțel </w:t>
            </w:r>
            <w:r>
              <w:rPr>
                <w:rFonts w:hint="default" w:ascii="Times New Roman" w:hAnsi="Times New Roman" w:eastAsia="Calibri"/>
                <w:color w:val="000000" w:themeColor="text1"/>
                <w:sz w:val="22"/>
                <w:szCs w:val="22"/>
                <w:highlight w:val="none"/>
                <w:lang w:eastAsia="en-US"/>
                <w14:textFill>
                  <w14:solidFill>
                    <w14:schemeClr w14:val="tx1"/>
                  </w14:solidFill>
                </w14:textFill>
              </w:rPr>
              <w:t>530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x</w:t>
            </w:r>
            <w:r>
              <w:rPr>
                <w:rFonts w:hint="default" w:ascii="Times New Roman" w:hAnsi="Times New Roman" w:eastAsia="Calibri"/>
                <w:color w:val="000000" w:themeColor="text1"/>
                <w:sz w:val="22"/>
                <w:szCs w:val="22"/>
                <w:highlight w:val="none"/>
                <w:lang w:eastAsia="en-US"/>
                <w14:textFill>
                  <w14:solidFill>
                    <w14:schemeClr w14:val="tx1"/>
                  </w14:solidFill>
                </w14:textFill>
              </w:rPr>
              <w:t>9,0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O</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Electrosudată longitudinal conform SM EN 10217-2,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Țeavă de oțel 38x3,5mm, fără sudură, oțel 20</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t.</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Țeavă de oțel fără sudură (fără cusătură sudată), cu diametrul nominal (la exterior) de 38 mm și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grosimea pereților de 3,5 mm conform GOST 8733 (группа В). Marca materialului - oțel 20 (Ст</w:t>
            </w:r>
            <w:r>
              <w:rPr>
                <w:rFonts w:hint="default" w:ascii="Times New Roman" w:hAnsi="Times New Roman" w:eastAsia="Calibri"/>
                <w:color w:val="000000" w:themeColor="text1"/>
                <w:sz w:val="22"/>
                <w:szCs w:val="22"/>
                <w:highlight w:val="none"/>
                <w:lang w:eastAsia="en-US"/>
                <w14:textFill>
                  <w14:solidFill>
                    <w14:schemeClr w14:val="tx1"/>
                  </w14:solidFill>
                </w14:textFill>
              </w:rPr>
              <w:t>аль 20) conform GOST 1050 (în concordanță cu NRS 35-03-59:2003, Anexa F). Lungimea țevilor - nu mai puțin de 9 metri. Limita abaterilor în ceea ce privește diametrul exterior și grosimea pereților țevii - conform prevederilor GOST 8734. Capetele țevilor trebuie să fie tăiate sub unghi drept.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din oțel 108x4,0mm, fără sudură, oțel 20</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din oțel 108x4,0mm, fără sudură, deformată</w:t>
            </w:r>
            <w:r>
              <w:rPr>
                <w:rFonts w:hint="default" w:ascii="Times New Roman" w:hAnsi="Times New Roman" w:eastAsia="Calibri"/>
                <w:color w:val="000000" w:themeColor="text1"/>
                <w:sz w:val="22"/>
                <w:szCs w:val="22"/>
                <w:lang w:eastAsia="en-US"/>
                <w14:textFill>
                  <w14:solidFill>
                    <w14:schemeClr w14:val="tx1"/>
                  </w14:solidFill>
                </w14:textFill>
              </w:rPr>
              <w:t xml:space="preserve"> (trasă)</w:t>
            </w:r>
            <w:r>
              <w:rPr>
                <w:rFonts w:hint="default" w:ascii="Times New Roman" w:hAnsi="Times New Roman" w:eastAsia="Calibri"/>
                <w:color w:val="000000" w:themeColor="text1"/>
                <w:sz w:val="22"/>
                <w:szCs w:val="22"/>
                <w:lang w:eastAsia="en-US"/>
                <w14:textFill>
                  <w14:solidFill>
                    <w14:schemeClr w14:val="tx1"/>
                  </w14:solidFill>
                </w14:textFill>
              </w:rPr>
              <w:t xml:space="preserve"> la cald, conform GOST 8732-78. Marca materialului - oțel 20 (Сталь 20) conform GOST 1050. Lungimea țevii livrate va fi de 6,0 metri.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Se acceptă echivalentul: Țeavă de oțel 108x4,0mm, din oțel marca P235TR2 conform SM SR EN 10220, SM EN 10216-1.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din oțel 133x4,0mm, fără sudură, oțel 20</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m.</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Țeavă din oțel 133x4,0mm, fără sudură, deformată</w:t>
            </w:r>
            <w:r>
              <w:rPr>
                <w:rFonts w:hint="default" w:ascii="Times New Roman" w:hAnsi="Times New Roman" w:eastAsia="Calibri"/>
                <w:color w:val="000000" w:themeColor="text1"/>
                <w:sz w:val="22"/>
                <w:szCs w:val="22"/>
                <w:lang w:eastAsia="en-US"/>
                <w14:textFill>
                  <w14:solidFill>
                    <w14:schemeClr w14:val="tx1"/>
                  </w14:solidFill>
                </w14:textFill>
              </w:rPr>
              <w:t xml:space="preserve"> </w:t>
            </w:r>
            <w:r>
              <w:rPr>
                <w:rFonts w:hint="default" w:ascii="Times New Roman" w:hAnsi="Times New Roman" w:eastAsia="Calibri"/>
                <w:color w:val="000000" w:themeColor="text1"/>
                <w:sz w:val="22"/>
                <w:szCs w:val="22"/>
                <w:lang w:eastAsia="en-US"/>
                <w14:textFill>
                  <w14:solidFill>
                    <w14:schemeClr w14:val="tx1"/>
                  </w14:solidFill>
                </w14:textFill>
              </w:rPr>
              <w:t>(trasă) la cald, conform GOST 8732-78. Marca materialului - oțel 20 (Сталь 20) conform GOST 1050. Lungimea țevii livrate va fi de 6,0 metri.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Se acceptă echivalentul: Țeavă de oțel 133x4,0mm, din oțel marca P235TR2 conform SM SR EN 10220, SM EN 10216-1.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48x4mm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6,0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48x4,0 conform SM ISO 3419:2017. Oțel marca P265GH conform SM EN 10028-2. Cot de tip 2D (rază de curbură R≈DN),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57x5mm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57x5,0 conform SM ISO 3419:2017. Oțel marca P265GH conform SM EN 10028-2. Cot de tip 2D (rază de curbură R≈DN),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76x5mm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76x5,0 conform SM ISO 3419:2017. Oțel marca P265GH conform SM EN 10028-2. Cot de tip 2D (rază de curbură R≈DN),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89x5mm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89x5,0 conform SM ISO 3419:2017. Oțel marca P265GH conform SM EN 10028-2. Cot de tip 2D (rază de curbură R≈DN),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108x6mm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108x6,0 conform SM ISO 3419:2017. Oțel marca P265GH conform SM EN 10028-2. Cot de tip 2D (rază de curbură R≈DN),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133x6mm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133x6,0 conform SM ISO 3419:2017. Oțel marca P265GH conform SM EN 10028-2. Cot de tip 2D (rază de curbură R≈DN),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159x6mm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20,0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159x6,0 conform SM ISO 3419:2017. Oțel marca P265GH conform SM EN 10028-2. Cot de tip 2D (rază de curbură R≈DN),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219x6mm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219x6,0 conform SM ISO 3419:2017. Oțel marca P265GH conform SM EN 10028-2. Cot de tip 2D (rază de curbură R≈DN),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273x8mm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6,0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273x8,0 conform SM ISO 3419:2017. Oțel marca P265GH conform SM EN 10028-2. Cot de tip 2D (rază de curbură R≈DN),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325x8mm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1,0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325x8,0 conform SM ISO 3419:2017. Oțel marca P265GH conform SM EN 10028-2. Cot de tip 2D (rază de curbură R=DN),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426x9mm 90`, oțel P265GH, tip 2D (R=DN)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3,0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426x9,0 conform SM ISO 3419:2017. Oțel marca P265GH conform SM EN 10028-2. Cot de tip 2D (rază de curbură R</w:t>
            </w:r>
            <w:r>
              <w:rPr>
                <w:rFonts w:hint="default" w:ascii="Times New Roman" w:hAnsi="Times New Roman" w:eastAsia="Calibri" w:cs="Times New Roman"/>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lang w:eastAsia="en-US"/>
                <w14:textFill>
                  <w14:solidFill>
                    <w14:schemeClr w14:val="tx1"/>
                  </w14:solidFill>
                </w14:textFill>
              </w:rPr>
              <w:t>DN), sudabil cap la cap, pentru presiune de lucru până la 2,5 MPa și temperatură maximă a agentului termic de 120℃.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89x6mm 90`, oțel 20, tip 3D (R=1,5DN)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5,0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Cot ștanțat din oțel 89x6,0mm conform SM ISO 3419:2017 (GOST 17375-2001 și GOST 17380-2001). Material - oțel de calitate 20 (Ст20) conform GOST 1050 (în concordanță cu NRS 35-03-59:2003, Anexa F). Cot de tip 3D (rază de curbură R</w:t>
            </w:r>
            <w:r>
              <w:rPr>
                <w:rFonts w:hint="default" w:ascii="Times New Roman" w:hAnsi="Times New Roman" w:eastAsia="Calibri" w:cs="Times New Roman"/>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eastAsia="en-US"/>
                <w14:textFill>
                  <w14:solidFill>
                    <w14:schemeClr w14:val="tx1"/>
                  </w14:solidFill>
                </w14:textFill>
              </w:rPr>
              <w:t>1,5DN), sudabil cap la cap.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108x6mm 90`, oțel 20, tip 3D (R=1,5DN)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5,0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Cot ștanțat din oțel 108x6,0mm conform SM ISO 3419:2017 (GOST 17375-2001 și GOST 17380-2001). Material - oțel de calitate 20 (Ст20) conform GOST 1050 (în concordanță cu NRS 35-03-59:2003, Anexa F). Cot de tip 3D (rază de curbură R</w:t>
            </w:r>
            <w:r>
              <w:rPr>
                <w:rFonts w:hint="default" w:ascii="Times New Roman" w:hAnsi="Times New Roman" w:eastAsia="Calibri" w:cs="Times New Roman"/>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eastAsia="en-US"/>
                <w14:textFill>
                  <w14:solidFill>
                    <w14:schemeClr w14:val="tx1"/>
                  </w14:solidFill>
                </w14:textFill>
              </w:rPr>
              <w:t>1,5DN), sudabil cap la cap.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lang w:val="en-US" w:eastAsia="en-US" w:bidi="ar-SA"/>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Cot ștanțat din oțel 133x6mm 90`, oțel 20, tip 3D (R=1,5DN)</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5,0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Cot ștanțat din oțel 133x6,0mm conform SM ISO 3419:2017 (GOST 17375-2001 și GOST 17380-2001). Material - oțel de calitate 20 (Ст20) conform GOST 1050 (în concordanță cu NRS 35-03-59:2003, Anexa F). Cot de tip 3D (rază de curbură R</w:t>
            </w:r>
            <w:r>
              <w:rPr>
                <w:rFonts w:hint="default" w:ascii="Times New Roman" w:hAnsi="Times New Roman" w:eastAsia="Calibri" w:cs="Times New Roman"/>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eastAsia="en-US"/>
                <w14:textFill>
                  <w14:solidFill>
                    <w14:schemeClr w14:val="tx1"/>
                  </w14:solidFill>
                </w14:textFill>
              </w:rPr>
              <w:t>1,5DN), sudabil cap la cap. Unghi de 90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Reducție concentrică 325x8mm-219x7mm Pn25,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2,0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Reducție concentrică 325x8mm - 219x7mm cu lungimea de 220mm conform SM ISO 3419:2017. Oțel marca P265GH conform SM EN 10028-2. Sudabilă cap la cap,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Reducție concentrică 426x12mm-273x10mm Pn25,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4,0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Reducție concentrică 426x12mm - 273x10mm cu lungimea de 220mm conform SM ISO 3419:2017. Oțel marca P265GH conform SM EN 10028-2. Sudabilă cap la cap, pentru presiune de lucru până la 2,5 MPa și temperatură maximă a agentului termic de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lang w:eastAsia="en-US" w:bidi="ar-SA"/>
                <w14:textFill>
                  <w14:solidFill>
                    <w14:schemeClr w14:val="tx1"/>
                  </w14:solidFill>
                </w14:textFill>
              </w:rPr>
            </w:pPr>
          </w:p>
        </w:tc>
        <w:tc>
          <w:tcPr>
            <w:tcW w:w="327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Reducție concentrică 530x12mm-426x10mm Pn25, oțel P265GH</w:t>
            </w:r>
          </w:p>
        </w:tc>
        <w:tc>
          <w:tcPr>
            <w:tcW w:w="587"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buc.</w:t>
            </w:r>
          </w:p>
        </w:tc>
        <w:tc>
          <w:tcPr>
            <w:tcW w:w="825"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lang w:eastAsia="en-US" w:bidi="ar-SA"/>
                <w14:textFill>
                  <w14:solidFill>
                    <w14:schemeClr w14:val="tx1"/>
                  </w14:solidFill>
                </w14:textFill>
              </w:rPr>
              <w:t>6,0</w:t>
            </w:r>
          </w:p>
        </w:tc>
        <w:tc>
          <w:tcPr>
            <w:tcW w:w="4405"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Calibri"/>
                <w:color w:val="000000" w:themeColor="text1"/>
                <w:sz w:val="22"/>
                <w:szCs w:val="22"/>
                <w:lang w:eastAsia="en-US"/>
                <w14:textFill>
                  <w14:solidFill>
                    <w14:schemeClr w14:val="tx1"/>
                  </w14:solidFill>
                </w14:textFill>
              </w:rPr>
            </w:pPr>
            <w:r>
              <w:rPr>
                <w:rFonts w:hint="default" w:ascii="Times New Roman" w:hAnsi="Times New Roman" w:eastAsia="Calibri"/>
                <w:color w:val="000000" w:themeColor="text1"/>
                <w:sz w:val="22"/>
                <w:szCs w:val="22"/>
                <w:lang w:eastAsia="en-US"/>
                <w14:textFill>
                  <w14:solidFill>
                    <w14:schemeClr w14:val="tx1"/>
                  </w14:solidFill>
                </w14:textFill>
              </w:rPr>
              <w:t>Reducție concentrică 530x12mm - 426x10mm cu lungimea de 300mm conform SM ISO 3419:2017. Oțel marca P265GH conform SM EN 10028-2. Sudabilă cap la cap, pentru presiune de lucru până la 2,5 MPa și temperatură maximă a agentului termic de 120℃.</w:t>
            </w:r>
          </w:p>
        </w:tc>
      </w:tr>
      <w:bookmarkEnd w:id="0"/>
    </w:tbl>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sz w:val="24"/>
          <w:szCs w:val="24"/>
        </w:rPr>
      </w:pPr>
    </w:p>
    <w:p>
      <w:pPr>
        <w:keepNext w:val="0"/>
        <w:keepLines w:val="0"/>
        <w:pageBreakBefore w:val="0"/>
        <w:widowControl/>
        <w:numPr>
          <w:ilvl w:val="0"/>
          <w:numId w:val="0"/>
        </w:numPr>
        <w:tabs>
          <w:tab w:val="left" w:pos="425"/>
        </w:tabs>
        <w:kinsoku/>
        <w:wordWrap/>
        <w:overflowPunct/>
        <w:topLinePunct w:val="0"/>
        <w:autoSpaceDE/>
        <w:autoSpaceDN/>
        <w:bidi w:val="0"/>
        <w:adjustRightInd/>
        <w:snapToGrid/>
        <w:ind w:firstLine="440" w:firstLineChars="200"/>
        <w:jc w:val="both"/>
        <w:textAlignment w:val="auto"/>
        <w:rPr>
          <w:rFonts w:hint="default" w:ascii="Times New Roman" w:hAnsi="Times New Roman"/>
          <w:b w:val="0"/>
          <w:bCs w:val="0"/>
          <w:i/>
          <w:iCs/>
          <w:sz w:val="22"/>
          <w:szCs w:val="22"/>
        </w:rPr>
      </w:pPr>
      <w:r>
        <w:rPr>
          <w:rFonts w:hint="default" w:ascii="Times New Roman" w:hAnsi="Times New Roman"/>
          <w:b w:val="0"/>
          <w:bCs w:val="0"/>
          <w:i/>
          <w:iCs/>
          <w:sz w:val="22"/>
          <w:szCs w:val="22"/>
        </w:rPr>
        <w:t>* Fir de semnalizare - element fundamental al sistemului de control și monitorizare la distanță a stării conductelor (СДКМ), ce asigură detectarea timpurie a defectelor (</w:t>
      </w:r>
      <w:r>
        <w:rPr>
          <w:rFonts w:hint="default" w:ascii="Times New Roman" w:hAnsi="Times New Roman"/>
          <w:b w:val="0"/>
          <w:bCs w:val="0"/>
          <w:i/>
          <w:iCs/>
          <w:sz w:val="22"/>
          <w:szCs w:val="22"/>
          <w:lang/>
        </w:rPr>
        <w:t xml:space="preserve">ex: </w:t>
      </w:r>
      <w:r>
        <w:rPr>
          <w:rFonts w:hint="default" w:ascii="Times New Roman" w:hAnsi="Times New Roman"/>
          <w:b w:val="0"/>
          <w:bCs w:val="0"/>
          <w:i/>
          <w:iCs/>
          <w:sz w:val="22"/>
          <w:szCs w:val="22"/>
        </w:rPr>
        <w:t>starea termoizolației și a etanșietății), localizarea precisă a avariilor și creșterea substanțială a fiabilității conductelor pre-izolate.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sz w:val="24"/>
          <w:szCs w:val="24"/>
        </w:rPr>
      </w:pPr>
    </w:p>
    <w:p>
      <w:pPr>
        <w:keepNext w:val="0"/>
        <w:keepLines w:val="0"/>
        <w:pageBreakBefore w:val="0"/>
        <w:widowControl/>
        <w:numPr>
          <w:ilvl w:val="0"/>
          <w:numId w:val="0"/>
        </w:numPr>
        <w:tabs>
          <w:tab w:val="left" w:pos="425"/>
        </w:tabs>
        <w:kinsoku/>
        <w:wordWrap/>
        <w:overflowPunct/>
        <w:topLinePunct w:val="0"/>
        <w:autoSpaceDE/>
        <w:autoSpaceDN/>
        <w:bidi w:val="0"/>
        <w:adjustRightInd/>
        <w:snapToGrid/>
        <w:ind w:firstLine="422" w:firstLineChars="200"/>
        <w:jc w:val="both"/>
        <w:textAlignment w:val="auto"/>
        <w:rPr>
          <w:rFonts w:hint="default" w:ascii="Times New Roman" w:hAnsi="Times New Roman"/>
          <w:b w:val="0"/>
          <w:bCs w:val="0"/>
          <w:color w:val="000000" w:themeColor="text1"/>
          <w:sz w:val="21"/>
          <w:szCs w:val="21"/>
          <w14:textFill>
            <w14:solidFill>
              <w14:schemeClr w14:val="tx1"/>
            </w14:solidFill>
          </w14:textFill>
        </w:rPr>
      </w:pPr>
      <w:r>
        <w:rPr>
          <w:rFonts w:hint="default" w:ascii="Times New Roman" w:hAnsi="Times New Roman"/>
          <w:b/>
          <w:bCs/>
          <w:color w:val="000000" w:themeColor="text1"/>
          <w:sz w:val="21"/>
          <w:szCs w:val="21"/>
          <w14:textFill>
            <w14:solidFill>
              <w14:schemeClr w14:val="tx1"/>
            </w14:solidFill>
          </w14:textFill>
        </w:rPr>
        <w:t>Notă:</w:t>
      </w:r>
      <w:r>
        <w:rPr>
          <w:rFonts w:hint="default" w:ascii="Times New Roman" w:hAnsi="Times New Roman"/>
          <w:b w:val="0"/>
          <w:bCs w:val="0"/>
          <w:color w:val="000000" w:themeColor="text1"/>
          <w:sz w:val="21"/>
          <w:szCs w:val="21"/>
          <w14:textFill>
            <w14:solidFill>
              <w14:schemeClr w14:val="tx1"/>
            </w14:solidFill>
          </w14:textFill>
        </w:rPr>
        <w:t xml:space="preserve"> Specificațiile tehnice care indică o anumită origine, sursă, producție, tip, un procedeu special, o marcă de fabrică sau de comerț, un brevet de invenție, o licență de fabricație, un standard sunt menționate doar cu scopul de a identifica cu ușurința tipurile de produse ca concept (formă, dimensiuni, compoziție), şi nu au ca efect favorizarea sau eliminarea anumitor operatori economici.</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Admiterea sau interzicerea ofertelor alternative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Nu se acceptă depunerea de oferte alternative.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Mostre.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Prezentarea mostrelor nu constituie o cerință obligatorie. Cu toate acestea, la solicitarea expresă a entității co</w:t>
      </w:r>
      <w:r>
        <w:rPr>
          <w:rFonts w:hint="default" w:ascii="Times New Roman" w:hAnsi="Times New Roman"/>
          <w:b w:val="0"/>
          <w:bCs w:val="0"/>
          <w:color w:val="000000" w:themeColor="text1"/>
          <w:sz w:val="24"/>
          <w:szCs w:val="24"/>
          <w:highlight w:val="none"/>
          <w14:textFill>
            <w14:solidFill>
              <w14:schemeClr w14:val="tx1"/>
            </w14:solidFill>
          </w14:textFill>
        </w:rPr>
        <w:t>ntractante, operatorii economici participanți vor fi obligați să prezinte, pentru anumite bunuri incluse în lotul nr. 1, specific</w:t>
      </w:r>
      <w:r>
        <w:rPr>
          <w:rFonts w:hint="default" w:ascii="Times New Roman" w:hAnsi="Times New Roman"/>
          <w:b w:val="0"/>
          <w:bCs w:val="0"/>
          <w:color w:val="000000" w:themeColor="text1"/>
          <w:sz w:val="24"/>
          <w:szCs w:val="24"/>
          <w14:textFill>
            <w14:solidFill>
              <w14:schemeClr w14:val="tx1"/>
            </w14:solidFill>
          </w14:textFill>
        </w:rPr>
        <w:t>ații tehnice suplimentare și detaliate, care să descrie în mod complet caracteristicile produselor ofertate și/sau materiale vizuale relevante (imagini fotografice), în vederea verificării conformității acestora cu cerințele caietului de sarcini.</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În cazul în care ofertantul decide să furnizeze mostre, recepția lor se va realiza în baza unui act de predare-primire, întocmit în formă scrisă, care va cuprinde cel puțin următoarele elemente: 1) denumirea procedurii de achiziție și identificatorul unic al procedurii (MTender ID-ul); 2) lista bunurilor, cu indicarea cantităților și caracteristicilor principale; 3) datele de identificare ale părților implicate (care predă și care primește mostrele). Actul menționat se va întocmi în 2 (două) exemplare originale, câte un exemplar pentru fiecare parte.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Recepția mostrelor se va efectua la sediul entității contractante. Livrarea, cât și ridicarea mostrelor se va realiza pe contul, riscul și responsabilitatea operatorului economic.</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Mostrele prezentate vor fi păstrate de entitatea contractantă până la adoptarea deciziei de atribuire a contractului, iar în cazul ofertantului declarat câștigător, până la executarea integrală a contractului atribuit acestuia.</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Condiții de ambalare, marcare și transport</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Bunurile vor fi ambalate sau împachetate în modul obișnuit, pentru bunurile de acest tip, astfel încât să li se asigure o protecție adecvată și sigură în timpul transportării, manipulării, depozitării, contribuind la menținerea parametrilor de calitate și asigurând integritatea acestora. Totodată, ambalajul va fi conform prevederilor legale referitoare la protecţia muncii, mediului şi securitatea consumatorilor.</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Marcarea și etichetarea bunurilor va respecta în mod obligatoriu standardele indicate în specificația tehnică a bunurilor (a se vedea tabelul nr. 1)</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 xml:space="preserve">Livrarea bunurilor se va efectua din contul și cu transportul operatorului economic (Furnizorului/Vânzătorului), la depozitul entității contractante (Cumpărătorului) - or. Bălți, str. Ștefan cel Mare, 168, Republica Moldova, </w:t>
      </w:r>
      <w:r>
        <w:rPr>
          <w:rFonts w:hint="default" w:ascii="Times New Roman" w:hAnsi="Times New Roman"/>
          <w:b/>
          <w:bCs/>
          <w:i/>
          <w:iCs/>
          <w:color w:val="000000" w:themeColor="text1"/>
          <w:sz w:val="24"/>
          <w:szCs w:val="24"/>
          <w14:textFill>
            <w14:solidFill>
              <w14:schemeClr w14:val="tx1"/>
            </w14:solidFill>
          </w14:textFill>
        </w:rPr>
        <w:t>în termen de 60 (șaizeci) de zile calendaristice din momentul semnării contractului.</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Documentația de însoțire a bunurilor va include:</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 xml:space="preserve">factură fiscală electronică (e-factura) - </w:t>
      </w:r>
      <w:r>
        <w:rPr>
          <w:rFonts w:hint="default" w:ascii="Times New Roman" w:hAnsi="Times New Roman"/>
          <w:b w:val="0"/>
          <w:bCs w:val="0"/>
          <w:i/>
          <w:iCs/>
          <w:color w:val="000000" w:themeColor="text1"/>
          <w:sz w:val="24"/>
          <w:szCs w:val="24"/>
          <w14:textFill>
            <w14:solidFill>
              <w14:schemeClr w14:val="tx1"/>
            </w14:solidFill>
          </w14:textFill>
        </w:rPr>
        <w:t>în conformitate cu art. II, pct. 14 din Legea nr. 187/2025 pentru modificarea unor acte normative (art. 117, alineat (12) din Codul fiscal al RM);</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acte ce atestă calitatea și conformitatea bunurilor - în mod obligatoriu se vor prezenta certificatele de calitate și certificatele de conformitate aferent fiecărui lot de produs livrat;</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manual cu instrucțiuni privind procesul de montare</w:t>
      </w:r>
      <w:r>
        <w:rPr>
          <w:rFonts w:hint="default" w:ascii="Times New Roman" w:hAnsi="Times New Roman"/>
          <w:b w:val="0"/>
          <w:bCs w:val="0"/>
          <w:color w:val="000000" w:themeColor="text1"/>
          <w:sz w:val="24"/>
          <w:szCs w:val="24"/>
          <w:highlight w:val="none"/>
          <w14:textFill>
            <w14:solidFill>
              <w14:schemeClr w14:val="tx1"/>
            </w14:solidFill>
          </w14:textFill>
        </w:rPr>
        <w:t xml:space="preserve"> a bunurilor indicate la lotul nr. 1 -</w:t>
      </w:r>
      <w:r>
        <w:rPr>
          <w:rFonts w:hint="default" w:ascii="Times New Roman" w:hAnsi="Times New Roman"/>
          <w:b w:val="0"/>
          <w:bCs w:val="0"/>
          <w:color w:val="000000" w:themeColor="text1"/>
          <w:sz w:val="24"/>
          <w:szCs w:val="24"/>
          <w14:textFill>
            <w14:solidFill>
              <w14:schemeClr w14:val="tx1"/>
            </w14:solidFill>
          </w14:textFill>
        </w:rPr>
        <w:t xml:space="preserve"> pe format de hârtie, fie în format electronic, în limba rusă sau română; după caz, pot fi prezentate careva spoturi video.</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Fiecare partidă (lot) de produs trebuie să fie însoțită de certificat de calitate și de conformitate, care va cuprinde următoarele (fără a se limita acestea):</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marca comercială și denumirea întreprinderii producătoare;</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denumirea întreprinderii solicitante (consumatoare);</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numărul comenzii;</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data emiterii certificatului (actului);</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specificarea standardului de referință sau a documentației tehnico-normative;</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dimensiunile bunului;</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marca oțelului (a materialului din care este confecționat bunul);</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numărul șarjei sau a partidei;</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componența chimică a articolului și cantitatea lor;</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masa partidei;</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cantitatea totală a țevilor în lungime și în bucăți;</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rezultatul tuturor încercărilor;</w:t>
      </w:r>
    </w:p>
    <w:p>
      <w:pPr>
        <w:keepNext w:val="0"/>
        <w:keepLines w:val="0"/>
        <w:pageBreakBefore w:val="0"/>
        <w:widowControl/>
        <w:numPr>
          <w:ilvl w:val="0"/>
          <w:numId w:val="5"/>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note privind încărcarea/expediția diferitelor dimensiuni de țevi (în cazul în care sunt prevăzute de documentația tehnico-normativă).</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Produsele care în procesul de transport au suferit deteriorări vor fi înlocuite din contul Vânzătorului (operatorului economic).</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Bunurile furnizate trebuie să fie fabricate în anul 2025 sau ulterior. La livrare, Furnizorul va prezenta documentele justificative relevante, din care să rezulte în mod explicit anul fabricației.</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Activitatea de descărcarea a bunurilor este pusă pe seama entității contractante. Ofertanții nu vor include în propunerea sa financiară costurile de descărcare a bunurilor la adresa Cumpărătorului. Propunerea financiară (oferta) trebuie să fie fixă și să includă toate costurile (de producție, de ambalare, de încărcare, de manipulare, de transport extern și intern), taxele (texele vamale) și cheltuielile (comisioanele, primele de asigurare a transportului (dacă se cere)) aferente furnizării bunurilor până la locul livrării, indiferent de țara de origine a mărfii.</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Documente obligatorii la depunerea ofertei. Criteriile de calificare și de selecție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Documentele obligatorii la depunerea ofertei vor fi menționate în Anunțul de participare.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Garanții</w:t>
      </w:r>
    </w:p>
    <w:p>
      <w:pPr>
        <w:keepNext w:val="0"/>
        <w:keepLines w:val="0"/>
        <w:pageBreakBefore w:val="0"/>
        <w:widowControl/>
        <w:numPr>
          <w:ilvl w:val="1"/>
          <w:numId w:val="1"/>
        </w:numPr>
        <w:tabs>
          <w:tab w:val="left" w:pos="1000"/>
          <w:tab w:val="clear" w:pos="850"/>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Operatorul economic (Furnizorul) câștigător până la semnarea contractului, sau cel târziu, în termen de 5 (cinci) zile după semnarea contractului, este obligat să prezinte entității contractante (Cumpărătorului) asigurarea executării contractului sub formă de garanție bancară sau transfer bancar, în mărime de 15% (cincisprezece procente) din suma totală a contractului (inclusiv TVA), ce trebuie să fie valabilă până la executarea deplină a contractului (livrarea deplină a bunurilor).</w:t>
      </w:r>
    </w:p>
    <w:p>
      <w:pPr>
        <w:keepNext w:val="0"/>
        <w:keepLines w:val="0"/>
        <w:pageBreakBefore w:val="0"/>
        <w:widowControl/>
        <w:numPr>
          <w:ilvl w:val="1"/>
          <w:numId w:val="1"/>
        </w:numPr>
        <w:tabs>
          <w:tab w:val="left" w:pos="1000"/>
          <w:tab w:val="clear" w:pos="850"/>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Cumpărătorul are dreptul de a emite pretenții asupra garanției de bună execuție, dacă Furnizorul nu își execută, execută cu întârziere sau execută necorespunzător obligațiile contractuale.</w:t>
      </w:r>
    </w:p>
    <w:p>
      <w:pPr>
        <w:keepNext w:val="0"/>
        <w:keepLines w:val="0"/>
        <w:pageBreakBefore w:val="0"/>
        <w:widowControl/>
        <w:numPr>
          <w:ilvl w:val="1"/>
          <w:numId w:val="1"/>
        </w:numPr>
        <w:tabs>
          <w:tab w:val="left" w:pos="1000"/>
          <w:tab w:val="clear" w:pos="850"/>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Pentru refuzul de a semna contractul sau pentru retragerea ofertei după termenul limită de deschidere a ofertelor, operatorul economic (ofertantul) achită o penalitate către entitatea contractantă în cuantum de 10% (zece procente) din suma ofertei.</w:t>
      </w:r>
    </w:p>
    <w:p>
      <w:pPr>
        <w:keepNext w:val="0"/>
        <w:keepLines w:val="0"/>
        <w:pageBreakBefore w:val="0"/>
        <w:widowControl/>
        <w:numPr>
          <w:ilvl w:val="1"/>
          <w:numId w:val="1"/>
        </w:numPr>
        <w:tabs>
          <w:tab w:val="left" w:pos="1000"/>
          <w:tab w:val="clear" w:pos="850"/>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sz w:val="24"/>
          <w:szCs w:val="24"/>
        </w:rPr>
      </w:pPr>
      <w:r>
        <w:rPr>
          <w:rFonts w:hint="default" w:ascii="Times New Roman" w:hAnsi="Times New Roman"/>
          <w:b w:val="0"/>
          <w:bCs w:val="0"/>
          <w:color w:val="000000" w:themeColor="text1"/>
          <w:sz w:val="24"/>
          <w:szCs w:val="24"/>
          <w14:textFill>
            <w14:solidFill>
              <w14:schemeClr w14:val="tx1"/>
            </w14:solidFill>
          </w14:textFill>
        </w:rPr>
        <w:t xml:space="preserve">Operatorul economic desemnat câștigător are obligația de a garanta că bunurile livrate în baza contractului nu va prezenta vicii, inclusiv ascunse. Dacă Cumpărătorul va depista prezența </w:t>
      </w:r>
      <w:r>
        <w:rPr>
          <w:rFonts w:hint="default" w:ascii="Times New Roman" w:hAnsi="Times New Roman"/>
          <w:b w:val="0"/>
          <w:bCs w:val="0"/>
          <w:sz w:val="24"/>
          <w:szCs w:val="24"/>
        </w:rPr>
        <w:t>viciilor ascunse, operatorul economic este obligat să înlăture viciul în termen de 5 (cinci) zile, fără costuri suplimentare pentru Cumpărător.</w:t>
      </w:r>
    </w:p>
    <w:p>
      <w:pPr>
        <w:keepNext w:val="0"/>
        <w:keepLines w:val="0"/>
        <w:pageBreakBefore w:val="0"/>
        <w:widowControl/>
        <w:numPr>
          <w:ilvl w:val="1"/>
          <w:numId w:val="1"/>
        </w:numPr>
        <w:tabs>
          <w:tab w:val="left" w:pos="1000"/>
          <w:tab w:val="clear" w:pos="850"/>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sz w:val="24"/>
          <w:szCs w:val="24"/>
        </w:rPr>
      </w:pPr>
      <w:r>
        <w:rPr>
          <w:rFonts w:hint="default" w:ascii="Times New Roman" w:hAnsi="Times New Roman"/>
          <w:b w:val="0"/>
          <w:bCs w:val="0"/>
          <w:sz w:val="24"/>
          <w:szCs w:val="24"/>
        </w:rPr>
        <w:t>Garanția tehnică/comercială este distinctă de garanția de bună execuție. Termenul de garanție a bunurilor va fi echivalentă garanției oferite de producător. Furnizorul nu poate stabili un termen de garanţie mai mic decât termenul stabilit de producător.</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ind w:firstLine="480" w:firstLineChars="200"/>
        <w:jc w:val="both"/>
        <w:textAlignment w:val="auto"/>
        <w:rPr>
          <w:rFonts w:hint="default" w:ascii="Times New Roman" w:hAnsi="Times New Roman"/>
          <w:b w:val="0"/>
          <w:bCs w:val="0"/>
          <w:sz w:val="24"/>
          <w:szCs w:val="24"/>
        </w:rPr>
      </w:pPr>
    </w:p>
    <w:p>
      <w:pPr>
        <w:keepNext w:val="0"/>
        <w:keepLines w:val="0"/>
        <w:pageBreakBefore w:val="0"/>
        <w:widowControl/>
        <w:numPr>
          <w:ilvl w:val="0"/>
          <w:numId w:val="1"/>
        </w:numPr>
        <w:kinsoku/>
        <w:wordWrap/>
        <w:overflowPunct/>
        <w:topLinePunct w:val="0"/>
        <w:autoSpaceDE/>
        <w:autoSpaceDN/>
        <w:bidi w:val="0"/>
        <w:adjustRightInd/>
        <w:snapToGrid/>
        <w:ind w:left="0" w:leftChars="0" w:firstLine="482" w:firstLineChars="200"/>
        <w:textAlignment w:val="auto"/>
        <w:rPr>
          <w:rFonts w:hint="default" w:ascii="Times New Roman" w:hAnsi="Times New Roman"/>
          <w:b/>
          <w:bCs/>
          <w:sz w:val="24"/>
          <w:szCs w:val="24"/>
        </w:rPr>
      </w:pPr>
      <w:r>
        <w:rPr>
          <w:rFonts w:hint="default" w:ascii="Times New Roman" w:hAnsi="Times New Roman"/>
          <w:b/>
          <w:bCs/>
          <w:sz w:val="24"/>
          <w:szCs w:val="24"/>
        </w:rPr>
        <w:t>Relații de contact:</w:t>
      </w:r>
      <w:r>
        <w:rPr>
          <w:rFonts w:hint="default" w:ascii="Times New Roman" w:hAnsi="Times New Roman"/>
          <w:b/>
          <w:bCs/>
          <w:sz w:val="24"/>
          <w:szCs w:val="24"/>
        </w:rPr>
        <w:tab/>
      </w:r>
      <w:r>
        <w:rPr>
          <w:rFonts w:hint="default" w:ascii="Times New Roman" w:hAnsi="Times New Roman"/>
          <w:b w:val="0"/>
          <w:bCs w:val="0"/>
          <w:sz w:val="24"/>
          <w:szCs w:val="24"/>
        </w:rPr>
        <w:t>Șefă secție în domeniul dezvoltării și planificării, SMP - Ciolac Ala</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sz w:val="24"/>
          <w:szCs w:val="24"/>
        </w:rPr>
      </w:pP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Tel: + 373 (231) 5-33-47</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sz w:val="24"/>
          <w:szCs w:val="24"/>
        </w:rPr>
      </w:pP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 xml:space="preserve">E-mail: </w:t>
      </w:r>
      <w:r>
        <w:rPr>
          <w:rFonts w:hint="default" w:ascii="Times New Roman" w:hAnsi="Times New Roman"/>
          <w:b w:val="0"/>
          <w:bCs w:val="0"/>
          <w:sz w:val="24"/>
          <w:szCs w:val="24"/>
        </w:rPr>
        <w:fldChar w:fldCharType="begin"/>
      </w:r>
      <w:r>
        <w:rPr>
          <w:rFonts w:hint="default" w:ascii="Times New Roman" w:hAnsi="Times New Roman"/>
          <w:b w:val="0"/>
          <w:bCs w:val="0"/>
          <w:sz w:val="24"/>
          <w:szCs w:val="24"/>
        </w:rPr>
        <w:instrText xml:space="preserve"> HYPERLINK "mailto:office@cet-nord.md" </w:instrText>
      </w:r>
      <w:r>
        <w:rPr>
          <w:rFonts w:hint="default" w:ascii="Times New Roman" w:hAnsi="Times New Roman"/>
          <w:b w:val="0"/>
          <w:bCs w:val="0"/>
          <w:sz w:val="24"/>
          <w:szCs w:val="24"/>
        </w:rPr>
        <w:fldChar w:fldCharType="separate"/>
      </w:r>
      <w:r>
        <w:rPr>
          <w:rStyle w:val="5"/>
          <w:rFonts w:hint="default" w:ascii="Times New Roman" w:hAnsi="Times New Roman"/>
          <w:b w:val="0"/>
          <w:bCs w:val="0"/>
          <w:sz w:val="24"/>
          <w:szCs w:val="24"/>
        </w:rPr>
        <w:t>office@cet-nord.md</w:t>
      </w:r>
      <w:r>
        <w:rPr>
          <w:rFonts w:hint="default" w:ascii="Times New Roman" w:hAnsi="Times New Roman"/>
          <w:b w:val="0"/>
          <w:bCs w:val="0"/>
          <w:sz w:val="24"/>
          <w:szCs w:val="24"/>
        </w:rPr>
        <w:fldChar w:fldCharType="end"/>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sz w:val="24"/>
          <w:szCs w:val="24"/>
        </w:rPr>
      </w:pP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300" w:lineRule="auto"/>
        <w:textAlignment w:val="auto"/>
        <w:rPr>
          <w:rFonts w:hint="default" w:ascii="Times New Roman" w:hAnsi="Times New Roman"/>
          <w:b w:val="0"/>
          <w:bCs w:val="0"/>
          <w:sz w:val="22"/>
          <w:szCs w:val="22"/>
        </w:rPr>
      </w:pPr>
      <w:r>
        <w:rPr>
          <w:rFonts w:hint="default" w:ascii="Times New Roman" w:hAnsi="Times New Roman"/>
          <w:b/>
          <w:bCs/>
          <w:sz w:val="22"/>
          <w:szCs w:val="22"/>
        </w:rPr>
        <w:t>Elaborat:</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300" w:lineRule="auto"/>
        <w:textAlignment w:val="auto"/>
        <w:rPr>
          <w:rFonts w:hint="default" w:ascii="Times New Roman" w:hAnsi="Times New Roman"/>
          <w:b w:val="0"/>
          <w:bCs w:val="0"/>
          <w:sz w:val="22"/>
          <w:szCs w:val="22"/>
          <w:highlight w:val="none"/>
        </w:rPr>
      </w:pPr>
      <w:r>
        <w:rPr>
          <w:rFonts w:hint="default" w:ascii="Times New Roman" w:hAnsi="Times New Roman"/>
          <w:b w:val="0"/>
          <w:bCs w:val="0"/>
          <w:sz w:val="22"/>
          <w:szCs w:val="22"/>
          <w:highlight w:val="none"/>
        </w:rPr>
        <w:t>Agent achiziții, SMP Basistîi Alexandr</w:t>
      </w:r>
      <w:r>
        <w:rPr>
          <w:rFonts w:hint="default" w:ascii="Times New Roman" w:hAnsi="Times New Roman"/>
          <w:b w:val="0"/>
          <w:bCs w:val="0"/>
          <w:sz w:val="22"/>
          <w:szCs w:val="22"/>
          <w:highlight w:val="none"/>
        </w:rPr>
        <w:tab/>
      </w:r>
      <w:bookmarkStart w:id="1" w:name="_GoBack"/>
      <w:bookmarkEnd w:id="1"/>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_______________</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300" w:lineRule="auto"/>
        <w:textAlignment w:val="auto"/>
        <w:rPr>
          <w:rFonts w:hint="default" w:ascii="Times New Roman" w:hAnsi="Times New Roman"/>
          <w:b w:val="0"/>
          <w:bCs w:val="0"/>
          <w:sz w:val="22"/>
          <w:szCs w:val="22"/>
          <w:highlight w:val="none"/>
        </w:rPr>
      </w:pPr>
      <w:r>
        <w:rPr>
          <w:rFonts w:hint="default" w:ascii="Times New Roman" w:hAnsi="Times New Roman"/>
          <w:b w:val="0"/>
          <w:bCs w:val="0"/>
          <w:sz w:val="22"/>
          <w:szCs w:val="22"/>
          <w:highlight w:val="none"/>
        </w:rPr>
        <w:t xml:space="preserve">Data: </w:t>
      </w:r>
      <w:r>
        <w:rPr>
          <w:rFonts w:hint="default" w:ascii="Times New Roman" w:hAnsi="Times New Roman"/>
          <w:b w:val="0"/>
          <w:bCs w:val="0"/>
          <w:sz w:val="22"/>
          <w:szCs w:val="22"/>
          <w:highlight w:val="none"/>
          <w:u w:val="single"/>
          <w:lang/>
        </w:rPr>
        <w:t>03</w:t>
      </w:r>
      <w:r>
        <w:rPr>
          <w:rFonts w:hint="default" w:ascii="Times New Roman" w:hAnsi="Times New Roman"/>
          <w:b w:val="0"/>
          <w:bCs w:val="0"/>
          <w:sz w:val="22"/>
          <w:szCs w:val="22"/>
          <w:highlight w:val="none"/>
          <w:u w:val="single"/>
        </w:rPr>
        <w:t>.0</w:t>
      </w:r>
      <w:r>
        <w:rPr>
          <w:rFonts w:hint="default" w:ascii="Times New Roman" w:hAnsi="Times New Roman"/>
          <w:b w:val="0"/>
          <w:bCs w:val="0"/>
          <w:sz w:val="22"/>
          <w:szCs w:val="22"/>
          <w:highlight w:val="none"/>
          <w:u w:val="single"/>
          <w:lang/>
        </w:rPr>
        <w:t>2</w:t>
      </w:r>
      <w:r>
        <w:rPr>
          <w:rFonts w:hint="default" w:ascii="Times New Roman" w:hAnsi="Times New Roman"/>
          <w:b w:val="0"/>
          <w:bCs w:val="0"/>
          <w:sz w:val="22"/>
          <w:szCs w:val="22"/>
          <w:highlight w:val="none"/>
          <w:u w:val="single"/>
        </w:rPr>
        <w:t>.2026</w:t>
      </w:r>
    </w:p>
    <w:p>
      <w:pPr>
        <w:keepNext w:val="0"/>
        <w:keepLines w:val="0"/>
        <w:pageBreakBefore w:val="0"/>
        <w:widowControl/>
        <w:kinsoku/>
        <w:wordWrap/>
        <w:overflowPunct/>
        <w:topLinePunct w:val="0"/>
        <w:autoSpaceDE/>
        <w:autoSpaceDN/>
        <w:bidi w:val="0"/>
        <w:adjustRightInd/>
        <w:snapToGrid/>
        <w:spacing w:line="300" w:lineRule="auto"/>
        <w:textAlignment w:val="auto"/>
        <w:rPr>
          <w:rFonts w:hint="default" w:ascii="Times New Roman" w:hAnsi="Times New Roman"/>
          <w:sz w:val="22"/>
          <w:szCs w:val="22"/>
          <w:highlight w:val="none"/>
        </w:rPr>
      </w:pPr>
    </w:p>
    <w:p>
      <w:pPr>
        <w:keepNext w:val="0"/>
        <w:keepLines w:val="0"/>
        <w:pageBreakBefore w:val="0"/>
        <w:widowControl/>
        <w:kinsoku/>
        <w:wordWrap/>
        <w:overflowPunct/>
        <w:topLinePunct w:val="0"/>
        <w:autoSpaceDE/>
        <w:autoSpaceDN/>
        <w:bidi w:val="0"/>
        <w:adjustRightInd/>
        <w:snapToGrid/>
        <w:spacing w:line="300" w:lineRule="auto"/>
        <w:textAlignment w:val="auto"/>
        <w:rPr>
          <w:rFonts w:hint="default" w:ascii="Times New Roman" w:hAnsi="Times New Roman"/>
          <w:sz w:val="22"/>
          <w:szCs w:val="22"/>
          <w:highlight w:val="none"/>
        </w:rPr>
      </w:pPr>
      <w:r>
        <w:rPr>
          <w:rFonts w:hint="default" w:ascii="Times New Roman" w:hAnsi="Times New Roman"/>
          <w:b/>
          <w:bCs/>
          <w:sz w:val="22"/>
          <w:szCs w:val="22"/>
          <w:highlight w:val="none"/>
        </w:rPr>
        <w:t>COORDONAT</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w:t>
      </w:r>
      <w:r>
        <w:rPr>
          <w:rFonts w:hint="default" w:ascii="Times New Roman" w:hAnsi="Times New Roman"/>
          <w:sz w:val="22"/>
          <w:szCs w:val="22"/>
          <w:highlight w:val="none"/>
          <w:lang/>
        </w:rPr>
        <w:t xml:space="preserve"> </w:t>
      </w:r>
      <w:r>
        <w:rPr>
          <w:rFonts w:hint="default" w:ascii="Times New Roman" w:hAnsi="Times New Roman"/>
          <w:sz w:val="22"/>
          <w:szCs w:val="22"/>
          <w:highlight w:val="none"/>
        </w:rPr>
        <w:t xml:space="preserve">departament în industria prelucrătoare, DT </w:t>
      </w:r>
      <w:r>
        <w:rPr>
          <w:rFonts w:hint="default" w:ascii="Times New Roman" w:hAnsi="Times New Roman"/>
          <w:sz w:val="22"/>
          <w:szCs w:val="22"/>
          <w:highlight w:val="none"/>
          <w:lang/>
        </w:rPr>
        <w:t>Savin</w:t>
      </w:r>
      <w:r>
        <w:rPr>
          <w:rFonts w:hint="default" w:ascii="Times New Roman" w:hAnsi="Times New Roman"/>
          <w:sz w:val="22"/>
          <w:szCs w:val="22"/>
          <w:highlight w:val="none"/>
        </w:rPr>
        <w:t xml:space="preserve"> </w:t>
      </w:r>
      <w:r>
        <w:rPr>
          <w:rFonts w:hint="default" w:ascii="Times New Roman" w:hAnsi="Times New Roman"/>
          <w:sz w:val="22"/>
          <w:szCs w:val="22"/>
          <w:highlight w:val="none"/>
          <w:lang/>
        </w:rPr>
        <w:t>Igor</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Șefă secție în domeniul dezvoltării și planificării SMP, Ciolac Ala</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 secție în industria prelucrătoare (mentenanță rețele termice), SMRT Pascari Andrei</w:t>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 secție în industria prelucrătoare (cazane și turbine), SCT Sosna Igor</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 secție în industria prelucrătoare (chimică), SCH Bajora Tatiana</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yellow"/>
        </w:rPr>
      </w:pPr>
      <w:r>
        <w:rPr>
          <w:rFonts w:hint="default" w:ascii="Times New Roman" w:hAnsi="Times New Roman"/>
          <w:sz w:val="22"/>
          <w:szCs w:val="22"/>
          <w:highlight w:val="none"/>
        </w:rPr>
        <w:t>Șef adjunct</w:t>
      </w:r>
      <w:r>
        <w:rPr>
          <w:rFonts w:hint="default" w:ascii="Times New Roman" w:hAnsi="Times New Roman"/>
          <w:sz w:val="22"/>
          <w:szCs w:val="22"/>
          <w:highlight w:val="none"/>
          <w:lang/>
        </w:rPr>
        <w:t xml:space="preserve"> </w:t>
      </w:r>
      <w:r>
        <w:rPr>
          <w:rFonts w:hint="default" w:ascii="Times New Roman" w:hAnsi="Times New Roman"/>
          <w:sz w:val="22"/>
          <w:szCs w:val="22"/>
          <w:highlight w:val="none"/>
        </w:rPr>
        <w:t xml:space="preserve">secție în industria prelucrătoare (mentenanță), SM </w:t>
      </w:r>
      <w:r>
        <w:rPr>
          <w:rFonts w:hint="default" w:ascii="Times New Roman" w:hAnsi="Times New Roman"/>
          <w:sz w:val="22"/>
          <w:szCs w:val="22"/>
          <w:highlight w:val="none"/>
          <w:lang/>
        </w:rPr>
        <w:t>Goncear Alexandr</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p>
    <w:sectPr>
      <w:footerReference r:id="rId3" w:type="default"/>
      <w:pgSz w:w="11906" w:h="16838"/>
      <w:pgMar w:top="1134" w:right="567" w:bottom="1134" w:left="1701" w:header="720" w:footer="72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  \* MERGEFORMAT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1</w:t>
                          </w:r>
                          <w:r>
                            <w:rPr>
                              <w:rFonts w:hint="default" w:ascii="Times New Roman" w:hAnsi="Times New Roman" w:cs="Times New Roman"/>
                              <w:color w:val="000000" w:themeColor="text1"/>
                              <w:sz w:val="24"/>
                              <w:szCs w:val="24"/>
                              <w14:textFill>
                                <w14:solidFill>
                                  <w14:schemeClr w14:val="tx1"/>
                                </w14:solidFill>
                              </w14:textFill>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  \* MERGEFORMAT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1</w:t>
                    </w:r>
                    <w:r>
                      <w:rPr>
                        <w:rFonts w:hint="default" w:ascii="Times New Roman" w:hAnsi="Times New Roman" w:cs="Times New Roman"/>
                        <w:color w:val="000000" w:themeColor="text1"/>
                        <w:sz w:val="24"/>
                        <w:szCs w:val="24"/>
                        <w14:textFill>
                          <w14:solidFill>
                            <w14:schemeClr w14:val="tx1"/>
                          </w14:solidFill>
                        </w14:textFill>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E77477"/>
    <w:multiLevelType w:val="singleLevel"/>
    <w:tmpl w:val="80E77477"/>
    <w:lvl w:ilvl="0" w:tentative="0">
      <w:start w:val="1"/>
      <w:numFmt w:val="decimal"/>
      <w:lvlText w:val="%1."/>
      <w:lvlJc w:val="left"/>
      <w:pPr>
        <w:tabs>
          <w:tab w:val="left" w:pos="425"/>
        </w:tabs>
        <w:ind w:left="425" w:leftChars="0" w:hanging="425" w:firstLineChars="0"/>
      </w:pPr>
      <w:rPr>
        <w:rFonts w:hint="default"/>
      </w:rPr>
    </w:lvl>
  </w:abstractNum>
  <w:abstractNum w:abstractNumId="1">
    <w:nsid w:val="A913C7E8"/>
    <w:multiLevelType w:val="singleLevel"/>
    <w:tmpl w:val="A913C7E8"/>
    <w:lvl w:ilvl="0" w:tentative="0">
      <w:start w:val="1"/>
      <w:numFmt w:val="bullet"/>
      <w:lvlText w:val="–"/>
      <w:lvlJc w:val="left"/>
      <w:pPr>
        <w:tabs>
          <w:tab w:val="left" w:pos="420"/>
        </w:tabs>
        <w:ind w:left="420" w:leftChars="0" w:hanging="420" w:firstLineChars="0"/>
      </w:pPr>
      <w:rPr>
        <w:rFonts w:hint="default" w:ascii="Times New Roman" w:hAnsi="Times New Roman" w:cs="Times New Roman"/>
      </w:rPr>
    </w:lvl>
  </w:abstractNum>
  <w:abstractNum w:abstractNumId="2">
    <w:nsid w:val="C8ABD5EA"/>
    <w:multiLevelType w:val="multilevel"/>
    <w:tmpl w:val="C8ABD5EA"/>
    <w:lvl w:ilvl="0" w:tentative="0">
      <w:start w:val="1"/>
      <w:numFmt w:val="decimal"/>
      <w:lvlText w:val="%1."/>
      <w:lvlJc w:val="left"/>
      <w:pPr>
        <w:tabs>
          <w:tab w:val="left" w:pos="425"/>
        </w:tabs>
        <w:ind w:left="425" w:leftChars="0" w:hanging="425" w:firstLineChars="0"/>
      </w:pPr>
      <w:rPr>
        <w:rFonts w:hint="default"/>
      </w:rPr>
    </w:lvl>
    <w:lvl w:ilvl="1" w:tentative="0">
      <w:start w:val="1"/>
      <w:numFmt w:val="decimal"/>
      <w:lvlText w:val="%1.%2."/>
      <w:lvlJc w:val="left"/>
      <w:pPr>
        <w:tabs>
          <w:tab w:val="left" w:pos="850"/>
        </w:tabs>
        <w:ind w:left="850" w:leftChars="0" w:hanging="453" w:firstLineChars="0"/>
      </w:pPr>
      <w:rPr>
        <w:rFonts w:hint="default"/>
      </w:rPr>
    </w:lvl>
    <w:lvl w:ilvl="2" w:tentative="0">
      <w:start w:val="1"/>
      <w:numFmt w:val="decimal"/>
      <w:lvlText w:val="%1.%2.%3."/>
      <w:lvlJc w:val="left"/>
      <w:pPr>
        <w:tabs>
          <w:tab w:val="left" w:pos="1508"/>
        </w:tabs>
        <w:ind w:left="1508" w:leftChars="0" w:hanging="708" w:firstLineChars="0"/>
      </w:pPr>
      <w:rPr>
        <w:rFonts w:hint="default"/>
      </w:rPr>
    </w:lvl>
    <w:lvl w:ilvl="3" w:tentative="0">
      <w:start w:val="1"/>
      <w:numFmt w:val="decimal"/>
      <w:lvlText w:val="%1.%2.%3.%4."/>
      <w:lvlJc w:val="left"/>
      <w:pPr>
        <w:tabs>
          <w:tab w:val="left" w:pos="2053"/>
        </w:tabs>
        <w:ind w:left="2053" w:leftChars="0" w:hanging="853" w:firstLineChars="0"/>
      </w:pPr>
      <w:rPr>
        <w:rFonts w:hint="default"/>
      </w:rPr>
    </w:lvl>
    <w:lvl w:ilvl="4" w:tentative="0">
      <w:start w:val="1"/>
      <w:numFmt w:val="decimal"/>
      <w:lvlText w:val="%1.%2.%3.%4.%5."/>
      <w:lvlJc w:val="left"/>
      <w:pPr>
        <w:tabs>
          <w:tab w:val="left" w:pos="2495"/>
        </w:tabs>
        <w:ind w:left="2495" w:leftChars="0" w:hanging="895" w:firstLineChars="0"/>
      </w:pPr>
      <w:rPr>
        <w:rFonts w:hint="default"/>
      </w:rPr>
    </w:lvl>
    <w:lvl w:ilvl="5" w:tentative="0">
      <w:start w:val="1"/>
      <w:numFmt w:val="decimal"/>
      <w:lvlText w:val="%1.%2.%3.%4.%5.%6."/>
      <w:lvlJc w:val="left"/>
      <w:pPr>
        <w:tabs>
          <w:tab w:val="left" w:pos="3136"/>
        </w:tabs>
        <w:ind w:left="3136" w:leftChars="0" w:hanging="1136" w:firstLineChars="0"/>
      </w:pPr>
      <w:rPr>
        <w:rFonts w:hint="default"/>
      </w:rPr>
    </w:lvl>
    <w:lvl w:ilvl="6" w:tentative="0">
      <w:start w:val="1"/>
      <w:numFmt w:val="decimal"/>
      <w:lvlText w:val="%1.%2.%3.%4.%5.%6.%7."/>
      <w:lvlJc w:val="left"/>
      <w:pPr>
        <w:tabs>
          <w:tab w:val="left" w:pos="3673"/>
        </w:tabs>
        <w:ind w:left="3673" w:leftChars="0" w:hanging="1273" w:firstLineChars="0"/>
      </w:pPr>
      <w:rPr>
        <w:rFonts w:hint="default"/>
      </w:rPr>
    </w:lvl>
    <w:lvl w:ilvl="7" w:tentative="0">
      <w:start w:val="1"/>
      <w:numFmt w:val="decimal"/>
      <w:lvlText w:val="%1.%2.%3.%4.%5.%6.%7.%8."/>
      <w:lvlJc w:val="left"/>
      <w:pPr>
        <w:tabs>
          <w:tab w:val="left" w:pos="4218"/>
        </w:tabs>
        <w:ind w:left="4218" w:leftChars="0" w:hanging="1418" w:firstLineChars="0"/>
      </w:pPr>
      <w:rPr>
        <w:rFonts w:hint="default"/>
      </w:rPr>
    </w:lvl>
    <w:lvl w:ilvl="8" w:tentative="0">
      <w:start w:val="1"/>
      <w:numFmt w:val="decimal"/>
      <w:lvlText w:val="%1.%2.%3.%4.%5.%6.%7.%8.%9."/>
      <w:lvlJc w:val="left"/>
      <w:pPr>
        <w:tabs>
          <w:tab w:val="left" w:pos="4648"/>
        </w:tabs>
        <w:ind w:left="4648" w:leftChars="0" w:hanging="1448" w:firstLineChars="0"/>
      </w:pPr>
      <w:rPr>
        <w:rFonts w:hint="default"/>
      </w:rPr>
    </w:lvl>
  </w:abstractNum>
  <w:abstractNum w:abstractNumId="3">
    <w:nsid w:val="2818E982"/>
    <w:multiLevelType w:val="singleLevel"/>
    <w:tmpl w:val="2818E982"/>
    <w:lvl w:ilvl="0" w:tentative="0">
      <w:start w:val="1"/>
      <w:numFmt w:val="lowerLetter"/>
      <w:lvlText w:val="%1)"/>
      <w:lvlJc w:val="left"/>
      <w:pPr>
        <w:tabs>
          <w:tab w:val="left" w:pos="425"/>
        </w:tabs>
        <w:ind w:left="425" w:leftChars="0" w:hanging="425" w:firstLineChars="0"/>
      </w:pPr>
      <w:rPr>
        <w:rFonts w:hint="default"/>
      </w:rPr>
    </w:lvl>
  </w:abstractNum>
  <w:abstractNum w:abstractNumId="4">
    <w:nsid w:val="4D0FDAC4"/>
    <w:multiLevelType w:val="singleLevel"/>
    <w:tmpl w:val="4D0FDAC4"/>
    <w:lvl w:ilvl="0" w:tentative="0">
      <w:start w:val="1"/>
      <w:numFmt w:val="decimal"/>
      <w:lvlText w:val="%1."/>
      <w:lvlJc w:val="left"/>
      <w:pPr>
        <w:tabs>
          <w:tab w:val="left" w:pos="425"/>
        </w:tabs>
        <w:ind w:left="425" w:leftChars="0" w:hanging="425" w:firstLineChars="0"/>
      </w:pPr>
      <w:rPr>
        <w:rFont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mirrorMargin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E42C2"/>
    <w:rsid w:val="00A416C8"/>
    <w:rsid w:val="01C81F7D"/>
    <w:rsid w:val="02223017"/>
    <w:rsid w:val="02251E47"/>
    <w:rsid w:val="023C66B8"/>
    <w:rsid w:val="023F1C2D"/>
    <w:rsid w:val="024B4E8B"/>
    <w:rsid w:val="024C6E1D"/>
    <w:rsid w:val="02551850"/>
    <w:rsid w:val="02750E17"/>
    <w:rsid w:val="02893F2B"/>
    <w:rsid w:val="02BB546E"/>
    <w:rsid w:val="02BB7746"/>
    <w:rsid w:val="02CB6830"/>
    <w:rsid w:val="02DA0EC4"/>
    <w:rsid w:val="02E406A7"/>
    <w:rsid w:val="030B7449"/>
    <w:rsid w:val="030C6897"/>
    <w:rsid w:val="036B32E6"/>
    <w:rsid w:val="03771F84"/>
    <w:rsid w:val="03D07C2B"/>
    <w:rsid w:val="03D73C3A"/>
    <w:rsid w:val="03D97251"/>
    <w:rsid w:val="03F04E05"/>
    <w:rsid w:val="0400509F"/>
    <w:rsid w:val="04122384"/>
    <w:rsid w:val="045D61BE"/>
    <w:rsid w:val="046B6862"/>
    <w:rsid w:val="048E1BE8"/>
    <w:rsid w:val="04D94B9F"/>
    <w:rsid w:val="05143FCE"/>
    <w:rsid w:val="051E5B37"/>
    <w:rsid w:val="0554591A"/>
    <w:rsid w:val="05AC5251"/>
    <w:rsid w:val="05CE575B"/>
    <w:rsid w:val="063F7B4D"/>
    <w:rsid w:val="070C4C7B"/>
    <w:rsid w:val="07181210"/>
    <w:rsid w:val="0722306F"/>
    <w:rsid w:val="07243642"/>
    <w:rsid w:val="073C6690"/>
    <w:rsid w:val="073F2C0B"/>
    <w:rsid w:val="07580619"/>
    <w:rsid w:val="076E4E1D"/>
    <w:rsid w:val="07944BFB"/>
    <w:rsid w:val="079E10C3"/>
    <w:rsid w:val="07F33B09"/>
    <w:rsid w:val="07F400BC"/>
    <w:rsid w:val="080F06C8"/>
    <w:rsid w:val="08201C9A"/>
    <w:rsid w:val="08394337"/>
    <w:rsid w:val="0840650C"/>
    <w:rsid w:val="08605D5B"/>
    <w:rsid w:val="086A5D73"/>
    <w:rsid w:val="087F3986"/>
    <w:rsid w:val="089E6732"/>
    <w:rsid w:val="08CC2012"/>
    <w:rsid w:val="08E40BFB"/>
    <w:rsid w:val="08E97E37"/>
    <w:rsid w:val="09237A58"/>
    <w:rsid w:val="097428B1"/>
    <w:rsid w:val="09EA3BC8"/>
    <w:rsid w:val="09EB1B27"/>
    <w:rsid w:val="0A3463D4"/>
    <w:rsid w:val="0A883E7C"/>
    <w:rsid w:val="0A8D0861"/>
    <w:rsid w:val="0A9E0109"/>
    <w:rsid w:val="0B3033C4"/>
    <w:rsid w:val="0B8035E0"/>
    <w:rsid w:val="0BB36A90"/>
    <w:rsid w:val="0BB724BF"/>
    <w:rsid w:val="0BBE75D4"/>
    <w:rsid w:val="0BDF5492"/>
    <w:rsid w:val="0C350139"/>
    <w:rsid w:val="0C6F3B75"/>
    <w:rsid w:val="0C83704C"/>
    <w:rsid w:val="0CCC61D3"/>
    <w:rsid w:val="0CE42333"/>
    <w:rsid w:val="0CF92FDF"/>
    <w:rsid w:val="0CF94F1E"/>
    <w:rsid w:val="0D381BED"/>
    <w:rsid w:val="0D4F024F"/>
    <w:rsid w:val="0D68657F"/>
    <w:rsid w:val="0DBF259D"/>
    <w:rsid w:val="0DC41546"/>
    <w:rsid w:val="0E060C38"/>
    <w:rsid w:val="0E0E35B5"/>
    <w:rsid w:val="0E9305FA"/>
    <w:rsid w:val="0EB0445F"/>
    <w:rsid w:val="0ECA2847"/>
    <w:rsid w:val="0EFC370B"/>
    <w:rsid w:val="0F0D7CC0"/>
    <w:rsid w:val="0F485D48"/>
    <w:rsid w:val="0F64082D"/>
    <w:rsid w:val="0FE43413"/>
    <w:rsid w:val="10066A65"/>
    <w:rsid w:val="1023637B"/>
    <w:rsid w:val="103E1CE7"/>
    <w:rsid w:val="10B83864"/>
    <w:rsid w:val="10D8211D"/>
    <w:rsid w:val="10EF7E56"/>
    <w:rsid w:val="1109070C"/>
    <w:rsid w:val="1126252E"/>
    <w:rsid w:val="115A4A25"/>
    <w:rsid w:val="11B05FFB"/>
    <w:rsid w:val="11F62CD9"/>
    <w:rsid w:val="12673D1E"/>
    <w:rsid w:val="131768B6"/>
    <w:rsid w:val="132F270C"/>
    <w:rsid w:val="13723B46"/>
    <w:rsid w:val="13872098"/>
    <w:rsid w:val="14EA7311"/>
    <w:rsid w:val="14F01BA0"/>
    <w:rsid w:val="15087171"/>
    <w:rsid w:val="15CC6EFF"/>
    <w:rsid w:val="15D445C1"/>
    <w:rsid w:val="162E7FA7"/>
    <w:rsid w:val="16600074"/>
    <w:rsid w:val="166210B0"/>
    <w:rsid w:val="16A82F3A"/>
    <w:rsid w:val="16D44E73"/>
    <w:rsid w:val="16EB3751"/>
    <w:rsid w:val="16FD64FE"/>
    <w:rsid w:val="17021B71"/>
    <w:rsid w:val="175E0E46"/>
    <w:rsid w:val="17B62196"/>
    <w:rsid w:val="17B740FF"/>
    <w:rsid w:val="17DC093A"/>
    <w:rsid w:val="17FE1F19"/>
    <w:rsid w:val="18025A72"/>
    <w:rsid w:val="1841116D"/>
    <w:rsid w:val="185674D6"/>
    <w:rsid w:val="18581986"/>
    <w:rsid w:val="18656713"/>
    <w:rsid w:val="18810ACA"/>
    <w:rsid w:val="188A5236"/>
    <w:rsid w:val="18A76350"/>
    <w:rsid w:val="19006E25"/>
    <w:rsid w:val="194C3B6E"/>
    <w:rsid w:val="19F5670C"/>
    <w:rsid w:val="19FB5CD2"/>
    <w:rsid w:val="1A120D80"/>
    <w:rsid w:val="1A1F25A7"/>
    <w:rsid w:val="1A3E28EA"/>
    <w:rsid w:val="1A407391"/>
    <w:rsid w:val="1ADA169B"/>
    <w:rsid w:val="1B8D0F40"/>
    <w:rsid w:val="1B9251A7"/>
    <w:rsid w:val="1C6645AD"/>
    <w:rsid w:val="1C8F719B"/>
    <w:rsid w:val="1C9D31E1"/>
    <w:rsid w:val="1CEB7EA9"/>
    <w:rsid w:val="1D040005"/>
    <w:rsid w:val="1D2759F4"/>
    <w:rsid w:val="1D3D6906"/>
    <w:rsid w:val="1D3E1566"/>
    <w:rsid w:val="1D5D0A62"/>
    <w:rsid w:val="1D772EB6"/>
    <w:rsid w:val="1D774288"/>
    <w:rsid w:val="1D954CD0"/>
    <w:rsid w:val="1DBB5FF3"/>
    <w:rsid w:val="1DBD14EB"/>
    <w:rsid w:val="1DE6566D"/>
    <w:rsid w:val="1E023F59"/>
    <w:rsid w:val="1E3F77AE"/>
    <w:rsid w:val="1E5659BC"/>
    <w:rsid w:val="1E773BE0"/>
    <w:rsid w:val="1F372A8B"/>
    <w:rsid w:val="1F3E5460"/>
    <w:rsid w:val="1F523B43"/>
    <w:rsid w:val="1FA33D3B"/>
    <w:rsid w:val="1FAA13F8"/>
    <w:rsid w:val="1FE57700"/>
    <w:rsid w:val="203A6CE0"/>
    <w:rsid w:val="20870474"/>
    <w:rsid w:val="209A2897"/>
    <w:rsid w:val="20C80F25"/>
    <w:rsid w:val="21360B50"/>
    <w:rsid w:val="21860080"/>
    <w:rsid w:val="219C45BD"/>
    <w:rsid w:val="21C15355"/>
    <w:rsid w:val="21C71A05"/>
    <w:rsid w:val="22207409"/>
    <w:rsid w:val="22267E48"/>
    <w:rsid w:val="228D5018"/>
    <w:rsid w:val="228E71DB"/>
    <w:rsid w:val="22B70EED"/>
    <w:rsid w:val="22C006CF"/>
    <w:rsid w:val="23396450"/>
    <w:rsid w:val="233A3D0B"/>
    <w:rsid w:val="23947310"/>
    <w:rsid w:val="23B54322"/>
    <w:rsid w:val="23C75797"/>
    <w:rsid w:val="23E03E96"/>
    <w:rsid w:val="23FB1A20"/>
    <w:rsid w:val="24446007"/>
    <w:rsid w:val="24593831"/>
    <w:rsid w:val="2485597A"/>
    <w:rsid w:val="2490178C"/>
    <w:rsid w:val="24924F54"/>
    <w:rsid w:val="25020A88"/>
    <w:rsid w:val="25360B4C"/>
    <w:rsid w:val="25916F00"/>
    <w:rsid w:val="25924832"/>
    <w:rsid w:val="25937DF9"/>
    <w:rsid w:val="260979D5"/>
    <w:rsid w:val="263D7446"/>
    <w:rsid w:val="2645157F"/>
    <w:rsid w:val="264755DA"/>
    <w:rsid w:val="269C0D60"/>
    <w:rsid w:val="26A3466F"/>
    <w:rsid w:val="26B07EBC"/>
    <w:rsid w:val="26B9340C"/>
    <w:rsid w:val="2770356A"/>
    <w:rsid w:val="27FE6BEF"/>
    <w:rsid w:val="28210363"/>
    <w:rsid w:val="282D324F"/>
    <w:rsid w:val="289149D7"/>
    <w:rsid w:val="28CF57E4"/>
    <w:rsid w:val="28DA045F"/>
    <w:rsid w:val="28EB29C4"/>
    <w:rsid w:val="292F5C46"/>
    <w:rsid w:val="29672884"/>
    <w:rsid w:val="29935D5B"/>
    <w:rsid w:val="29B5105B"/>
    <w:rsid w:val="29F076EF"/>
    <w:rsid w:val="2A093583"/>
    <w:rsid w:val="2A53737E"/>
    <w:rsid w:val="2AD16841"/>
    <w:rsid w:val="2AFA68C7"/>
    <w:rsid w:val="2B224FBC"/>
    <w:rsid w:val="2B4F7AC9"/>
    <w:rsid w:val="2B85118D"/>
    <w:rsid w:val="2C013BC2"/>
    <w:rsid w:val="2C1C599B"/>
    <w:rsid w:val="2C2A29AF"/>
    <w:rsid w:val="2C370160"/>
    <w:rsid w:val="2C964530"/>
    <w:rsid w:val="2CB35ACD"/>
    <w:rsid w:val="2CC969F8"/>
    <w:rsid w:val="2CCF05A3"/>
    <w:rsid w:val="2CF23A48"/>
    <w:rsid w:val="2D415619"/>
    <w:rsid w:val="2D5B045F"/>
    <w:rsid w:val="2DA44EE3"/>
    <w:rsid w:val="2DF6391E"/>
    <w:rsid w:val="2E1135A2"/>
    <w:rsid w:val="2ED910E2"/>
    <w:rsid w:val="2EFE2954"/>
    <w:rsid w:val="2F97736B"/>
    <w:rsid w:val="2FC80708"/>
    <w:rsid w:val="2FCA17E4"/>
    <w:rsid w:val="300B04FB"/>
    <w:rsid w:val="30410E64"/>
    <w:rsid w:val="306B3C86"/>
    <w:rsid w:val="309F7AC0"/>
    <w:rsid w:val="30B967A1"/>
    <w:rsid w:val="30FA42EA"/>
    <w:rsid w:val="313C759F"/>
    <w:rsid w:val="31A9480C"/>
    <w:rsid w:val="31F6203D"/>
    <w:rsid w:val="329C5C14"/>
    <w:rsid w:val="32CA5B89"/>
    <w:rsid w:val="333913C7"/>
    <w:rsid w:val="33924C00"/>
    <w:rsid w:val="33B3490D"/>
    <w:rsid w:val="33FF585B"/>
    <w:rsid w:val="3408167D"/>
    <w:rsid w:val="34165F34"/>
    <w:rsid w:val="3425561C"/>
    <w:rsid w:val="343D25A4"/>
    <w:rsid w:val="345544EC"/>
    <w:rsid w:val="34C93962"/>
    <w:rsid w:val="351932ED"/>
    <w:rsid w:val="35650626"/>
    <w:rsid w:val="356D67CB"/>
    <w:rsid w:val="35870F40"/>
    <w:rsid w:val="358F726C"/>
    <w:rsid w:val="35AD2344"/>
    <w:rsid w:val="35C062DF"/>
    <w:rsid w:val="35C0641D"/>
    <w:rsid w:val="36157498"/>
    <w:rsid w:val="36353DCE"/>
    <w:rsid w:val="370E0E9A"/>
    <w:rsid w:val="373B6C36"/>
    <w:rsid w:val="377B0B1B"/>
    <w:rsid w:val="37D239B1"/>
    <w:rsid w:val="382920B8"/>
    <w:rsid w:val="38622589"/>
    <w:rsid w:val="386351AF"/>
    <w:rsid w:val="38FD1AD6"/>
    <w:rsid w:val="39433004"/>
    <w:rsid w:val="397F506B"/>
    <w:rsid w:val="39831B12"/>
    <w:rsid w:val="39D66562"/>
    <w:rsid w:val="3A035D97"/>
    <w:rsid w:val="3A0D4011"/>
    <w:rsid w:val="3A1761E7"/>
    <w:rsid w:val="3A8140F6"/>
    <w:rsid w:val="3A8F6187"/>
    <w:rsid w:val="3AE53218"/>
    <w:rsid w:val="3AF57F2E"/>
    <w:rsid w:val="3B4C09D6"/>
    <w:rsid w:val="3B882DB9"/>
    <w:rsid w:val="3B984CD1"/>
    <w:rsid w:val="3C1D0580"/>
    <w:rsid w:val="3C9C6A41"/>
    <w:rsid w:val="3D19024E"/>
    <w:rsid w:val="3D19224B"/>
    <w:rsid w:val="3D6333F7"/>
    <w:rsid w:val="3E156BEB"/>
    <w:rsid w:val="3E2A7B0A"/>
    <w:rsid w:val="3E4B1D51"/>
    <w:rsid w:val="3E572F58"/>
    <w:rsid w:val="3E5F2DE8"/>
    <w:rsid w:val="3E772B2E"/>
    <w:rsid w:val="3EA27632"/>
    <w:rsid w:val="3EC60FE9"/>
    <w:rsid w:val="3EFE43C0"/>
    <w:rsid w:val="3F564FDF"/>
    <w:rsid w:val="401C403D"/>
    <w:rsid w:val="40560719"/>
    <w:rsid w:val="408D4932"/>
    <w:rsid w:val="41057F25"/>
    <w:rsid w:val="411308B9"/>
    <w:rsid w:val="412B3FD2"/>
    <w:rsid w:val="414E0696"/>
    <w:rsid w:val="41593846"/>
    <w:rsid w:val="415F3320"/>
    <w:rsid w:val="420B3661"/>
    <w:rsid w:val="42461EC8"/>
    <w:rsid w:val="429A5E3A"/>
    <w:rsid w:val="42E23F23"/>
    <w:rsid w:val="434B72E3"/>
    <w:rsid w:val="439E597D"/>
    <w:rsid w:val="43B73246"/>
    <w:rsid w:val="447B78EA"/>
    <w:rsid w:val="456959A4"/>
    <w:rsid w:val="45A81449"/>
    <w:rsid w:val="45BA029B"/>
    <w:rsid w:val="45BD18D9"/>
    <w:rsid w:val="45D60869"/>
    <w:rsid w:val="45E91324"/>
    <w:rsid w:val="460B412E"/>
    <w:rsid w:val="46312BF3"/>
    <w:rsid w:val="46341DD8"/>
    <w:rsid w:val="46521A6E"/>
    <w:rsid w:val="469B0737"/>
    <w:rsid w:val="46A20DF5"/>
    <w:rsid w:val="47A66064"/>
    <w:rsid w:val="47B7590F"/>
    <w:rsid w:val="48044F88"/>
    <w:rsid w:val="48277D76"/>
    <w:rsid w:val="486F6565"/>
    <w:rsid w:val="48C97EF9"/>
    <w:rsid w:val="48D1534F"/>
    <w:rsid w:val="48DB5895"/>
    <w:rsid w:val="49594A8E"/>
    <w:rsid w:val="4984282A"/>
    <w:rsid w:val="49B43ED3"/>
    <w:rsid w:val="4A2D3E3D"/>
    <w:rsid w:val="4A7A6660"/>
    <w:rsid w:val="4A873113"/>
    <w:rsid w:val="4AB82021"/>
    <w:rsid w:val="4ACB73A2"/>
    <w:rsid w:val="4B147D82"/>
    <w:rsid w:val="4B286ED7"/>
    <w:rsid w:val="4BE86813"/>
    <w:rsid w:val="4BEA1743"/>
    <w:rsid w:val="4BFE10E1"/>
    <w:rsid w:val="4C186067"/>
    <w:rsid w:val="4D267849"/>
    <w:rsid w:val="4D641E75"/>
    <w:rsid w:val="4D654BAF"/>
    <w:rsid w:val="4D813F92"/>
    <w:rsid w:val="4DAC4CC7"/>
    <w:rsid w:val="4DB52AE7"/>
    <w:rsid w:val="4DD2564E"/>
    <w:rsid w:val="4DE94738"/>
    <w:rsid w:val="4E133D67"/>
    <w:rsid w:val="4E7875AB"/>
    <w:rsid w:val="4E7D19CA"/>
    <w:rsid w:val="4EBE56A0"/>
    <w:rsid w:val="4F2B6241"/>
    <w:rsid w:val="4F515D3C"/>
    <w:rsid w:val="4F561C21"/>
    <w:rsid w:val="4F5C0F96"/>
    <w:rsid w:val="4F9363C2"/>
    <w:rsid w:val="4FA4146F"/>
    <w:rsid w:val="4FD206CB"/>
    <w:rsid w:val="4FFB1C84"/>
    <w:rsid w:val="508201A4"/>
    <w:rsid w:val="50B41C39"/>
    <w:rsid w:val="5110258E"/>
    <w:rsid w:val="513837AE"/>
    <w:rsid w:val="51512E24"/>
    <w:rsid w:val="51B15DE6"/>
    <w:rsid w:val="51CA0589"/>
    <w:rsid w:val="51F85AB1"/>
    <w:rsid w:val="520609AC"/>
    <w:rsid w:val="5231705B"/>
    <w:rsid w:val="5245096C"/>
    <w:rsid w:val="52571024"/>
    <w:rsid w:val="52790A48"/>
    <w:rsid w:val="52AC7BA2"/>
    <w:rsid w:val="52D70199"/>
    <w:rsid w:val="530449C0"/>
    <w:rsid w:val="539030A9"/>
    <w:rsid w:val="53A22565"/>
    <w:rsid w:val="53CD26DD"/>
    <w:rsid w:val="53D264EB"/>
    <w:rsid w:val="53DC2EBF"/>
    <w:rsid w:val="53E615B4"/>
    <w:rsid w:val="541B03BF"/>
    <w:rsid w:val="54786471"/>
    <w:rsid w:val="54BA7CF8"/>
    <w:rsid w:val="54CF266A"/>
    <w:rsid w:val="55592415"/>
    <w:rsid w:val="55A05B40"/>
    <w:rsid w:val="567D1774"/>
    <w:rsid w:val="573B4EA2"/>
    <w:rsid w:val="573D0576"/>
    <w:rsid w:val="57874878"/>
    <w:rsid w:val="57BE3B3D"/>
    <w:rsid w:val="57C70AEE"/>
    <w:rsid w:val="57EC1E8C"/>
    <w:rsid w:val="58144D0D"/>
    <w:rsid w:val="5832234F"/>
    <w:rsid w:val="584E279A"/>
    <w:rsid w:val="58CD0C68"/>
    <w:rsid w:val="59001493"/>
    <w:rsid w:val="592A00D8"/>
    <w:rsid w:val="5936486F"/>
    <w:rsid w:val="59E6248C"/>
    <w:rsid w:val="5A810715"/>
    <w:rsid w:val="5AA903B9"/>
    <w:rsid w:val="5AB22BA1"/>
    <w:rsid w:val="5AB84EE3"/>
    <w:rsid w:val="5AD7016E"/>
    <w:rsid w:val="5AE0730C"/>
    <w:rsid w:val="5B2513A1"/>
    <w:rsid w:val="5B5F26A5"/>
    <w:rsid w:val="5B6065F6"/>
    <w:rsid w:val="5B6E5656"/>
    <w:rsid w:val="5BC04D4E"/>
    <w:rsid w:val="5C342DE6"/>
    <w:rsid w:val="5C984314"/>
    <w:rsid w:val="5CE55F54"/>
    <w:rsid w:val="5D086DB9"/>
    <w:rsid w:val="5D3A376B"/>
    <w:rsid w:val="5DD2486A"/>
    <w:rsid w:val="5DF76C18"/>
    <w:rsid w:val="5E1D46E5"/>
    <w:rsid w:val="5E485266"/>
    <w:rsid w:val="5E56619C"/>
    <w:rsid w:val="5E72647F"/>
    <w:rsid w:val="5E9C76A3"/>
    <w:rsid w:val="5EC468F9"/>
    <w:rsid w:val="5EC60009"/>
    <w:rsid w:val="5EDF3132"/>
    <w:rsid w:val="5F2C17DD"/>
    <w:rsid w:val="5F2D275A"/>
    <w:rsid w:val="5F354F47"/>
    <w:rsid w:val="5FCA73E0"/>
    <w:rsid w:val="5FD414EF"/>
    <w:rsid w:val="5FE652B0"/>
    <w:rsid w:val="5FF71A00"/>
    <w:rsid w:val="60046ECF"/>
    <w:rsid w:val="600B7887"/>
    <w:rsid w:val="602B553E"/>
    <w:rsid w:val="602E669F"/>
    <w:rsid w:val="603D6EF9"/>
    <w:rsid w:val="60A5489F"/>
    <w:rsid w:val="60A911DD"/>
    <w:rsid w:val="60BB1C5E"/>
    <w:rsid w:val="61343606"/>
    <w:rsid w:val="613D6494"/>
    <w:rsid w:val="614D2100"/>
    <w:rsid w:val="62007857"/>
    <w:rsid w:val="622F0B40"/>
    <w:rsid w:val="623E6C83"/>
    <w:rsid w:val="628D59F1"/>
    <w:rsid w:val="629C5475"/>
    <w:rsid w:val="62AB4A16"/>
    <w:rsid w:val="62DC5BEA"/>
    <w:rsid w:val="634023E7"/>
    <w:rsid w:val="635F59DA"/>
    <w:rsid w:val="64613801"/>
    <w:rsid w:val="649C5F21"/>
    <w:rsid w:val="64A314C9"/>
    <w:rsid w:val="64D31813"/>
    <w:rsid w:val="651200DE"/>
    <w:rsid w:val="65621EDC"/>
    <w:rsid w:val="66276BD5"/>
    <w:rsid w:val="668971B5"/>
    <w:rsid w:val="66AB5ACF"/>
    <w:rsid w:val="66D029D4"/>
    <w:rsid w:val="67065B78"/>
    <w:rsid w:val="675C52F4"/>
    <w:rsid w:val="67B040D8"/>
    <w:rsid w:val="67C9069F"/>
    <w:rsid w:val="67FA55A3"/>
    <w:rsid w:val="67FC352D"/>
    <w:rsid w:val="67FD56EF"/>
    <w:rsid w:val="689421BF"/>
    <w:rsid w:val="6899430C"/>
    <w:rsid w:val="68B41AC1"/>
    <w:rsid w:val="68D11FC5"/>
    <w:rsid w:val="68E87291"/>
    <w:rsid w:val="68F74558"/>
    <w:rsid w:val="6907225D"/>
    <w:rsid w:val="691828A1"/>
    <w:rsid w:val="691C0042"/>
    <w:rsid w:val="6923630A"/>
    <w:rsid w:val="69323BE4"/>
    <w:rsid w:val="69777FBA"/>
    <w:rsid w:val="6984775D"/>
    <w:rsid w:val="69CC5BA8"/>
    <w:rsid w:val="69EE682C"/>
    <w:rsid w:val="69F67967"/>
    <w:rsid w:val="69F833B2"/>
    <w:rsid w:val="6A0D7B0E"/>
    <w:rsid w:val="6A157814"/>
    <w:rsid w:val="6A9B5555"/>
    <w:rsid w:val="6AD3273D"/>
    <w:rsid w:val="6ADD502B"/>
    <w:rsid w:val="6B081D9C"/>
    <w:rsid w:val="6B196B1E"/>
    <w:rsid w:val="6B3B477B"/>
    <w:rsid w:val="6B426304"/>
    <w:rsid w:val="6B4B244D"/>
    <w:rsid w:val="6BB811AB"/>
    <w:rsid w:val="6C0A55D0"/>
    <w:rsid w:val="6C3E52AD"/>
    <w:rsid w:val="6C427B08"/>
    <w:rsid w:val="6C8471EA"/>
    <w:rsid w:val="6CC60C20"/>
    <w:rsid w:val="6D745590"/>
    <w:rsid w:val="6DA87666"/>
    <w:rsid w:val="6DC6512A"/>
    <w:rsid w:val="6DDC3422"/>
    <w:rsid w:val="6E110C07"/>
    <w:rsid w:val="6E691813"/>
    <w:rsid w:val="6E933E3E"/>
    <w:rsid w:val="6F1F4A95"/>
    <w:rsid w:val="6F3137C8"/>
    <w:rsid w:val="6F4E5EAA"/>
    <w:rsid w:val="6F7B0C81"/>
    <w:rsid w:val="6FAA79E8"/>
    <w:rsid w:val="6FB27C85"/>
    <w:rsid w:val="6FD544D8"/>
    <w:rsid w:val="6FE86FB7"/>
    <w:rsid w:val="6FE91A27"/>
    <w:rsid w:val="6FF900E0"/>
    <w:rsid w:val="705C4D63"/>
    <w:rsid w:val="706C2716"/>
    <w:rsid w:val="709A2E1C"/>
    <w:rsid w:val="70C2375B"/>
    <w:rsid w:val="70C65956"/>
    <w:rsid w:val="70FC6278"/>
    <w:rsid w:val="71161064"/>
    <w:rsid w:val="713B7169"/>
    <w:rsid w:val="714B6418"/>
    <w:rsid w:val="716C2528"/>
    <w:rsid w:val="716E1343"/>
    <w:rsid w:val="71D055E0"/>
    <w:rsid w:val="71E722EB"/>
    <w:rsid w:val="72281917"/>
    <w:rsid w:val="72871C9B"/>
    <w:rsid w:val="72B001DF"/>
    <w:rsid w:val="72B9233B"/>
    <w:rsid w:val="72BE3D95"/>
    <w:rsid w:val="73086CE8"/>
    <w:rsid w:val="73131A67"/>
    <w:rsid w:val="73B84376"/>
    <w:rsid w:val="73FA2D7D"/>
    <w:rsid w:val="742B0785"/>
    <w:rsid w:val="747D337F"/>
    <w:rsid w:val="74903198"/>
    <w:rsid w:val="750875AC"/>
    <w:rsid w:val="750F1273"/>
    <w:rsid w:val="75834F63"/>
    <w:rsid w:val="75950CE8"/>
    <w:rsid w:val="75FB71EF"/>
    <w:rsid w:val="76602546"/>
    <w:rsid w:val="76960CC6"/>
    <w:rsid w:val="76B00412"/>
    <w:rsid w:val="76C304ED"/>
    <w:rsid w:val="7720540D"/>
    <w:rsid w:val="779E6F30"/>
    <w:rsid w:val="77D5768F"/>
    <w:rsid w:val="783F6150"/>
    <w:rsid w:val="78870DA0"/>
    <w:rsid w:val="78C21B5B"/>
    <w:rsid w:val="78C515DF"/>
    <w:rsid w:val="78FF3DB8"/>
    <w:rsid w:val="79391589"/>
    <w:rsid w:val="794E2DCF"/>
    <w:rsid w:val="79546E13"/>
    <w:rsid w:val="79667E4E"/>
    <w:rsid w:val="797851C2"/>
    <w:rsid w:val="799E45C2"/>
    <w:rsid w:val="79BE740D"/>
    <w:rsid w:val="79DA1477"/>
    <w:rsid w:val="79DC21BE"/>
    <w:rsid w:val="7A1B61D8"/>
    <w:rsid w:val="7A2A7E25"/>
    <w:rsid w:val="7A427BA1"/>
    <w:rsid w:val="7A455404"/>
    <w:rsid w:val="7A7026C2"/>
    <w:rsid w:val="7A845761"/>
    <w:rsid w:val="7A910A0F"/>
    <w:rsid w:val="7B892FEF"/>
    <w:rsid w:val="7BEF6963"/>
    <w:rsid w:val="7BF328F7"/>
    <w:rsid w:val="7BFE1E1C"/>
    <w:rsid w:val="7C153320"/>
    <w:rsid w:val="7C1742A4"/>
    <w:rsid w:val="7C213007"/>
    <w:rsid w:val="7C365230"/>
    <w:rsid w:val="7C4F7E59"/>
    <w:rsid w:val="7C5C0287"/>
    <w:rsid w:val="7CEB44D5"/>
    <w:rsid w:val="7D0645A7"/>
    <w:rsid w:val="7D102445"/>
    <w:rsid w:val="7D1108C2"/>
    <w:rsid w:val="7D265C12"/>
    <w:rsid w:val="7D8C1AAD"/>
    <w:rsid w:val="7D9215FE"/>
    <w:rsid w:val="7DB436D9"/>
    <w:rsid w:val="7DCA5CA4"/>
    <w:rsid w:val="7DF56F77"/>
    <w:rsid w:val="7E36724F"/>
    <w:rsid w:val="7E3B27A1"/>
    <w:rsid w:val="7E786CA0"/>
    <w:rsid w:val="7F155E8B"/>
    <w:rsid w:val="7F4F7DA3"/>
    <w:rsid w:val="7F6A14AC"/>
    <w:rsid w:val="7F707923"/>
    <w:rsid w:val="7F80239C"/>
    <w:rsid w:val="7FD91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2025-03-17T15:06:00Z</dcterms:created>
  <dc:creator>A_Basistii</dc:creator>
  <cp:lastModifiedBy>A_Basistii</cp:lastModifiedBy>
  <cp:lastPrinted>2026-02-03T12:01:52Z</cp:lastPrinted>
  <dcterms:modified xsi:type="dcterms:W3CDTF">2026-02-03T12:04:56Z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84356472086A42A18AB6109E24B99799_12</vt:lpwstr>
  </property>
</Properties>
</file>