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778D">
      <w:bookmarkStart w:id="0" w:name="_heading=h.gjdgxs" w:colFirst="0" w:colLast="0"/>
      <w:bookmarkEnd w:id="0"/>
      <w:r>
        <w:tab/>
      </w:r>
    </w:p>
    <w:p w14:paraId="641C3C21">
      <w:pPr>
        <w:jc w:val="right"/>
      </w:pPr>
      <w:r>
        <w:t>Anexa nr. 2</w:t>
      </w:r>
    </w:p>
    <w:p w14:paraId="2A3BAB03">
      <w:pPr>
        <w:jc w:val="right"/>
      </w:pPr>
      <w:r>
        <w:t>la Documentația standard nr. 69</w:t>
      </w:r>
    </w:p>
    <w:p w14:paraId="4E1C5094">
      <w:pPr>
        <w:jc w:val="right"/>
      </w:pPr>
      <w:r>
        <w:t>din 7 mai  2021</w:t>
      </w:r>
    </w:p>
    <w:p w14:paraId="2F4C2A57"/>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1"/>
        </w:numPr>
        <w:tabs>
          <w:tab w:val="left" w:pos="284"/>
          <w:tab w:val="right" w:pos="9531"/>
        </w:tabs>
        <w:ind w:left="360" w:leftChars="0" w:firstLineChars="0"/>
      </w:pPr>
      <w:r>
        <w:t xml:space="preserve"> Denumirea autorității contractante: Primaria Speia</w:t>
      </w:r>
    </w:p>
    <w:p w14:paraId="2ADE714E">
      <w:pPr>
        <w:numPr>
          <w:ilvl w:val="0"/>
          <w:numId w:val="1"/>
        </w:numPr>
        <w:tabs>
          <w:tab w:val="left" w:pos="284"/>
          <w:tab w:val="right" w:pos="9531"/>
        </w:tabs>
        <w:ind w:left="360" w:leftChars="0" w:firstLineChars="0"/>
      </w:pPr>
      <w:r>
        <w:t>IDNO: 1007601010013</w:t>
      </w:r>
    </w:p>
    <w:p w14:paraId="32AD7D1A">
      <w:pPr>
        <w:numPr>
          <w:ilvl w:val="0"/>
          <w:numId w:val="1"/>
        </w:numPr>
        <w:tabs>
          <w:tab w:val="left" w:pos="284"/>
          <w:tab w:val="right" w:pos="9531"/>
        </w:tabs>
        <w:ind w:left="360" w:leftChars="0" w:firstLineChars="0"/>
      </w:pPr>
      <w:r>
        <w:t>Adresa: MD 6533 r-l Anenii Noi, s. Speia, str. Stefan cel Mare</w:t>
      </w:r>
    </w:p>
    <w:p w14:paraId="44A51806">
      <w:pPr>
        <w:numPr>
          <w:ilvl w:val="0"/>
          <w:numId w:val="1"/>
        </w:numPr>
        <w:tabs>
          <w:tab w:val="left" w:pos="284"/>
          <w:tab w:val="right" w:pos="9531"/>
        </w:tabs>
        <w:ind w:left="360" w:leftChars="0" w:firstLineChars="0"/>
      </w:pPr>
      <w:r>
        <w:t>Numărul de telefon/fax: 026574366, 026574365_</w:t>
      </w:r>
    </w:p>
    <w:p w14:paraId="0C978642">
      <w:pPr>
        <w:numPr>
          <w:ilvl w:val="0"/>
          <w:numId w:val="1"/>
        </w:numPr>
        <w:tabs>
          <w:tab w:val="left" w:pos="284"/>
          <w:tab w:val="right" w:pos="9531"/>
        </w:tabs>
        <w:ind w:left="360" w:leftChars="0" w:firstLineChars="0"/>
      </w:pPr>
      <w:r>
        <w:t xml:space="preserve">Adresa de e-mail și pagina web oficială a autorității contractante: </w:t>
      </w:r>
      <w:r>
        <w:rPr>
          <w:color w:val="1155CC"/>
          <w:u w:val="single"/>
        </w:rPr>
        <w:t xml:space="preserve">primaria.speia@apl.gov.md </w:t>
      </w:r>
    </w:p>
    <w:p w14:paraId="2C0650EB">
      <w:pPr>
        <w:numPr>
          <w:ilvl w:val="0"/>
          <w:numId w:val="1"/>
        </w:numPr>
        <w:tabs>
          <w:tab w:val="left" w:pos="284"/>
          <w:tab w:val="right" w:pos="9531"/>
        </w:tabs>
        <w:ind w:left="360" w:leftChars="0" w:firstLineChars="0"/>
      </w:pPr>
      <w:r>
        <w:t>Adresa de e-mail sau pagina web oficială de la care se va putea obține accesul la documentația de atribuire: documentația de atribuire este anexată în cadrul procedurii în SIA RSAP</w:t>
      </w:r>
    </w:p>
    <w:p w14:paraId="095B1107">
      <w:pPr>
        <w:numPr>
          <w:ilvl w:val="0"/>
          <w:numId w:val="1"/>
        </w:numPr>
        <w:tabs>
          <w:tab w:val="left" w:pos="284"/>
          <w:tab w:val="right" w:pos="9531"/>
        </w:tabs>
        <w:ind w:left="360" w:leftChars="0" w:firstLineChars="0"/>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1"/>
        </w:numPr>
        <w:tabs>
          <w:tab w:val="left" w:pos="284"/>
          <w:tab w:val="right" w:pos="426"/>
        </w:tabs>
        <w:ind w:left="360" w:leftChars="0" w:firstLineChars="0"/>
      </w:pPr>
      <w:r>
        <w:t>Cumpărătorul invită operatorii economici interesați, care îi pot satisface necesitățile, să participe la procedura de achiziție privind prestarea/executarea următoarelor servicii de proiectare/lucrări:</w:t>
      </w:r>
    </w:p>
    <w:tbl>
      <w:tblPr>
        <w:tblStyle w:val="110"/>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pPr>
              <w:rPr>
                <w:rFonts w:hint="default"/>
                <w:lang w:val="en-US"/>
              </w:rPr>
            </w:pPr>
            <w:r>
              <w:rPr>
                <w:rFonts w:hint="default"/>
                <w:lang w:val="en-US"/>
              </w:rPr>
              <w:t>4134972.86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lei (patru milioane una suta </w:t>
            </w:r>
            <w:r>
              <w:rPr>
                <w:rFonts w:hint="default" w:ascii="Calibri" w:hAnsi="Calibri" w:eastAsia="Calibri" w:cs="Calibri"/>
                <w:b/>
                <w:color w:val="073763"/>
                <w:u w:val="single"/>
                <w:lang w:val="en-US"/>
              </w:rPr>
              <w:t xml:space="preserve">treizeci </w:t>
            </w:r>
            <w:r>
              <w:rPr>
                <w:rFonts w:ascii="Calibri" w:hAnsi="Calibri" w:eastAsia="Calibri" w:cs="Calibri"/>
                <w:b/>
                <w:color w:val="073763"/>
                <w:u w:val="single"/>
              </w:rPr>
              <w:t xml:space="preserve">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1"/>
        </w:numPr>
        <w:tabs>
          <w:tab w:val="right" w:pos="426"/>
        </w:tabs>
        <w:ind w:left="360" w:leftChars="0" w:firstLineChars="0"/>
      </w:pPr>
      <w:r>
        <w:t>În cazul procedurilor de preselecție se indică numărul minim al candidaţilor şi, dacă este cazul, numărul maxim al acestora. Nu e cazul</w:t>
      </w:r>
    </w:p>
    <w:p w14:paraId="2843D77D">
      <w:pPr>
        <w:numPr>
          <w:ilvl w:val="0"/>
          <w:numId w:val="1"/>
        </w:numPr>
        <w:tabs>
          <w:tab w:val="right" w:pos="426"/>
        </w:tabs>
        <w:ind w:left="360" w:leftChars="0" w:firstLineChars="0"/>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2"/>
        </w:numPr>
        <w:tabs>
          <w:tab w:val="right" w:pos="426"/>
        </w:tabs>
      </w:pPr>
      <w:r>
        <w:t>Pentru un singur lot;</w:t>
      </w:r>
    </w:p>
    <w:p w14:paraId="0E8D5059">
      <w:pPr>
        <w:numPr>
          <w:ilvl w:val="0"/>
          <w:numId w:val="2"/>
        </w:numPr>
        <w:tabs>
          <w:tab w:val="right" w:pos="426"/>
        </w:tabs>
      </w:pPr>
      <w:r>
        <w:t>Pentru mai multe loturi;</w:t>
      </w:r>
    </w:p>
    <w:p w14:paraId="5E50268B">
      <w:pPr>
        <w:numPr>
          <w:ilvl w:val="0"/>
          <w:numId w:val="2"/>
        </w:numPr>
        <w:tabs>
          <w:tab w:val="right" w:pos="426"/>
        </w:tabs>
      </w:pPr>
      <w:r>
        <w:t>Pentru toate loturile;</w:t>
      </w:r>
    </w:p>
    <w:p w14:paraId="43E395E3">
      <w:pPr>
        <w:numPr>
          <w:ilvl w:val="0"/>
          <w:numId w:val="2"/>
        </w:numPr>
        <w:tabs>
          <w:tab w:val="right" w:pos="426"/>
        </w:tabs>
      </w:pPr>
      <w:r>
        <w:t>Alte limitări privind numărul de loturi care pot fi atribuite aceluiași ofertant</w:t>
      </w:r>
    </w:p>
    <w:p w14:paraId="0CF9F4D1">
      <w:pPr>
        <w:numPr>
          <w:ilvl w:val="0"/>
          <w:numId w:val="1"/>
        </w:numPr>
        <w:tabs>
          <w:tab w:val="right" w:pos="426"/>
        </w:tabs>
        <w:ind w:left="360" w:leftChars="0" w:firstLineChars="0"/>
      </w:pPr>
      <w:r>
        <w:t>Admiterea sau interzicerea ofertelor alternative: nu se admite</w:t>
      </w:r>
    </w:p>
    <w:p w14:paraId="6C31B71C">
      <w:pPr>
        <w:numPr>
          <w:ilvl w:val="0"/>
          <w:numId w:val="1"/>
        </w:numPr>
        <w:tabs>
          <w:tab w:val="left" w:pos="0"/>
          <w:tab w:val="left" w:pos="284"/>
          <w:tab w:val="left" w:pos="426"/>
        </w:tabs>
        <w:ind w:left="360" w:leftChars="0" w:firstLineChars="0"/>
      </w:pPr>
      <w:r>
        <w:t xml:space="preserve">Termenii și condițiile de prestare/executare solicitați: </w:t>
      </w:r>
    </w:p>
    <w:p w14:paraId="4A4AAE6C">
      <w:pPr>
        <w:tabs>
          <w:tab w:val="left" w:pos="0"/>
          <w:tab w:val="left" w:pos="284"/>
          <w:tab w:val="left" w:pos="426"/>
        </w:tabs>
      </w:pPr>
      <w:r>
        <w:t xml:space="preserve">  </w:t>
      </w:r>
      <w:r>
        <w:rPr>
          <w:rFonts w:hint="default"/>
          <w:lang w:val="en-US"/>
        </w:rPr>
        <w:t xml:space="preserve">Conform </w:t>
      </w:r>
      <w:r>
        <w:t>caiet</w:t>
      </w:r>
      <w:r>
        <w:rPr>
          <w:rFonts w:hint="default"/>
          <w:lang w:val="en-US"/>
        </w:rPr>
        <w:t>ului</w:t>
      </w:r>
      <w:r>
        <w:t xml:space="preserve"> de sarcini , 6 luni(180 zile ) termenul va intra în vigoare de la data  semnarii contractului</w:t>
      </w:r>
    </w:p>
    <w:p w14:paraId="2E124BD0">
      <w:pPr>
        <w:numPr>
          <w:ilvl w:val="0"/>
          <w:numId w:val="1"/>
        </w:numPr>
        <w:tabs>
          <w:tab w:val="left" w:pos="0"/>
          <w:tab w:val="left" w:pos="284"/>
          <w:tab w:val="left" w:pos="426"/>
        </w:tabs>
        <w:ind w:left="360" w:leftChars="0" w:firstLineChars="0"/>
      </w:pPr>
      <w:r>
        <w:t>Termenul de valabilitate a contractului:31.12.2026</w:t>
      </w:r>
    </w:p>
    <w:p w14:paraId="0EF33798">
      <w:pPr>
        <w:numPr>
          <w:ilvl w:val="0"/>
          <w:numId w:val="1"/>
        </w:numPr>
        <w:tabs>
          <w:tab w:val="right" w:pos="426"/>
        </w:tabs>
        <w:ind w:left="360" w:leftChars="0" w:firstLineChars="0"/>
      </w:pPr>
      <w:r>
        <w:t xml:space="preserve">Contract de achiziție rezervat atelierelor protejate sau că acesta poate fi executat numai în cadrul unor programe de angajare protejată (după caz): nu </w:t>
      </w:r>
    </w:p>
    <w:p w14:paraId="23A86B35">
      <w:pPr>
        <w:numPr>
          <w:ilvl w:val="0"/>
          <w:numId w:val="1"/>
        </w:numPr>
        <w:tabs>
          <w:tab w:val="right" w:pos="426"/>
        </w:tabs>
        <w:ind w:left="360" w:leftChars="0" w:firstLineChars="0"/>
      </w:pPr>
      <w:r>
        <w:t>Prestarea serviciului este rezervată unei anumite profesii în temeiul unor legisau al unor acte administrative (după caz): nu este cazul_</w:t>
      </w:r>
    </w:p>
    <w:p w14:paraId="0F259172">
      <w:pPr>
        <w:numPr>
          <w:ilvl w:val="0"/>
          <w:numId w:val="1"/>
        </w:numPr>
        <w:tabs>
          <w:tab w:val="right" w:pos="426"/>
        </w:tabs>
        <w:ind w:left="360" w:leftChars="0" w:firstLineChars="0"/>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111"/>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3"/>
              </w:numPr>
              <w:tabs>
                <w:tab w:val="left" w:pos="1134"/>
              </w:tabs>
            </w:pPr>
            <w:r>
              <w:t>valoarea fără TVA, ( lei)</w:t>
            </w:r>
          </w:p>
          <w:p w14:paraId="11F30ED1">
            <w:pPr>
              <w:numPr>
                <w:ilvl w:val="0"/>
                <w:numId w:val="3"/>
              </w:numPr>
              <w:tabs>
                <w:tab w:val="left" w:pos="1134"/>
              </w:tabs>
            </w:pPr>
            <w:r>
              <w:t>valoarea cu TVA, ( lei)</w:t>
            </w:r>
          </w:p>
          <w:p w14:paraId="348C1D5A">
            <w:pPr>
              <w:numPr>
                <w:ilvl w:val="0"/>
                <w:numId w:val="3"/>
              </w:numPr>
              <w:tabs>
                <w:tab w:val="left" w:pos="34"/>
                <w:tab w:val="left" w:pos="1134"/>
              </w:tabs>
            </w:pPr>
            <w:r>
              <w:t xml:space="preserve">termen de </w:t>
            </w:r>
            <w:r>
              <w:rPr>
                <w:rFonts w:hint="default"/>
                <w:lang w:val="en-US"/>
              </w:rPr>
              <w:t>valabilitate</w:t>
            </w:r>
            <w:r>
              <w:t xml:space="preserv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Varianta scanată de pe originalul acestora, confirmată prin semnatura electronică. </w:t>
            </w:r>
          </w:p>
          <w:p w14:paraId="35553AEA">
            <w:pPr>
              <w:tabs>
                <w:tab w:val="left" w:pos="612"/>
              </w:tabs>
            </w:pPr>
            <w:r>
              <w:t>Condițiile de calificare:</w:t>
            </w:r>
          </w:p>
          <w:p w14:paraId="21C1FD60">
            <w:pPr>
              <w:tabs>
                <w:tab w:val="left" w:pos="612"/>
              </w:tabs>
            </w:pPr>
            <w:r>
              <w:t xml:space="preserve">1. Realizarea unei cifre medii anuale de afaceri în ultimii 3 ani egală sau mai mare decît </w:t>
            </w:r>
            <w:r>
              <w:rPr>
                <w:rFonts w:hint="default"/>
                <w:lang w:val="en-US"/>
              </w:rPr>
              <w:t xml:space="preserve">4 </w:t>
            </w:r>
            <w:bookmarkStart w:id="2" w:name="_GoBack"/>
            <w:bookmarkEnd w:id="2"/>
            <w:r>
              <w:t>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 xml:space="preserve">Disponibilitatea de bani lichizi sau capital circulant, sau de resurse creditare în sumă de minim </w:t>
            </w:r>
            <w:r>
              <w:rPr>
                <w:rFonts w:hint="default"/>
                <w:lang w:val="en-US"/>
              </w:rPr>
              <w:t>1240000</w:t>
            </w:r>
            <w:r>
              <w:t xml:space="preserve">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de minim </w:t>
            </w:r>
            <w:r>
              <w:rPr>
                <w:rFonts w:hint="default"/>
                <w:lang w:val="en-US"/>
              </w:rPr>
              <w:t>1240000</w:t>
            </w:r>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1" w:name="_heading=h.30j0zll" w:colFirst="0" w:colLast="0"/>
            <w:bookmarkEnd w:id="1"/>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5"/>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pPr>
              <w:rPr>
                <w:rFonts w:hint="default"/>
                <w:lang w:val="en-US"/>
              </w:rPr>
            </w:pPr>
            <w:r>
              <w:t xml:space="preserve">Autoritatea contractantă </w:t>
            </w:r>
            <w:r>
              <w:rPr>
                <w:rFonts w:hint="default"/>
                <w:lang w:val="en-US"/>
              </w:rPr>
              <w:t>oblig</w:t>
            </w:r>
            <w:r>
              <w:rPr>
                <w:rFonts w:hint="default"/>
              </w:rPr>
              <w:t>ă</w:t>
            </w:r>
            <w:r>
              <w:rPr>
                <w:rFonts w:hint="default"/>
                <w:lang w:val="en-US"/>
              </w:rPr>
              <w:t xml:space="preserve"> </w:t>
            </w:r>
            <w:r>
              <w:t>operatori</w:t>
            </w:r>
            <w:r>
              <w:rPr>
                <w:rFonts w:hint="default"/>
                <w:lang w:val="en-US"/>
              </w:rPr>
              <w:t>i</w:t>
            </w:r>
            <w:r>
              <w:t xml:space="preserve">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1"/>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w:t>
      </w:r>
      <w:r>
        <w:rPr>
          <w:rFonts w:hint="default" w:ascii="Calibri" w:hAnsi="Calibri" w:eastAsia="Calibri" w:cs="Calibri"/>
          <w:i/>
          <w:color w:val="1155CC"/>
          <w:sz w:val="18"/>
          <w:szCs w:val="18"/>
          <w:u w:val="single"/>
          <w:lang w:val="en-US"/>
        </w:rPr>
        <w:t>speia</w:t>
      </w:r>
      <w:r>
        <w:rPr>
          <w:rFonts w:ascii="Calibri" w:hAnsi="Calibri" w:eastAsia="Calibri" w:cs="Calibri"/>
          <w:i/>
          <w:color w:val="1155CC"/>
          <w:sz w:val="18"/>
          <w:szCs w:val="18"/>
          <w:u w:val="single"/>
        </w:rPr>
        <w:t>i@</w:t>
      </w:r>
      <w:r>
        <w:rPr>
          <w:rFonts w:hint="default" w:ascii="Calibri" w:hAnsi="Calibri" w:eastAsia="Calibri" w:cs="Calibri"/>
          <w:i/>
          <w:color w:val="1155CC"/>
          <w:sz w:val="18"/>
          <w:szCs w:val="18"/>
          <w:u w:val="single"/>
          <w:lang w:val="en-US"/>
        </w:rPr>
        <w:t>apl.gov</w:t>
      </w:r>
      <w:r>
        <w:rPr>
          <w:rFonts w:ascii="Calibri" w:hAnsi="Calibri" w:eastAsia="Calibri" w:cs="Calibri"/>
          <w:i/>
          <w:color w:val="1155CC"/>
          <w:sz w:val="18"/>
          <w:szCs w:val="18"/>
          <w:u w:val="single"/>
        </w:rPr>
        <w:t>.</w:t>
      </w:r>
      <w:r>
        <w:rPr>
          <w:rFonts w:hint="default" w:ascii="Calibri" w:hAnsi="Calibri" w:eastAsia="Calibri" w:cs="Calibri"/>
          <w:i/>
          <w:color w:val="1155CC"/>
          <w:sz w:val="18"/>
          <w:szCs w:val="18"/>
          <w:u w:val="single"/>
          <w:lang w:val="en-US"/>
        </w:rPr>
        <w:t>m</w:t>
      </w:r>
      <w:r>
        <w:rPr>
          <w:rFonts w:ascii="Calibri" w:hAnsi="Calibri" w:eastAsia="Calibri" w:cs="Calibri"/>
          <w:i/>
          <w:color w:val="1155CC"/>
          <w:sz w:val="18"/>
          <w:szCs w:val="18"/>
          <w:u w:val="single"/>
        </w:rPr>
        <w:fldChar w:fldCharType="end"/>
      </w:r>
      <w:r>
        <w:rPr>
          <w:rFonts w:hint="default" w:ascii="Calibri" w:hAnsi="Calibri" w:eastAsia="Calibri" w:cs="Calibri"/>
          <w:i/>
          <w:color w:val="1155CC"/>
          <w:sz w:val="18"/>
          <w:szCs w:val="18"/>
          <w:u w:val="single"/>
          <w:lang w:val="en-US"/>
        </w:rPr>
        <w:t>d</w:t>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300715A">
      <w:pPr>
        <w:keepNext w:val="0"/>
        <w:keepLines w:val="0"/>
        <w:widowControl/>
        <w:suppressLineNumbers w:val="0"/>
        <w:shd w:val="clear" w:fill="FFFFFF"/>
        <w:ind w:left="0" w:firstLine="0"/>
        <w:jc w:val="left"/>
        <w:rPr>
          <w:rFonts w:ascii="Arial" w:hAnsi="Arial" w:cs="Arial"/>
          <w:i w:val="0"/>
          <w:iCs w:val="0"/>
          <w:caps w:val="0"/>
          <w:color w:val="2C2D2E"/>
          <w:spacing w:val="0"/>
          <w:sz w:val="18"/>
          <w:szCs w:val="18"/>
        </w:rPr>
      </w:pPr>
      <w:r>
        <w:t xml:space="preserve"> </w:t>
      </w:r>
    </w:p>
    <w:p w14:paraId="79CD5457">
      <w:pPr>
        <w:keepNext w:val="0"/>
        <w:keepLines w:val="0"/>
        <w:widowControl/>
        <w:suppressLineNumbers w:val="0"/>
        <w:shd w:val="clear" w:fill="FFFFFF"/>
        <w:ind w:left="0" w:firstLine="0"/>
        <w:jc w:val="left"/>
        <w:rPr>
          <w:rFonts w:hint="default" w:ascii="Arial" w:hAnsi="Arial" w:cs="Arial"/>
          <w:i w:val="0"/>
          <w:iCs w:val="0"/>
          <w:caps w:val="0"/>
          <w:color w:val="2C2D2E"/>
          <w:spacing w:val="0"/>
          <w:sz w:val="18"/>
          <w:szCs w:val="18"/>
        </w:rPr>
      </w:pPr>
    </w:p>
    <w:p w14:paraId="727844AF">
      <w:pPr>
        <w:keepNext w:val="0"/>
        <w:keepLines w:val="0"/>
        <w:widowControl/>
        <w:suppressLineNumbers w:val="0"/>
        <w:shd w:val="clear" w:fill="FFFFFF"/>
        <w:ind w:left="0" w:firstLine="0"/>
        <w:jc w:val="left"/>
        <w:rPr>
          <w:rFonts w:hint="default" w:ascii="Arial" w:hAnsi="Arial" w:cs="Arial"/>
          <w:i w:val="0"/>
          <w:iCs w:val="0"/>
          <w:caps w:val="0"/>
          <w:color w:val="2C2D2E"/>
          <w:spacing w:val="0"/>
          <w:sz w:val="18"/>
          <w:szCs w:val="18"/>
        </w:rPr>
      </w:pPr>
    </w:p>
    <w:p w14:paraId="75237093">
      <w:pPr>
        <w:pStyle w:val="2"/>
        <w:bidi w:val="0"/>
        <w:ind w:left="360" w:leftChars="0" w:hanging="360" w:firstLineChars="0"/>
        <w:jc w:val="left"/>
        <w:rPr>
          <w:rFonts w:hint="default"/>
          <w:lang w:val="en-US" w:eastAsia="zh-CN"/>
        </w:rPr>
      </w:pPr>
      <w:r>
        <w:rPr>
          <w:rFonts w:hint="default"/>
          <w:b w:val="0"/>
          <w:bCs/>
          <w:lang w:val="en-US" w:eastAsia="zh-CN"/>
        </w:rPr>
        <w:t>Cerințele privind garanția pentru ofertă, garanția de bună execuție a contractului și termenul de garanție a lucrărilor sunt cele stabilite expres în tabelul de la pct. 16 din prezentul anunț de participare.</w:t>
      </w:r>
    </w:p>
    <w:p w14:paraId="2B0E9819">
      <w:pPr>
        <w:numPr>
          <w:ilvl w:val="0"/>
          <w:numId w:val="1"/>
        </w:numPr>
        <w:tabs>
          <w:tab w:val="right" w:pos="426"/>
        </w:tabs>
        <w:ind w:left="360" w:leftChars="0" w:firstLineChars="0"/>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1"/>
        </w:numPr>
        <w:tabs>
          <w:tab w:val="right" w:pos="426"/>
        </w:tabs>
        <w:ind w:left="360" w:leftChars="0" w:firstLineChars="0"/>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1"/>
        </w:numPr>
        <w:tabs>
          <w:tab w:val="right" w:pos="426"/>
        </w:tabs>
        <w:ind w:left="360" w:leftChars="0" w:firstLineChars="0"/>
      </w:pPr>
      <w:r>
        <w:t xml:space="preserve">Condiții speciale de care depinde îndeplinirea contractului (indicați după caz): </w:t>
      </w:r>
      <w:r>
        <w:rPr>
          <w:b/>
          <w:bCs/>
          <w:i/>
          <w:iCs/>
          <w:u w:val="single"/>
        </w:rPr>
        <w:t>- nu este cazul</w:t>
      </w:r>
    </w:p>
    <w:p w14:paraId="6DC9FD45">
      <w:pPr>
        <w:numPr>
          <w:ilvl w:val="0"/>
          <w:numId w:val="1"/>
        </w:numPr>
        <w:tabs>
          <w:tab w:val="right" w:pos="426"/>
        </w:tabs>
        <w:ind w:left="360" w:leftChars="0" w:firstLineChars="0"/>
      </w:pPr>
      <w:r>
        <w:t xml:space="preserve">Ofertele se prezintă în valută </w:t>
      </w:r>
      <w:r>
        <w:rPr>
          <w:b/>
          <w:bCs/>
        </w:rPr>
        <w:t>MDL</w:t>
      </w:r>
    </w:p>
    <w:p w14:paraId="79063913">
      <w:pPr>
        <w:numPr>
          <w:ilvl w:val="0"/>
          <w:numId w:val="1"/>
        </w:numPr>
        <w:tabs>
          <w:tab w:val="right" w:pos="426"/>
        </w:tabs>
        <w:ind w:left="360" w:leftChars="0" w:firstLineChars="0"/>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1"/>
        </w:numPr>
        <w:tabs>
          <w:tab w:val="right" w:pos="426"/>
        </w:tabs>
        <w:ind w:left="360" w:leftChars="0" w:firstLineChars="0"/>
      </w:pPr>
      <w:r>
        <w:t>Termenul limită de depunere/deschidere a ofertelor:</w:t>
      </w:r>
    </w:p>
    <w:p w14:paraId="6B461E7D">
      <w:pPr>
        <w:pStyle w:val="3"/>
        <w:numPr>
          <w:ilvl w:val="0"/>
          <w:numId w:val="6"/>
        </w:numPr>
        <w:tabs>
          <w:tab w:val="right" w:pos="426"/>
        </w:tabs>
      </w:pPr>
      <w:r>
        <w:t xml:space="preserve"> conform SIA RSAP /până la: [ora exactă] - conform SIA RSAP</w:t>
      </w:r>
    </w:p>
    <w:p w14:paraId="7C0C9B51">
      <w:pPr>
        <w:pStyle w:val="3"/>
        <w:numPr>
          <w:ilvl w:val="0"/>
          <w:numId w:val="6"/>
        </w:numPr>
        <w:tabs>
          <w:tab w:val="right" w:pos="426"/>
        </w:tabs>
      </w:pPr>
      <w:r>
        <w:t xml:space="preserve"> pe: [data] - conform SIA RSAP</w:t>
      </w:r>
    </w:p>
    <w:p w14:paraId="0AAF60A6">
      <w:pPr>
        <w:numPr>
          <w:ilvl w:val="0"/>
          <w:numId w:val="1"/>
        </w:numPr>
        <w:tabs>
          <w:tab w:val="right" w:pos="426"/>
        </w:tabs>
        <w:ind w:left="360" w:leftChars="0" w:firstLineChars="0"/>
      </w:pPr>
      <w:r>
        <w:t>Adresa la care trebuie transmise ofertele sau cererile de participare: SIA RSAP</w:t>
      </w:r>
    </w:p>
    <w:p w14:paraId="051B7B47">
      <w:pPr>
        <w:numPr>
          <w:ilvl w:val="0"/>
          <w:numId w:val="1"/>
        </w:numPr>
        <w:tabs>
          <w:tab w:val="right" w:pos="426"/>
        </w:tabs>
        <w:ind w:left="360" w:leftChars="0" w:firstLineChars="0"/>
      </w:pPr>
      <w:r>
        <w:t>Ofertele sau cererile de participare vor fi depuse electronic prin intermediul SIA RSAP</w:t>
      </w:r>
    </w:p>
    <w:p w14:paraId="0A550466">
      <w:pPr>
        <w:numPr>
          <w:ilvl w:val="0"/>
          <w:numId w:val="1"/>
        </w:numPr>
        <w:tabs>
          <w:tab w:val="right" w:pos="426"/>
        </w:tabs>
        <w:ind w:left="360" w:leftChars="0" w:firstLineChars="0"/>
      </w:pPr>
      <w:r>
        <w:t>Termenul de valabilitate a ofertelor: 60 zile</w:t>
      </w:r>
    </w:p>
    <w:p w14:paraId="7A9679F8">
      <w:pPr>
        <w:numPr>
          <w:ilvl w:val="0"/>
          <w:numId w:val="1"/>
        </w:numPr>
        <w:tabs>
          <w:tab w:val="right" w:pos="426"/>
        </w:tabs>
        <w:ind w:left="360" w:leftChars="0" w:firstLineChars="0"/>
      </w:pPr>
      <w:r>
        <w:t xml:space="preserve"> Locul deschiderii ofertelor: conform SIA RSAP</w:t>
      </w:r>
    </w:p>
    <w:p w14:paraId="79D212C8">
      <w:pPr>
        <w:numPr>
          <w:ilvl w:val="0"/>
          <w:numId w:val="1"/>
        </w:numPr>
        <w:tabs>
          <w:tab w:val="right" w:pos="426"/>
        </w:tabs>
        <w:ind w:left="360" w:leftChars="0" w:firstLineChars="0"/>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1"/>
        </w:numPr>
        <w:tabs>
          <w:tab w:val="right" w:pos="426"/>
        </w:tabs>
        <w:ind w:left="360" w:leftChars="0" w:firstLineChars="0"/>
        <w:jc w:val="both"/>
      </w:pPr>
      <w:r>
        <w:t xml:space="preserve">Limba sau limbile în care trebuie redactate ofertele sau cererile de participare: </w:t>
      </w:r>
      <w:r>
        <w:rPr>
          <w:b/>
          <w:color w:val="0C343D"/>
        </w:rPr>
        <w:t>Limba de stat</w:t>
      </w:r>
    </w:p>
    <w:p w14:paraId="1499C619">
      <w:pPr>
        <w:numPr>
          <w:ilvl w:val="0"/>
          <w:numId w:val="1"/>
        </w:numPr>
        <w:tabs>
          <w:tab w:val="right" w:pos="426"/>
        </w:tabs>
        <w:ind w:left="360" w:leftChars="0" w:firstLineChars="0"/>
      </w:pPr>
      <w:r>
        <w:t xml:space="preserve">Respectivul contract se referă la un proiect și/sau program finanțat din fonduri ale Uniunii Europene: </w:t>
      </w:r>
      <w:r>
        <w:rPr>
          <w:b/>
          <w:bCs/>
          <w:i/>
          <w:iCs/>
          <w:u w:val="single"/>
        </w:rPr>
        <w:t>nu e cazul_</w:t>
      </w:r>
    </w:p>
    <w:p w14:paraId="6A515B03">
      <w:pPr>
        <w:numPr>
          <w:ilvl w:val="0"/>
          <w:numId w:val="1"/>
        </w:numPr>
        <w:tabs>
          <w:tab w:val="right" w:pos="426"/>
        </w:tabs>
        <w:ind w:left="360" w:leftChars="0" w:firstLineChars="0"/>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1"/>
        </w:numPr>
        <w:tabs>
          <w:tab w:val="right" w:pos="426"/>
        </w:tabs>
        <w:ind w:left="360" w:leftChars="0" w:firstLineChars="0"/>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1"/>
        </w:numPr>
        <w:tabs>
          <w:tab w:val="right" w:pos="426"/>
        </w:tabs>
        <w:ind w:left="360" w:leftChars="0" w:firstLineChars="0"/>
      </w:pPr>
      <w:r>
        <w:t xml:space="preserve">În cazul achizițiilor periodice, calendarul estimat pentru publicarea anunțurilor viitoare: </w:t>
      </w:r>
      <w:r>
        <w:rPr>
          <w:b/>
          <w:bCs/>
          <w:i/>
          <w:iCs/>
          <w:u w:val="single"/>
        </w:rPr>
        <w:t>nu e cazul</w:t>
      </w:r>
    </w:p>
    <w:p w14:paraId="09275723">
      <w:pPr>
        <w:numPr>
          <w:ilvl w:val="0"/>
          <w:numId w:val="1"/>
        </w:numPr>
        <w:tabs>
          <w:tab w:val="right" w:pos="426"/>
        </w:tabs>
        <w:ind w:left="360" w:leftChars="0" w:firstLineChars="0"/>
      </w:pPr>
      <w:r>
        <w:t xml:space="preserve">Data publicării anunțului de intenție sau, după caz, precizarea că nu a fost publicat un astfel de anunţ: </w:t>
      </w:r>
      <w:r>
        <w:rPr>
          <w:b/>
          <w:bCs/>
          <w:i/>
          <w:iCs/>
          <w:u w:val="single"/>
        </w:rPr>
        <w:t>nu e cazul</w:t>
      </w:r>
    </w:p>
    <w:p w14:paraId="45468D1E">
      <w:pPr>
        <w:numPr>
          <w:ilvl w:val="0"/>
          <w:numId w:val="1"/>
        </w:numPr>
        <w:tabs>
          <w:tab w:val="right" w:pos="426"/>
        </w:tabs>
        <w:ind w:left="360" w:leftChars="0" w:firstLineChars="0"/>
      </w:pPr>
      <w:r>
        <w:t xml:space="preserve">Data transmiterii spre publicare a anunțului de participare - </w:t>
      </w:r>
      <w:r>
        <w:rPr>
          <w:b/>
          <w:bCs/>
          <w:i/>
          <w:iCs/>
          <w:u w:val="single"/>
        </w:rPr>
        <w:t>nu e cazul</w:t>
      </w:r>
      <w:r>
        <w:t xml:space="preserve"> </w:t>
      </w:r>
    </w:p>
    <w:p w14:paraId="3EA09999">
      <w:pPr>
        <w:numPr>
          <w:ilvl w:val="0"/>
          <w:numId w:val="1"/>
        </w:numPr>
        <w:tabs>
          <w:tab w:val="right" w:pos="426"/>
        </w:tabs>
        <w:ind w:left="360" w:leftChars="0" w:firstLineChars="0"/>
      </w:pPr>
      <w:r>
        <w:t>În cadrul procedurii de achiziție publică se va utiliza/accepta:</w:t>
      </w:r>
    </w:p>
    <w:tbl>
      <w:tblPr>
        <w:tblStyle w:val="112"/>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6"/>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6"/>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6"/>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6"/>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1"/>
        </w:numPr>
        <w:tabs>
          <w:tab w:val="right" w:pos="426"/>
        </w:tabs>
        <w:ind w:left="360" w:leftChars="0" w:firstLineChars="0"/>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1"/>
        </w:numPr>
        <w:tabs>
          <w:tab w:val="right" w:pos="426"/>
        </w:tabs>
        <w:ind w:left="360" w:leftChars="0" w:firstLineChars="0"/>
      </w:pPr>
      <w:r>
        <w:t>Alte informații relevante:</w:t>
      </w:r>
    </w:p>
    <w:p w14:paraId="423AD8D4">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170C1320">
      <w:pPr>
        <w:tabs>
          <w:tab w:val="right" w:pos="426"/>
        </w:tabs>
      </w:pPr>
    </w:p>
    <w:p w14:paraId="0410DA20">
      <w:pPr>
        <w:tabs>
          <w:tab w:val="left" w:pos="284"/>
          <w:tab w:val="left" w:pos="426"/>
        </w:tabs>
        <w:rPr>
          <w:sz w:val="28"/>
          <w:szCs w:val="28"/>
        </w:rPr>
      </w:pPr>
      <w:r>
        <w:rPr>
          <w:sz w:val="28"/>
          <w:szCs w:val="28"/>
        </w:rPr>
        <w:t>Președintele grupului de lucru:  _________________Cotet Vitalie</w:t>
      </w:r>
    </w:p>
    <w:sectPr>
      <w:footerReference r:id="rId3" w:type="default"/>
      <w:pgSz w:w="11906" w:h="16838"/>
      <w:pgMar w:top="709" w:right="707" w:bottom="1440" w:left="1440" w:header="708" w:footer="708" w:gutter="0"/>
      <w:pgNumType w:start="1"/>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embedRegular r:id="rId1" w:fontKey="{112CB9D6-070F-4EB6-A159-2F275D92C077}"/>
  </w:font>
  <w:font w:name="Arial">
    <w:panose1 w:val="020B0604020202020204"/>
    <w:charset w:val="00"/>
    <w:family w:val="swiss"/>
    <w:pitch w:val="default"/>
    <w:sig w:usb0="E0002EFF" w:usb1="C0007843" w:usb2="00000009" w:usb3="00000000" w:csb0="400001FF" w:csb1="FFFF0000"/>
    <w:embedRegular r:id="rId2" w:fontKey="{193D3E39-2CE4-40B9-9A00-9E4F19F7F773}"/>
  </w:font>
  <w:font w:name="Courier New">
    <w:panose1 w:val="02070309020205020404"/>
    <w:charset w:val="00"/>
    <w:family w:val="modern"/>
    <w:pitch w:val="default"/>
    <w:sig w:usb0="E0002EFF" w:usb1="C0007843" w:usb2="00000009" w:usb3="00000000" w:csb0="400001FF" w:csb1="FFFF0000"/>
    <w:embedRegular r:id="rId3" w:fontKey="{E68AE02D-9556-4007-9806-B1216304E73F}"/>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4" w:fontKey="{0C0C6819-8BF3-4EC2-A129-6BC2078CAEDA}"/>
  </w:font>
  <w:font w:name="Calibri">
    <w:panose1 w:val="020F0502020204030204"/>
    <w:charset w:val="00"/>
    <w:family w:val="swiss"/>
    <w:pitch w:val="default"/>
    <w:sig w:usb0="E0002AFF" w:usb1="C000247B" w:usb2="00000009" w:usb3="00000000" w:csb0="200001FF" w:csb1="00000000"/>
    <w:embedRegular r:id="rId5" w:fontKey="{98759E09-C7AF-4B6F-B91D-61480AC98CED}"/>
  </w:font>
  <w:font w:name="Calibri Light">
    <w:panose1 w:val="020F0302020204030204"/>
    <w:charset w:val="CC"/>
    <w:family w:val="swiss"/>
    <w:pitch w:val="default"/>
    <w:sig w:usb0="E0002AFF" w:usb1="C000247B" w:usb2="00000009" w:usb3="00000000" w:csb0="200001FF" w:csb1="00000000"/>
    <w:embedRegular r:id="rId6" w:fontKey="{F3D96233-4A78-42EF-8F76-2DC00641381C}"/>
  </w:font>
  <w:font w:name="等线 Light">
    <w:altName w:val="Segoe Print"/>
    <w:panose1 w:val="00000000000000000000"/>
    <w:charset w:val="00"/>
    <w:family w:val="auto"/>
    <w:pitch w:val="default"/>
    <w:sig w:usb0="00000000" w:usb1="00000000" w:usb2="00000000" w:usb3="00000000" w:csb0="00000000" w:csb1="00000000"/>
    <w:embedRegular r:id="rId7" w:fontKey="{9BFFB8A9-5531-45C6-B865-8C1A66F898DE}"/>
  </w:font>
  <w:font w:name="Baltica RR">
    <w:altName w:val="Calibri"/>
    <w:panose1 w:val="00000000000000000000"/>
    <w:charset w:val="00"/>
    <w:family w:val="auto"/>
    <w:pitch w:val="default"/>
    <w:sig w:usb0="00000000" w:usb1="00000000" w:usb2="00000000" w:usb3="00000000" w:csb0="00000000" w:csb1="00000000"/>
    <w:embedRegular r:id="rId8" w:fontKey="{EF729864-35D6-4B9B-8CA4-59272A3D71B5}"/>
  </w:font>
  <w:font w:name="Cambria">
    <w:panose1 w:val="02040503050406030204"/>
    <w:charset w:val="CC"/>
    <w:family w:val="roman"/>
    <w:pitch w:val="default"/>
    <w:sig w:usb0="E00002FF" w:usb1="400004FF" w:usb2="00000000" w:usb3="00000000" w:csb0="2000019F" w:csb1="00000000"/>
    <w:embedRegular r:id="rId9" w:fontKey="{FFEBFE80-0237-41A5-A66E-06661D6061C5}"/>
  </w:font>
  <w:font w:name="Tahoma">
    <w:panose1 w:val="020B0604030504040204"/>
    <w:charset w:val="CC"/>
    <w:family w:val="swiss"/>
    <w:pitch w:val="default"/>
    <w:sig w:usb0="E1002EFF" w:usb1="C000605B" w:usb2="00000029" w:usb3="00000000" w:csb0="200101FF" w:csb1="20280000"/>
    <w:embedRegular r:id="rId10" w:fontKey="{D07C8F2B-6D14-4CFF-880A-A2F27997193C}"/>
  </w:font>
  <w:font w:name="Consolas">
    <w:panose1 w:val="020B0609020204030204"/>
    <w:charset w:val="CC"/>
    <w:family w:val="modern"/>
    <w:pitch w:val="default"/>
    <w:sig w:usb0="E00006FF" w:usb1="0000FCFF" w:usb2="00000001" w:usb3="00000000" w:csb0="6000019F" w:csb1="DFD70000"/>
    <w:embedRegular r:id="rId11" w:fontKey="{1EEBCBD2-586B-464E-879F-79610BE2F4F8}"/>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embedRegular r:id="rId12" w:fontKey="{CAE372A4-E305-4750-81CD-CA5522020832}"/>
  </w:font>
  <w:font w:name="等线">
    <w:altName w:val="Microsoft YaHei"/>
    <w:panose1 w:val="00000000000000000000"/>
    <w:charset w:val="00"/>
    <w:family w:val="auto"/>
    <w:pitch w:val="default"/>
    <w:sig w:usb0="00000000" w:usb1="00000000" w:usb2="00000000" w:usb3="00000000" w:csb0="00000000" w:csb1="00000000"/>
  </w:font>
  <w:font w:name="Noto Sans Symbols">
    <w:altName w:val="Calibri"/>
    <w:panose1 w:val="00000000000000000000"/>
    <w:charset w:val="00"/>
    <w:family w:val="auto"/>
    <w:pitch w:val="default"/>
    <w:sig w:usb0="00000000" w:usb1="00000000" w:usb2="00000000" w:usb3="00000000" w:csb0="00000000" w:csb1="00000000"/>
    <w:embedRegular r:id="rId13" w:fontKey="{A1D55A5C-160F-433E-8632-4F9A1AA65ADC}"/>
  </w:font>
  <w:font w:name="Symbol">
    <w:panose1 w:val="05050102010706020507"/>
    <w:charset w:val="02"/>
    <w:family w:val="roman"/>
    <w:pitch w:val="default"/>
    <w:sig w:usb0="00000000" w:usb1="00000000" w:usb2="00000000" w:usb3="00000000" w:csb0="80000000" w:csb1="00000000"/>
    <w:embedRegular r:id="rId14" w:fontKey="{6C479469-91C5-48EF-8E09-EDD99628A26B}"/>
  </w:font>
  <w:font w:name="Segoe Print">
    <w:panose1 w:val="02000600000000000000"/>
    <w:charset w:val="00"/>
    <w:family w:val="auto"/>
    <w:pitch w:val="default"/>
    <w:sig w:usb0="0000028F" w:usb1="00000000" w:usb2="00000000" w:usb3="00000000" w:csb0="2000009F" w:csb1="47010000"/>
    <w:embedRegular r:id="rId15" w:fontKey="{5B13D32C-992E-4A2F-94D0-E0B759DDD495}"/>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0002AFF" w:usb1="C000247B" w:usb2="00000009" w:usb3="00000000" w:csb0="200001FF" w:csb1="00000000"/>
    <w:embedRegular r:id="rId16" w:fontKey="{52A4D221-2ED1-4BFA-A9B1-609D294B0D05}"/>
  </w:font>
  <w:font w:name="Microsoft YaHei">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7AE7">
    <w:pPr>
      <w:pBdr>
        <w:top w:val="none" w:color="auto" w:sz="0" w:space="0"/>
        <w:left w:val="none" w:color="auto" w:sz="0" w:space="0"/>
        <w:bottom w:val="none" w:color="auto" w:sz="0" w:space="0"/>
        <w:right w:val="none" w:color="auto" w:sz="0" w:space="0"/>
        <w:between w:val="none" w:color="auto" w:sz="0" w:space="0"/>
      </w:pBdr>
      <w:tabs>
        <w:tab w:val="center" w:pos="4536"/>
        <w:tab w:val="right" w:pos="9072"/>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5D23D38"/>
    <w:multiLevelType w:val="multilevel"/>
    <w:tmpl w:val="15D23D38"/>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4">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5">
    <w:nsid w:val="78FE79B0"/>
    <w:multiLevelType w:val="multilevel"/>
    <w:tmpl w:val="78FE79B0"/>
    <w:lvl w:ilvl="0" w:tentative="0">
      <w:start w:val="1"/>
      <w:numFmt w:val="decimal"/>
      <w:pStyle w:val="2"/>
      <w:lvlText w:val="%1."/>
      <w:lvlJc w:val="left"/>
      <w:pPr>
        <w:ind w:left="36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 w:val="08C40BC0"/>
    <w:rsid w:val="0AF80984"/>
    <w:rsid w:val="12FA6F75"/>
    <w:rsid w:val="1AED27DA"/>
    <w:rsid w:val="363E24EA"/>
    <w:rsid w:val="51207DE2"/>
    <w:rsid w:val="5A1356C1"/>
    <w:rsid w:val="76BB27A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6"/>
    <w:qFormat/>
    <w:uiPriority w:val="9"/>
    <w:pPr>
      <w:numPr>
        <w:ilvl w:val="0"/>
        <w:numId w:val="1"/>
      </w:numPr>
      <w:tabs>
        <w:tab w:val="left" w:pos="1134"/>
      </w:tabs>
      <w:jc w:val="center"/>
      <w:outlineLvl w:val="0"/>
    </w:pPr>
    <w:rPr>
      <w:b/>
    </w:rPr>
  </w:style>
  <w:style w:type="paragraph" w:styleId="4">
    <w:name w:val="heading 2"/>
    <w:basedOn w:val="1"/>
    <w:next w:val="1"/>
    <w:link w:val="47"/>
    <w:semiHidden/>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8"/>
    <w:semiHidden/>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9"/>
    <w:semiHidden/>
    <w:unhideWhenUsed/>
    <w:qFormat/>
    <w:uiPriority w:val="9"/>
    <w:pPr>
      <w:keepNext/>
      <w:outlineLvl w:val="3"/>
    </w:pPr>
    <w:rPr>
      <w:rFonts w:ascii="Baltica RR" w:hAnsi="Baltica RR"/>
      <w:b/>
      <w:szCs w:val="20"/>
      <w:lang w:eastAsia="ru-RU"/>
    </w:rPr>
  </w:style>
  <w:style w:type="paragraph" w:styleId="7">
    <w:name w:val="heading 5"/>
    <w:basedOn w:val="1"/>
    <w:next w:val="1"/>
    <w:link w:val="50"/>
    <w:semiHidden/>
    <w:unhideWhenUsed/>
    <w:qFormat/>
    <w:uiPriority w:val="9"/>
    <w:pPr>
      <w:keepNext/>
      <w:ind w:firstLine="6804"/>
      <w:outlineLvl w:val="4"/>
    </w:pPr>
    <w:rPr>
      <w:sz w:val="28"/>
      <w:szCs w:val="20"/>
      <w:lang w:eastAsia="ru-RU"/>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8"/>
    <w:basedOn w:val="1"/>
    <w:next w:val="1"/>
    <w:link w:val="51"/>
    <w:semiHidden/>
    <w:unhideWhenUsed/>
    <w:qFormat/>
    <w:uiPriority w:val="0"/>
    <w:pPr>
      <w:spacing w:before="240" w:after="60"/>
      <w:outlineLvl w:val="7"/>
    </w:pPr>
    <w:rPr>
      <w:rFonts w:ascii="Calibri" w:hAnsi="Calibri"/>
      <w:i/>
      <w:iCs/>
    </w:rPr>
  </w:style>
  <w:style w:type="paragraph" w:styleId="10">
    <w:name w:val="heading 9"/>
    <w:basedOn w:val="1"/>
    <w:next w:val="1"/>
    <w:link w:val="52"/>
    <w:semiHidden/>
    <w:unhideWhenUsed/>
    <w:qFormat/>
    <w:uiPriority w:val="0"/>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07"/>
    <w:qFormat/>
    <w:uiPriority w:val="34"/>
    <w:pPr>
      <w:numPr>
        <w:ilvl w:val="0"/>
        <w:numId w:val="2"/>
      </w:numPr>
      <w:tabs>
        <w:tab w:val="left" w:pos="1134"/>
      </w:tabs>
      <w:jc w:val="both"/>
    </w:pPr>
    <w:rPr>
      <w:lang w:val="en-US"/>
    </w:rPr>
  </w:style>
  <w:style w:type="character" w:styleId="13">
    <w:name w:val="footnote reference"/>
    <w:qFormat/>
    <w:uiPriority w:val="0"/>
    <w:rPr>
      <w:vertAlign w:val="superscript"/>
    </w:rPr>
  </w:style>
  <w:style w:type="character" w:styleId="14">
    <w:name w:val="annotation reference"/>
    <w:qFormat/>
    <w:uiPriority w:val="99"/>
    <w:rPr>
      <w:sz w:val="16"/>
      <w:szCs w:val="16"/>
    </w:rPr>
  </w:style>
  <w:style w:type="character" w:styleId="15">
    <w:name w:val="Hyperlink"/>
    <w:qFormat/>
    <w:uiPriority w:val="99"/>
    <w:rPr>
      <w:color w:val="0000FF"/>
      <w:u w:val="single"/>
    </w:rPr>
  </w:style>
  <w:style w:type="character" w:styleId="16">
    <w:name w:val="page number"/>
    <w:basedOn w:val="11"/>
    <w:qFormat/>
    <w:uiPriority w:val="0"/>
  </w:style>
  <w:style w:type="character" w:styleId="17">
    <w:name w:val="Strong"/>
    <w:basedOn w:val="11"/>
    <w:qFormat/>
    <w:uiPriority w:val="22"/>
    <w:rPr>
      <w:b/>
      <w:bCs/>
    </w:rPr>
  </w:style>
  <w:style w:type="paragraph" w:styleId="18">
    <w:name w:val="Balloon Text"/>
    <w:basedOn w:val="1"/>
    <w:link w:val="60"/>
    <w:semiHidden/>
    <w:qFormat/>
    <w:uiPriority w:val="99"/>
    <w:rPr>
      <w:rFonts w:ascii="Tahoma" w:hAnsi="Tahoma" w:cs="Tahoma"/>
      <w:sz w:val="16"/>
      <w:szCs w:val="16"/>
      <w:lang w:val="ru-RU" w:eastAsia="ru-RU"/>
    </w:rPr>
  </w:style>
  <w:style w:type="paragraph" w:styleId="19">
    <w:name w:val="Body Text 2"/>
    <w:basedOn w:val="1"/>
    <w:link w:val="59"/>
    <w:qFormat/>
    <w:uiPriority w:val="99"/>
    <w:pPr>
      <w:tabs>
        <w:tab w:val="left" w:pos="426"/>
      </w:tabs>
      <w:jc w:val="both"/>
    </w:pPr>
    <w:rPr>
      <w:rFonts w:ascii="Baltica RR" w:hAnsi="Baltica RR"/>
      <w:szCs w:val="20"/>
      <w:lang w:eastAsia="ru-RU"/>
    </w:rPr>
  </w:style>
  <w:style w:type="paragraph" w:styleId="20">
    <w:name w:val="Body Text Indent 3"/>
    <w:basedOn w:val="1"/>
    <w:link w:val="63"/>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3"/>
    <w:qFormat/>
    <w:uiPriority w:val="99"/>
    <w:rPr>
      <w:sz w:val="20"/>
      <w:szCs w:val="20"/>
      <w:lang w:val="ru-RU" w:eastAsia="ru-RU"/>
    </w:rPr>
  </w:style>
  <w:style w:type="paragraph" w:styleId="23">
    <w:name w:val="annotation subject"/>
    <w:basedOn w:val="22"/>
    <w:next w:val="22"/>
    <w:link w:val="74"/>
    <w:qFormat/>
    <w:uiPriority w:val="0"/>
    <w:rPr>
      <w:b/>
      <w:bCs/>
    </w:rPr>
  </w:style>
  <w:style w:type="paragraph" w:styleId="24">
    <w:name w:val="Document Map"/>
    <w:basedOn w:val="1"/>
    <w:link w:val="103"/>
    <w:semiHidden/>
    <w:unhideWhenUsed/>
    <w:qFormat/>
    <w:uiPriority w:val="99"/>
    <w:pPr>
      <w:autoSpaceDE w:val="0"/>
      <w:autoSpaceDN w:val="0"/>
    </w:pPr>
    <w:rPr>
      <w:rFonts w:ascii="Tahoma" w:hAnsi="Tahoma" w:cs="Tahoma"/>
      <w:sz w:val="16"/>
      <w:szCs w:val="16"/>
      <w:lang w:val="ru-RU" w:eastAsia="ru-RU"/>
    </w:rPr>
  </w:style>
  <w:style w:type="paragraph" w:styleId="25">
    <w:name w:val="footnote text"/>
    <w:basedOn w:val="1"/>
    <w:link w:val="72"/>
    <w:qFormat/>
    <w:uiPriority w:val="0"/>
    <w:pPr>
      <w:jc w:val="both"/>
    </w:pPr>
    <w:rPr>
      <w:sz w:val="20"/>
      <w:szCs w:val="20"/>
      <w:lang w:val="en-US"/>
    </w:rPr>
  </w:style>
  <w:style w:type="paragraph" w:styleId="26">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7">
    <w:name w:val="header"/>
    <w:basedOn w:val="1"/>
    <w:link w:val="55"/>
    <w:qFormat/>
    <w:uiPriority w:val="99"/>
    <w:pPr>
      <w:tabs>
        <w:tab w:val="center" w:pos="4703"/>
        <w:tab w:val="right" w:pos="9406"/>
      </w:tabs>
    </w:pPr>
    <w:rPr>
      <w:sz w:val="20"/>
      <w:szCs w:val="20"/>
      <w:lang w:val="ru-RU" w:eastAsia="ru-RU"/>
    </w:rPr>
  </w:style>
  <w:style w:type="paragraph" w:styleId="28">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0">
    <w:name w:val="Body Text"/>
    <w:basedOn w:val="1"/>
    <w:link w:val="54"/>
    <w:qFormat/>
    <w:uiPriority w:val="1"/>
    <w:rPr>
      <w:rFonts w:ascii="Baltica RR" w:hAnsi="Baltica RR"/>
      <w:szCs w:val="20"/>
    </w:rPr>
  </w:style>
  <w:style w:type="paragraph" w:styleId="31">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2">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3">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Body Text Indent"/>
    <w:basedOn w:val="1"/>
    <w:link w:val="57"/>
    <w:qFormat/>
    <w:uiPriority w:val="0"/>
    <w:pPr>
      <w:ind w:firstLine="720"/>
      <w:jc w:val="both"/>
    </w:pPr>
    <w:rPr>
      <w:sz w:val="20"/>
      <w:szCs w:val="20"/>
      <w:lang w:eastAsia="ru-RU"/>
    </w:rPr>
  </w:style>
  <w:style w:type="paragraph" w:styleId="38">
    <w:name w:val="Title"/>
    <w:basedOn w:val="1"/>
    <w:next w:val="1"/>
    <w:qFormat/>
    <w:uiPriority w:val="10"/>
    <w:pPr>
      <w:keepNext/>
      <w:keepLines/>
      <w:spacing w:before="480" w:after="120"/>
    </w:pPr>
    <w:rPr>
      <w:b/>
      <w:sz w:val="72"/>
      <w:szCs w:val="72"/>
    </w:rPr>
  </w:style>
  <w:style w:type="paragraph" w:styleId="39">
    <w:name w:val="footer"/>
    <w:basedOn w:val="1"/>
    <w:link w:val="53"/>
    <w:qFormat/>
    <w:uiPriority w:val="99"/>
    <w:pPr>
      <w:tabs>
        <w:tab w:val="center" w:pos="4536"/>
        <w:tab w:val="right" w:pos="9072"/>
      </w:tabs>
    </w:pPr>
  </w:style>
  <w:style w:type="paragraph" w:styleId="40">
    <w:name w:val="Normal (Web)"/>
    <w:basedOn w:val="1"/>
    <w:unhideWhenUsed/>
    <w:qFormat/>
    <w:uiPriority w:val="99"/>
    <w:pPr>
      <w:ind w:firstLine="567"/>
      <w:jc w:val="both"/>
    </w:pPr>
    <w:rPr>
      <w:lang w:val="ru-RU" w:eastAsia="ru-RU"/>
    </w:rPr>
  </w:style>
  <w:style w:type="paragraph" w:styleId="41">
    <w:name w:val="Body Text Indent 2"/>
    <w:basedOn w:val="1"/>
    <w:link w:val="58"/>
    <w:qFormat/>
    <w:uiPriority w:val="0"/>
    <w:pPr>
      <w:ind w:firstLine="567"/>
    </w:pPr>
    <w:rPr>
      <w:rFonts w:ascii="Baltica RR" w:hAnsi="Baltica RR"/>
      <w:szCs w:val="20"/>
      <w:lang w:eastAsia="ru-RU"/>
    </w:rPr>
  </w:style>
  <w:style w:type="paragraph" w:styleId="42">
    <w:name w:val="Subtitle"/>
    <w:basedOn w:val="1"/>
    <w:next w:val="1"/>
    <w:link w:val="56"/>
    <w:qFormat/>
    <w:uiPriority w:val="11"/>
    <w:pPr>
      <w:jc w:val="center"/>
    </w:pPr>
    <w:rPr>
      <w:b/>
      <w:sz w:val="32"/>
      <w:szCs w:val="32"/>
    </w:rPr>
  </w:style>
  <w:style w:type="paragraph" w:styleId="43">
    <w:name w:val="HTML Preformatted"/>
    <w:basedOn w:val="1"/>
    <w:link w:val="84"/>
    <w:semiHidden/>
    <w:unhideWhenUsed/>
    <w:qFormat/>
    <w:uiPriority w:val="99"/>
    <w:rPr>
      <w:rFonts w:ascii="Consolas" w:hAnsi="Consolas"/>
      <w:sz w:val="20"/>
      <w:szCs w:val="20"/>
    </w:rPr>
  </w:style>
  <w:style w:type="table" w:styleId="44">
    <w:name w:val="Table Grid"/>
    <w:basedOn w:val="12"/>
    <w:qFormat/>
    <w:uiPriority w:val="39"/>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Заголовок 1 Знак"/>
    <w:basedOn w:val="11"/>
    <w:link w:val="2"/>
    <w:qFormat/>
    <w:uiPriority w:val="0"/>
    <w:rPr>
      <w:rFonts w:ascii="Times New Roman" w:hAnsi="Times New Roman" w:eastAsia="Times New Roman" w:cs="Times New Roman"/>
      <w:b/>
      <w:sz w:val="24"/>
      <w:szCs w:val="24"/>
      <w:lang w:val="en-US"/>
    </w:rPr>
  </w:style>
  <w:style w:type="character" w:customStyle="1" w:styleId="47">
    <w:name w:val="Заголовок 2 Знак"/>
    <w:basedOn w:val="11"/>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8">
    <w:name w:val="Заголовок 3 Знак"/>
    <w:basedOn w:val="11"/>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9">
    <w:name w:val="Заголовок 4 Знак"/>
    <w:basedOn w:val="11"/>
    <w:link w:val="6"/>
    <w:qFormat/>
    <w:uiPriority w:val="0"/>
    <w:rPr>
      <w:rFonts w:ascii="Baltica RR" w:hAnsi="Baltica RR" w:eastAsia="Times New Roman" w:cs="Times New Roman"/>
      <w:b/>
      <w:sz w:val="24"/>
      <w:szCs w:val="20"/>
      <w:lang w:val="ro-RO" w:eastAsia="ru-RU"/>
    </w:rPr>
  </w:style>
  <w:style w:type="character" w:customStyle="1" w:styleId="50">
    <w:name w:val="Заголовок 5 Знак"/>
    <w:basedOn w:val="11"/>
    <w:link w:val="7"/>
    <w:qFormat/>
    <w:uiPriority w:val="0"/>
    <w:rPr>
      <w:rFonts w:ascii="Times New Roman" w:hAnsi="Times New Roman" w:eastAsia="Times New Roman" w:cs="Times New Roman"/>
      <w:sz w:val="28"/>
      <w:szCs w:val="20"/>
      <w:lang w:val="ro-RO" w:eastAsia="ru-RU"/>
    </w:rPr>
  </w:style>
  <w:style w:type="character" w:customStyle="1" w:styleId="51">
    <w:name w:val="Заголовок 8 Знак"/>
    <w:basedOn w:val="11"/>
    <w:link w:val="9"/>
    <w:semiHidden/>
    <w:qFormat/>
    <w:uiPriority w:val="0"/>
    <w:rPr>
      <w:rFonts w:ascii="Calibri" w:hAnsi="Calibri" w:eastAsia="Times New Roman" w:cs="Times New Roman"/>
      <w:i/>
      <w:iCs/>
      <w:sz w:val="24"/>
      <w:szCs w:val="24"/>
      <w:lang w:val="ro-RO"/>
    </w:rPr>
  </w:style>
  <w:style w:type="character" w:customStyle="1" w:styleId="52">
    <w:name w:val="Заголовок 9 Знак"/>
    <w:basedOn w:val="11"/>
    <w:link w:val="10"/>
    <w:semiHidden/>
    <w:qFormat/>
    <w:uiPriority w:val="0"/>
    <w:rPr>
      <w:rFonts w:ascii="Cambria" w:hAnsi="Cambria" w:eastAsia="Times New Roman" w:cs="Times New Roman"/>
      <w:lang w:val="ro-RO"/>
    </w:rPr>
  </w:style>
  <w:style w:type="character" w:customStyle="1" w:styleId="53">
    <w:name w:val="Нижний колонтитул Знак"/>
    <w:basedOn w:val="11"/>
    <w:link w:val="39"/>
    <w:qFormat/>
    <w:uiPriority w:val="99"/>
    <w:rPr>
      <w:rFonts w:ascii="Times New Roman" w:hAnsi="Times New Roman" w:eastAsia="Times New Roman" w:cs="Times New Roman"/>
      <w:sz w:val="24"/>
      <w:szCs w:val="24"/>
      <w:lang w:val="ro-RO"/>
    </w:rPr>
  </w:style>
  <w:style w:type="character" w:customStyle="1" w:styleId="54">
    <w:name w:val="Основной текст Знак"/>
    <w:basedOn w:val="11"/>
    <w:link w:val="30"/>
    <w:qFormat/>
    <w:uiPriority w:val="99"/>
    <w:rPr>
      <w:rFonts w:ascii="Baltica RR" w:hAnsi="Baltica RR" w:eastAsia="Times New Roman" w:cs="Times New Roman"/>
      <w:sz w:val="24"/>
      <w:szCs w:val="20"/>
      <w:lang w:val="ro-RO"/>
    </w:rPr>
  </w:style>
  <w:style w:type="character" w:customStyle="1" w:styleId="55">
    <w:name w:val="Верхний колонтитул Знак"/>
    <w:basedOn w:val="11"/>
    <w:link w:val="27"/>
    <w:qFormat/>
    <w:uiPriority w:val="99"/>
    <w:rPr>
      <w:rFonts w:ascii="Times New Roman" w:hAnsi="Times New Roman" w:eastAsia="Times New Roman" w:cs="Times New Roman"/>
      <w:sz w:val="20"/>
      <w:szCs w:val="20"/>
      <w:lang w:val="ru-RU" w:eastAsia="ru-RU"/>
    </w:rPr>
  </w:style>
  <w:style w:type="character" w:customStyle="1" w:styleId="56">
    <w:name w:val="Подзаголовок Знак"/>
    <w:basedOn w:val="11"/>
    <w:link w:val="42"/>
    <w:qFormat/>
    <w:uiPriority w:val="0"/>
    <w:rPr>
      <w:rFonts w:ascii="Times New Roman" w:hAnsi="Times New Roman" w:eastAsia="Times New Roman" w:cs="Times New Roman"/>
      <w:b/>
      <w:sz w:val="32"/>
      <w:szCs w:val="20"/>
      <w:lang w:val="en-US" w:eastAsia="ru-RU"/>
    </w:rPr>
  </w:style>
  <w:style w:type="character" w:customStyle="1" w:styleId="57">
    <w:name w:val="Основной текст с отступом Знак"/>
    <w:basedOn w:val="11"/>
    <w:link w:val="37"/>
    <w:qFormat/>
    <w:uiPriority w:val="0"/>
    <w:rPr>
      <w:rFonts w:ascii="Times New Roman" w:hAnsi="Times New Roman" w:eastAsia="Times New Roman" w:cs="Times New Roman"/>
      <w:sz w:val="20"/>
      <w:szCs w:val="20"/>
      <w:lang w:val="ro-RO" w:eastAsia="ru-RU"/>
    </w:rPr>
  </w:style>
  <w:style w:type="character" w:customStyle="1" w:styleId="58">
    <w:name w:val="Основной текст с отступом 2 Знак"/>
    <w:basedOn w:val="11"/>
    <w:link w:val="41"/>
    <w:qFormat/>
    <w:uiPriority w:val="0"/>
    <w:rPr>
      <w:rFonts w:ascii="Baltica RR" w:hAnsi="Baltica RR" w:eastAsia="Times New Roman" w:cs="Times New Roman"/>
      <w:sz w:val="24"/>
      <w:szCs w:val="20"/>
      <w:lang w:val="ro-RO" w:eastAsia="ru-RU"/>
    </w:rPr>
  </w:style>
  <w:style w:type="character" w:customStyle="1" w:styleId="59">
    <w:name w:val="Основной текст 2 Знак"/>
    <w:basedOn w:val="11"/>
    <w:link w:val="19"/>
    <w:qFormat/>
    <w:uiPriority w:val="99"/>
    <w:rPr>
      <w:rFonts w:ascii="Baltica RR" w:hAnsi="Baltica RR" w:eastAsia="Times New Roman" w:cs="Times New Roman"/>
      <w:sz w:val="24"/>
      <w:szCs w:val="20"/>
      <w:lang w:val="ro-RO" w:eastAsia="ru-RU"/>
    </w:rPr>
  </w:style>
  <w:style w:type="character" w:customStyle="1" w:styleId="60">
    <w:name w:val="Текст выноски Знак"/>
    <w:basedOn w:val="11"/>
    <w:link w:val="18"/>
    <w:semiHidden/>
    <w:qFormat/>
    <w:uiPriority w:val="99"/>
    <w:rPr>
      <w:rFonts w:ascii="Tahoma" w:hAnsi="Tahoma" w:eastAsia="Times New Roman" w:cs="Tahoma"/>
      <w:sz w:val="16"/>
      <w:szCs w:val="16"/>
      <w:lang w:val="ru-RU" w:eastAsia="ru-RU"/>
    </w:rPr>
  </w:style>
  <w:style w:type="paragraph" w:customStyle="1" w:styleId="61">
    <w:name w:val="cn"/>
    <w:basedOn w:val="1"/>
    <w:qFormat/>
    <w:uiPriority w:val="0"/>
    <w:pPr>
      <w:jc w:val="center"/>
    </w:pPr>
    <w:rPr>
      <w:lang w:val="ru-RU" w:eastAsia="ru-RU"/>
    </w:rPr>
  </w:style>
  <w:style w:type="paragraph" w:customStyle="1" w:styleId="62">
    <w:name w:val="cb"/>
    <w:basedOn w:val="1"/>
    <w:qFormat/>
    <w:uiPriority w:val="0"/>
    <w:pPr>
      <w:jc w:val="center"/>
    </w:pPr>
    <w:rPr>
      <w:b/>
      <w:bCs/>
      <w:lang w:val="ru-RU" w:eastAsia="ru-RU"/>
    </w:rPr>
  </w:style>
  <w:style w:type="character" w:customStyle="1" w:styleId="63">
    <w:name w:val="Основной текст с отступом 3 Знак"/>
    <w:basedOn w:val="11"/>
    <w:link w:val="20"/>
    <w:qFormat/>
    <w:uiPriority w:val="0"/>
    <w:rPr>
      <w:rFonts w:ascii="Times New Roman" w:hAnsi="Times New Roman" w:eastAsia="Times New Roman" w:cs="Times New Roman"/>
      <w:sz w:val="16"/>
      <w:szCs w:val="16"/>
      <w:lang w:val="ro-RO"/>
    </w:rPr>
  </w:style>
  <w:style w:type="paragraph" w:customStyle="1" w:styleId="64">
    <w:name w:val="cp"/>
    <w:basedOn w:val="1"/>
    <w:qFormat/>
    <w:uiPriority w:val="0"/>
    <w:pPr>
      <w:jc w:val="center"/>
    </w:pPr>
    <w:rPr>
      <w:b/>
      <w:bCs/>
      <w:lang w:eastAsia="ru-RU"/>
    </w:rPr>
  </w:style>
  <w:style w:type="paragraph" w:customStyle="1" w:styleId="65">
    <w:name w:val="rg"/>
    <w:basedOn w:val="1"/>
    <w:qFormat/>
    <w:uiPriority w:val="0"/>
    <w:pPr>
      <w:jc w:val="right"/>
    </w:pPr>
    <w:rPr>
      <w:lang w:val="ru-RU" w:eastAsia="ru-RU"/>
    </w:rPr>
  </w:style>
  <w:style w:type="paragraph" w:customStyle="1" w:styleId="66">
    <w:name w:val="Listă paragraf1"/>
    <w:basedOn w:val="1"/>
    <w:qFormat/>
    <w:uiPriority w:val="0"/>
    <w:pPr>
      <w:ind w:left="708"/>
    </w:pPr>
    <w:rPr>
      <w:lang w:eastAsia="ru-RU"/>
    </w:rPr>
  </w:style>
  <w:style w:type="paragraph" w:customStyle="1" w:styleId="67">
    <w:name w:val="Sub-Clause Text"/>
    <w:basedOn w:val="1"/>
    <w:qFormat/>
    <w:uiPriority w:val="0"/>
    <w:pPr>
      <w:spacing w:before="120" w:after="120"/>
      <w:jc w:val="both"/>
    </w:pPr>
    <w:rPr>
      <w:spacing w:val="-4"/>
      <w:szCs w:val="20"/>
      <w:lang w:val="en-US"/>
    </w:rPr>
  </w:style>
  <w:style w:type="paragraph" w:customStyle="1" w:styleId="68">
    <w:name w:val="(i)"/>
    <w:basedOn w:val="1"/>
    <w:qFormat/>
    <w:uiPriority w:val="0"/>
    <w:pPr>
      <w:suppressAutoHyphens/>
      <w:jc w:val="both"/>
    </w:pPr>
    <w:rPr>
      <w:rFonts w:ascii="Tms Rmn" w:hAnsi="Tms Rmn"/>
      <w:szCs w:val="20"/>
      <w:lang w:val="en-US"/>
    </w:rPr>
  </w:style>
  <w:style w:type="paragraph" w:customStyle="1" w:styleId="69">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0">
    <w:name w:val="BankNormal"/>
    <w:basedOn w:val="1"/>
    <w:qFormat/>
    <w:uiPriority w:val="0"/>
    <w:pPr>
      <w:spacing w:after="240"/>
    </w:pPr>
    <w:rPr>
      <w:szCs w:val="20"/>
      <w:lang w:val="en-US"/>
    </w:rPr>
  </w:style>
  <w:style w:type="paragraph" w:customStyle="1" w:styleId="71">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2">
    <w:name w:val="Текст сноски Знак"/>
    <w:basedOn w:val="11"/>
    <w:link w:val="25"/>
    <w:qFormat/>
    <w:uiPriority w:val="0"/>
    <w:rPr>
      <w:rFonts w:ascii="Times New Roman" w:hAnsi="Times New Roman" w:eastAsia="Times New Roman" w:cs="Times New Roman"/>
      <w:sz w:val="20"/>
      <w:szCs w:val="20"/>
      <w:lang w:val="en-US"/>
    </w:rPr>
  </w:style>
  <w:style w:type="character" w:customStyle="1" w:styleId="73">
    <w:name w:val="Текст примечания Знак"/>
    <w:basedOn w:val="11"/>
    <w:link w:val="22"/>
    <w:qFormat/>
    <w:uiPriority w:val="99"/>
    <w:rPr>
      <w:rFonts w:ascii="Times New Roman" w:hAnsi="Times New Roman" w:eastAsia="Times New Roman" w:cs="Times New Roman"/>
      <w:sz w:val="20"/>
      <w:szCs w:val="20"/>
      <w:lang w:val="ru-RU" w:eastAsia="ru-RU"/>
    </w:rPr>
  </w:style>
  <w:style w:type="character" w:customStyle="1" w:styleId="74">
    <w:name w:val="Тема примечания Знак"/>
    <w:basedOn w:val="73"/>
    <w:link w:val="23"/>
    <w:qFormat/>
    <w:uiPriority w:val="0"/>
    <w:rPr>
      <w:rFonts w:ascii="Times New Roman" w:hAnsi="Times New Roman" w:eastAsia="Times New Roman" w:cs="Times New Roman"/>
      <w:b/>
      <w:bCs/>
      <w:sz w:val="20"/>
      <w:szCs w:val="20"/>
      <w:lang w:val="ru-RU" w:eastAsia="ru-RU"/>
    </w:rPr>
  </w:style>
  <w:style w:type="paragraph" w:customStyle="1" w:styleId="75">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6">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7">
    <w:name w:val="apple-converted-space"/>
    <w:qFormat/>
    <w:uiPriority w:val="0"/>
  </w:style>
  <w:style w:type="paragraph" w:customStyle="1" w:styleId="78">
    <w:name w:val="Style3"/>
    <w:basedOn w:val="5"/>
    <w:link w:val="7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9">
    <w:name w:val="Style3 Char"/>
    <w:link w:val="78"/>
    <w:qFormat/>
    <w:uiPriority w:val="0"/>
    <w:rPr>
      <w:rFonts w:ascii="Times New Roman" w:hAnsi="Times New Roman" w:eastAsia="Times New Roman" w:cs="Times New Roman"/>
      <w:b/>
      <w:sz w:val="24"/>
      <w:szCs w:val="24"/>
      <w:lang w:val="en-US" w:eastAsia="ru-RU"/>
    </w:rPr>
  </w:style>
  <w:style w:type="paragraph" w:customStyle="1" w:styleId="80">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1">
    <w:name w:val="Font Style195"/>
    <w:qFormat/>
    <w:uiPriority w:val="99"/>
    <w:rPr>
      <w:rFonts w:ascii="Times New Roman" w:hAnsi="Times New Roman" w:cs="Times New Roman"/>
      <w:b/>
      <w:bCs/>
      <w:i/>
      <w:iCs/>
      <w:sz w:val="22"/>
      <w:szCs w:val="22"/>
    </w:rPr>
  </w:style>
  <w:style w:type="paragraph" w:customStyle="1" w:styleId="82">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3">
    <w:name w:val="Font Style197"/>
    <w:qFormat/>
    <w:uiPriority w:val="99"/>
    <w:rPr>
      <w:rFonts w:ascii="Times New Roman" w:hAnsi="Times New Roman" w:cs="Times New Roman"/>
      <w:sz w:val="22"/>
      <w:szCs w:val="22"/>
    </w:rPr>
  </w:style>
  <w:style w:type="character" w:customStyle="1" w:styleId="84">
    <w:name w:val="Стандартный HTML Знак"/>
    <w:basedOn w:val="11"/>
    <w:link w:val="43"/>
    <w:semiHidden/>
    <w:qFormat/>
    <w:uiPriority w:val="99"/>
    <w:rPr>
      <w:rFonts w:ascii="Consolas" w:hAnsi="Consolas" w:eastAsia="Times New Roman" w:cs="Times New Roman"/>
      <w:sz w:val="20"/>
      <w:szCs w:val="20"/>
      <w:lang w:val="ro-RO"/>
    </w:rPr>
  </w:style>
  <w:style w:type="character" w:customStyle="1" w:styleId="85">
    <w:name w:val="Style4 Char"/>
    <w:basedOn w:val="79"/>
    <w:qFormat/>
    <w:locked/>
    <w:uiPriority w:val="0"/>
    <w:rPr>
      <w:rFonts w:ascii="Times New Roman" w:hAnsi="Times New Roman" w:eastAsia="Calibri" w:cs="Times New Roman"/>
      <w:sz w:val="24"/>
      <w:szCs w:val="24"/>
      <w:lang w:val="ru-RU" w:eastAsia="ru-RU" w:bidi="ar-SA"/>
    </w:rPr>
  </w:style>
  <w:style w:type="character" w:customStyle="1" w:styleId="86">
    <w:name w:val="short_text"/>
    <w:qFormat/>
    <w:uiPriority w:val="0"/>
  </w:style>
  <w:style w:type="character" w:customStyle="1" w:styleId="87">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8">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9">
    <w:name w:val="Griglia tabella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Griglia tabella2"/>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Griglia tabella3"/>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Table Grid2"/>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glia tabella4"/>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Placeholder Text"/>
    <w:basedOn w:val="11"/>
    <w:semiHidden/>
    <w:qFormat/>
    <w:uiPriority w:val="99"/>
    <w:rPr>
      <w:color w:val="808080"/>
    </w:rPr>
  </w:style>
  <w:style w:type="character" w:customStyle="1" w:styleId="95">
    <w:name w:val="ln2paragraf1"/>
    <w:qFormat/>
    <w:uiPriority w:val="0"/>
    <w:rPr>
      <w:b/>
      <w:bCs/>
    </w:rPr>
  </w:style>
  <w:style w:type="character" w:customStyle="1" w:styleId="96">
    <w:name w:val="ln2tparagraf"/>
    <w:qFormat/>
    <w:uiPriority w:val="0"/>
  </w:style>
  <w:style w:type="character" w:customStyle="1" w:styleId="97">
    <w:name w:val="ln2tpunct"/>
    <w:qFormat/>
    <w:uiPriority w:val="0"/>
  </w:style>
  <w:style w:type="paragraph" w:customStyle="1" w:styleId="98">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9">
    <w:name w:val="tax1"/>
    <w:qFormat/>
    <w:uiPriority w:val="0"/>
    <w:rPr>
      <w:b/>
      <w:bCs/>
      <w:sz w:val="26"/>
      <w:szCs w:val="26"/>
    </w:rPr>
  </w:style>
  <w:style w:type="paragraph" w:customStyle="1" w:styleId="100">
    <w:name w:val="Default Text"/>
    <w:basedOn w:val="1"/>
    <w:link w:val="101"/>
    <w:qFormat/>
    <w:uiPriority w:val="99"/>
    <w:rPr>
      <w:szCs w:val="20"/>
      <w:lang w:val="en-US"/>
    </w:rPr>
  </w:style>
  <w:style w:type="character" w:customStyle="1" w:styleId="101">
    <w:name w:val="Default Text Char"/>
    <w:link w:val="100"/>
    <w:qFormat/>
    <w:locked/>
    <w:uiPriority w:val="99"/>
    <w:rPr>
      <w:rFonts w:ascii="Times New Roman" w:hAnsi="Times New Roman" w:eastAsia="Times New Roman" w:cs="Times New Roman"/>
      <w:sz w:val="24"/>
      <w:szCs w:val="20"/>
      <w:lang w:val="en-US"/>
    </w:rPr>
  </w:style>
  <w:style w:type="character" w:customStyle="1" w:styleId="102">
    <w:name w:val="Основной шрифт"/>
    <w:qFormat/>
    <w:uiPriority w:val="99"/>
  </w:style>
  <w:style w:type="character" w:customStyle="1" w:styleId="103">
    <w:name w:val="Схема документа Знак"/>
    <w:basedOn w:val="11"/>
    <w:link w:val="24"/>
    <w:semiHidden/>
    <w:qFormat/>
    <w:uiPriority w:val="99"/>
    <w:rPr>
      <w:rFonts w:ascii="Tahoma" w:hAnsi="Tahoma" w:eastAsia="Times New Roman" w:cs="Tahoma"/>
      <w:sz w:val="16"/>
      <w:szCs w:val="16"/>
      <w:lang w:val="ru-RU" w:eastAsia="ru-RU"/>
    </w:rPr>
  </w:style>
  <w:style w:type="paragraph" w:customStyle="1" w:styleId="104">
    <w:name w:val="Table Paragraph"/>
    <w:basedOn w:val="1"/>
    <w:qFormat/>
    <w:uiPriority w:val="1"/>
    <w:pPr>
      <w:widowControl w:val="0"/>
      <w:autoSpaceDE w:val="0"/>
      <w:autoSpaceDN w:val="0"/>
      <w:spacing w:before="15"/>
    </w:pPr>
    <w:rPr>
      <w:rFonts w:ascii="Arial" w:hAnsi="Arial" w:eastAsia="Arial" w:cs="Arial"/>
      <w:sz w:val="22"/>
      <w:szCs w:val="22"/>
    </w:rPr>
  </w:style>
  <w:style w:type="table" w:customStyle="1" w:styleId="105">
    <w:name w:val="Griglia tabella2_0"/>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edit-post-post-link__link-prefix"/>
    <w:basedOn w:val="11"/>
    <w:qFormat/>
    <w:uiPriority w:val="0"/>
  </w:style>
  <w:style w:type="character" w:customStyle="1" w:styleId="107">
    <w:name w:val="Абзац списка Знак"/>
    <w:link w:val="3"/>
    <w:qFormat/>
    <w:locked/>
    <w:uiPriority w:val="34"/>
    <w:rPr>
      <w:rFonts w:ascii="Times New Roman" w:hAnsi="Times New Roman" w:eastAsia="Times New Roman" w:cs="Times New Roman"/>
      <w:sz w:val="24"/>
      <w:szCs w:val="24"/>
      <w:lang w:val="en-US"/>
    </w:rPr>
  </w:style>
  <w:style w:type="table" w:customStyle="1" w:styleId="108">
    <w:name w:val="Сетка таблицы1"/>
    <w:basedOn w:val="12"/>
    <w:qFormat/>
    <w:uiPriority w:val="3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9">
    <w:name w:val="Неразрешенное упоминание1"/>
    <w:basedOn w:val="11"/>
    <w:semiHidden/>
    <w:unhideWhenUsed/>
    <w:qFormat/>
    <w:uiPriority w:val="99"/>
    <w:rPr>
      <w:color w:val="605E5C"/>
      <w:shd w:val="clear" w:color="auto" w:fill="E1DFDD"/>
    </w:rPr>
  </w:style>
  <w:style w:type="table" w:customStyle="1" w:styleId="110">
    <w:name w:val="_Style 109"/>
    <w:basedOn w:val="45"/>
    <w:qFormat/>
    <w:uiPriority w:val="0"/>
    <w:tblPr>
      <w:tblCellMar>
        <w:left w:w="115" w:type="dxa"/>
        <w:right w:w="115" w:type="dxa"/>
      </w:tblCellMar>
    </w:tblPr>
  </w:style>
  <w:style w:type="table" w:customStyle="1" w:styleId="111">
    <w:name w:val="_Style 110"/>
    <w:basedOn w:val="45"/>
    <w:qFormat/>
    <w:uiPriority w:val="0"/>
    <w:tblPr>
      <w:tblCellMar>
        <w:left w:w="115" w:type="dxa"/>
        <w:right w:w="115" w:type="dxa"/>
      </w:tblCellMar>
    </w:tblPr>
  </w:style>
  <w:style w:type="table" w:customStyle="1" w:styleId="112">
    <w:name w:val="_Style 111"/>
    <w:basedOn w:val="45"/>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9</Pages>
  <Words>3190</Words>
  <Characters>18188</Characters>
  <Lines>151</Lines>
  <Paragraphs>42</Paragraphs>
  <TotalTime>16</TotalTime>
  <ScaleCrop>false</ScaleCrop>
  <LinksUpToDate>false</LinksUpToDate>
  <CharactersWithSpaces>21336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2025-12-18T12:34:00Z</dcterms:created>
  <dc:creator>student001 student001</dc:creator>
  <cp:lastModifiedBy>User</cp:lastModifiedBy>
  <dcterms:modified xsi:type="dcterms:W3CDTF">2025-12-26T12:39:52Z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FE9B8BC83996447FA0D3B72156A12AB0_13</vt:lpwstr>
  </property>
</Properties>
</file>