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tehnice</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cs="Times New Roman"/>
          <w:i/>
          <w:iCs/>
        </w:rPr>
        <w:t>[Acest tabel va fi completat de către ofertant în coloanele 2, 3, 4, 6, 7, iar de către autoritatea contractantă – în coloanele 1, 5,]</w:t>
      </w:r>
    </w:p>
    <w:tbl>
      <w:tblPr>
        <w:tblStyle w:val="6"/>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cs="Times New Roman"/>
                <w:u w:val="single"/>
                <w:vertAlign w:val="baseline"/>
                <w:lang/>
              </w:rPr>
              <w:t>22</w:t>
            </w:r>
            <w:r>
              <w:rPr>
                <w:rFonts w:hint="default" w:ascii="Times New Roman" w:hAnsi="Times New Roman" w:cs="Times New Roman"/>
                <w:u w:val="single"/>
                <w:vertAlign w:val="baseline"/>
              </w:rPr>
              <w:t>.0</w:t>
            </w:r>
            <w:r>
              <w:rPr>
                <w:rFonts w:hint="default" w:ascii="Times New Roman" w:hAnsi="Times New Roman" w:cs="Times New Roman"/>
                <w:u w:val="single"/>
                <w:vertAlign w:val="baseline"/>
                <w:lang/>
              </w:rPr>
              <w:t>6</w:t>
            </w:r>
            <w:r>
              <w:rPr>
                <w:rFonts w:hint="default" w:ascii="Times New Roman" w:hAnsi="Times New Roman" w:cs="Times New Roman"/>
                <w:u w:val="single"/>
                <w:vertAlign w:val="baseline"/>
              </w:rPr>
              <w:t xml:space="preserve">.2026 </w:t>
            </w:r>
            <w:r>
              <w:rPr>
                <w:rFonts w:hint="default" w:ascii="Times New Roman" w:hAnsi="Times New Roman" w:cs="Times New Roman"/>
                <w:u w:val="none"/>
                <w:vertAlign w:val="baseline"/>
              </w:rPr>
              <w:t xml:space="preserve"> </w:t>
            </w:r>
          </w:p>
          <w:p>
            <w:pPr>
              <w:keepNext w:val="0"/>
              <w:keepLines w:val="0"/>
              <w:pageBreakBefore w:val="0"/>
              <w:widowControl/>
              <w:kinsoku/>
              <w:wordWrap/>
              <w:overflowPunct/>
              <w:topLinePunct w:val="0"/>
              <w:autoSpaceDE/>
              <w:autoSpaceDN/>
              <w:bidi w:val="0"/>
              <w:adjustRightInd/>
              <w:snapToGrid/>
              <w:spacing w:line="264" w:lineRule="auto"/>
              <w:ind w:firstLine="3040" w:firstLineChars="1900"/>
              <w:jc w:val="both"/>
              <w:textAlignment w:val="auto"/>
              <w:rPr>
                <w:rFonts w:hint="default" w:ascii="Times New Roman" w:hAnsi="Times New Roman" w:cs="Times New Roman"/>
                <w:u w:val="none"/>
                <w:vertAlign w:val="baseline"/>
              </w:rPr>
            </w:pPr>
            <w:r>
              <w:rPr>
                <w:rFonts w:hint="default" w:ascii="Times New Roman" w:hAnsi="Times New Roman"/>
                <w:i/>
                <w:iCs/>
                <w:color w:val="000000" w:themeColor="text1"/>
                <w:sz w:val="16"/>
                <w:szCs w:val="16"/>
                <w:u w:val="none"/>
                <w:vertAlign w:val="baseline"/>
                <w14:textFill>
                  <w14:solidFill>
                    <w14:schemeClr w14:val="tx1"/>
                  </w14:solidFill>
                </w14:textFill>
              </w:rPr>
              <w:t>(MTender ID-ul procedurii)          (data publicării)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r>
              <w:rPr>
                <w:rFonts w:hint="default" w:ascii="Times New Roman" w:hAnsi="Times New Roman" w:cs="Times New Roman"/>
                <w:vertAlign w:val="baseline"/>
              </w:rPr>
              <w:t xml:space="preserve">Obiectul achiziției: </w:t>
            </w:r>
            <w:r>
              <w:rPr>
                <w:rFonts w:hint="default" w:ascii="Times New Roman" w:hAnsi="Times New Roman"/>
                <w:u w:val="single"/>
                <w:vertAlign w:val="baseline"/>
              </w:rPr>
              <w:t>Servicii de proiectare - Consolidarea coșului de fum H=180m, inclusiv verificarea documentației de proiect, exercitarea supravegherii de autor, inspecție și consultanță tehnică</w:t>
            </w:r>
          </w:p>
        </w:tc>
      </w:tr>
    </w:tbl>
    <w:p>
      <w:pPr>
        <w:rPr>
          <w:rFonts w:hint="default" w:ascii="Times New Roman" w:hAnsi="Times New Roman" w:cs="Times New Roman"/>
        </w:rPr>
      </w:pPr>
    </w:p>
    <w:tbl>
      <w:tblPr>
        <w:tblStyle w:val="6"/>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4"/>
        <w:gridCol w:w="3035"/>
        <w:gridCol w:w="1828"/>
        <w:gridCol w:w="1128"/>
        <w:gridCol w:w="1380"/>
        <w:gridCol w:w="3196"/>
        <w:gridCol w:w="3197"/>
        <w:gridCol w:w="1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eastAsia="zh-CN" w:bidi="ar-SA"/>
              </w:rPr>
            </w:pPr>
            <w:r>
              <w:rPr>
                <w:rFonts w:hint="default" w:ascii="Times New Roman" w:hAnsi="Times New Roman" w:cs="Times New Roman"/>
                <w:b/>
                <w:sz w:val="20"/>
                <w:szCs w:val="20"/>
              </w:rPr>
              <w:t>Nr. crt.</w:t>
            </w:r>
          </w:p>
        </w:tc>
        <w:tc>
          <w:tcPr>
            <w:tcW w:w="303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sz w:val="20"/>
                <w:szCs w:val="20"/>
                <w:lang w:val="ro-RO" w:eastAsia="en-US" w:bidi="ar-SA"/>
              </w:rPr>
            </w:pPr>
            <w:r>
              <w:rPr>
                <w:rFonts w:hint="default" w:ascii="Times New Roman" w:hAnsi="Times New Roman" w:cs="Times New Roman"/>
                <w:b/>
                <w:sz w:val="20"/>
                <w:szCs w:val="20"/>
              </w:rPr>
              <w:t>Denumirea bunurilor/serviciilor</w:t>
            </w:r>
          </w:p>
        </w:tc>
        <w:tc>
          <w:tcPr>
            <w:tcW w:w="18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Denumirea modelului bunului/serviciului</w:t>
            </w:r>
          </w:p>
        </w:tc>
        <w:tc>
          <w:tcPr>
            <w:tcW w:w="11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Ţara de origine</w:t>
            </w:r>
          </w:p>
        </w:tc>
        <w:tc>
          <w:tcPr>
            <w:tcW w:w="13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Producătorul</w:t>
            </w:r>
          </w:p>
        </w:tc>
        <w:tc>
          <w:tcPr>
            <w:tcW w:w="319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b/>
                <w:sz w:val="20"/>
                <w:szCs w:val="20"/>
              </w:rPr>
              <w:t>Specificarea tehnică deplină solicitată de către autoritatea contractantă</w:t>
            </w:r>
          </w:p>
        </w:tc>
        <w:tc>
          <w:tcPr>
            <w:tcW w:w="319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Specificarea tehnică deplină propusă de către ofertant</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Standarde de referinţă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0</w:t>
            </w:r>
          </w:p>
        </w:tc>
        <w:tc>
          <w:tcPr>
            <w:tcW w:w="303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1</w:t>
            </w:r>
          </w:p>
        </w:tc>
        <w:tc>
          <w:tcPr>
            <w:tcW w:w="18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2</w:t>
            </w:r>
          </w:p>
        </w:tc>
        <w:tc>
          <w:tcPr>
            <w:tcW w:w="11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3</w:t>
            </w:r>
          </w:p>
        </w:tc>
        <w:tc>
          <w:tcPr>
            <w:tcW w:w="13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4</w:t>
            </w:r>
          </w:p>
        </w:tc>
        <w:tc>
          <w:tcPr>
            <w:tcW w:w="319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5</w:t>
            </w:r>
          </w:p>
        </w:tc>
        <w:tc>
          <w:tcPr>
            <w:tcW w:w="319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6</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bCs/>
                <w:sz w:val="20"/>
                <w:szCs w:val="20"/>
                <w:vertAlign w:val="baseline"/>
              </w:rPr>
            </w:pPr>
            <w:r>
              <w:rPr>
                <w:rFonts w:hint="default" w:ascii="Times New Roman" w:hAnsi="Times New Roman" w:cs="Times New Roman"/>
                <w:b/>
                <w:bCs/>
                <w:sz w:val="20"/>
                <w:szCs w:val="20"/>
                <w:vertAlign w:val="baseline"/>
              </w:rPr>
              <w:t xml:space="preserve">Lotul nr. 1 </w:t>
            </w:r>
            <w:r>
              <w:rPr>
                <w:rFonts w:hint="default" w:ascii="Times New Roman" w:hAnsi="Times New Roman"/>
                <w:b/>
                <w:bCs/>
                <w:sz w:val="20"/>
                <w:szCs w:val="20"/>
                <w:vertAlign w:val="baseline"/>
              </w:rPr>
              <w:t>Elaborarea documentației de proiect „Consolidarea coșului de fum H=180m”, inclusiv verificarea acesteia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zh-CN" w:eastAsia="ru-RU"/>
              </w:rPr>
              <w:t>Elaborarea documentației de proiect</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o-RO"/>
              </w:rPr>
            </w:pPr>
            <w:r>
              <w:rPr>
                <w:rFonts w:hint="default" w:ascii="Times New Roman" w:hAnsi="Times New Roman"/>
                <w:i w:val="0"/>
                <w:iCs w:val="0"/>
                <w:sz w:val="20"/>
                <w:szCs w:val="20"/>
                <w:lang w:eastAsia="ro-RO"/>
              </w:rPr>
              <w:t>Elaborarea documentației de proiect (faza de proiectare - proiect de execuție a lucrărilor „PEL”; proiect de organizare a șantierului „POS”), având la bază Raportul de expertiză tehnică nr. 170/2025 precum și documentele normative în vigoare.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ru-RU"/>
              </w:rPr>
              <w:t>Verificarea documentației de proiect elaborate</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o-RO"/>
              </w:rPr>
            </w:pPr>
            <w:r>
              <w:rPr>
                <w:rFonts w:hint="default" w:ascii="Times New Roman" w:hAnsi="Times New Roman"/>
                <w:i w:val="0"/>
                <w:iCs w:val="0"/>
                <w:sz w:val="20"/>
                <w:szCs w:val="20"/>
                <w:lang w:eastAsia="ro-RO"/>
              </w:rPr>
              <w:t>Verificarea documentației de proiect elaborate, conform documentelor normative naționale.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bCs/>
                <w:sz w:val="20"/>
                <w:szCs w:val="20"/>
                <w:vertAlign w:val="baseline"/>
              </w:rPr>
            </w:pPr>
            <w:r>
              <w:rPr>
                <w:rFonts w:hint="default" w:ascii="Times New Roman" w:hAnsi="Times New Roman" w:cs="Times New Roman"/>
                <w:b/>
                <w:bCs/>
                <w:sz w:val="20"/>
                <w:szCs w:val="20"/>
                <w:vertAlign w:val="baseline"/>
              </w:rPr>
              <w:t xml:space="preserve">Lotul nr. 2 </w:t>
            </w:r>
            <w:r>
              <w:rPr>
                <w:rFonts w:hint="default" w:ascii="Times New Roman" w:hAnsi="Times New Roman"/>
                <w:b/>
                <w:bCs/>
                <w:sz w:val="20"/>
                <w:szCs w:val="20"/>
                <w:vertAlign w:val="baseline"/>
              </w:rPr>
              <w:t>Monitorizarea aplicării prevederilor documentației de proiect în procesul de execuție a lucrărilor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ru-RU"/>
              </w:rPr>
              <w:t>Monitorizarea aplicării prevederilor documentației de proiect în procesul de execuție a lucrărilor</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o-RO"/>
              </w:rPr>
            </w:pPr>
            <w:r>
              <w:rPr>
                <w:rFonts w:hint="default" w:ascii="Times New Roman" w:hAnsi="Times New Roman"/>
                <w:i w:val="0"/>
                <w:iCs w:val="0"/>
                <w:sz w:val="20"/>
                <w:szCs w:val="20"/>
                <w:lang w:eastAsia="ro-RO"/>
              </w:rPr>
              <w:t>Monitorizarea aplicării prevederilor documentației de proiect în procesul de execuție a lucrărilor de construcții, în baza contractului de supraveghere de autor. Participarea la inspecțiile în teren și oferirea de consultanță pentru soluționarea eventualelor probleme tehnice apărute. În caz de necesitate, operarea modificărilor, coordonarea și verificarea documentației de proiect.</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bl>
    <w:p>
      <w:pPr>
        <w:keepNext w:val="0"/>
        <w:keepLines w:val="0"/>
        <w:pageBreakBefore w:val="0"/>
        <w:widowControl/>
        <w:kinsoku/>
        <w:wordWrap/>
        <w:overflowPunct/>
        <w:topLinePunct w:val="0"/>
        <w:autoSpaceDE/>
        <w:autoSpaceDN/>
        <w:bidi w:val="0"/>
        <w:adjustRightInd/>
        <w:snapToGrid/>
        <w:spacing w:before="181" w:beforeLines="50" w:line="360" w:lineRule="auto"/>
        <w:textAlignment w:val="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p>
    <w:p>
      <w:pPr>
        <w:rPr>
          <w:rFonts w:hint="default" w:ascii="Times New Roman" w:hAnsi="Times New Roman" w:cs="Times New Roman"/>
          <w:u w:val="single"/>
        </w:rPr>
      </w:pPr>
      <w:r>
        <w:rPr>
          <w:rFonts w:hint="default" w:ascii="Times New Roman" w:hAnsi="Times New Roman" w:cs="Times New Roman"/>
          <w:u w:val="single"/>
        </w:rPr>
        <w:br w:type="page"/>
      </w:r>
    </w:p>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de preț</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i/>
          <w:iCs/>
        </w:rPr>
        <w:t>[Acest tabel va fi completat de către ofertant în coloanele 5,6,7,8 și 11 la necesitate, iar de către autoritatea contractantă – în coloanele 1,2,3,4,9,10]</w:t>
      </w:r>
    </w:p>
    <w:tbl>
      <w:tblPr>
        <w:tblStyle w:val="6"/>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u w:val="single"/>
                <w:vertAlign w:val="baseline"/>
              </w:rPr>
              <w:t>2</w:t>
            </w:r>
            <w:r>
              <w:rPr>
                <w:rFonts w:hint="default" w:ascii="Times New Roman" w:hAnsi="Times New Roman"/>
                <w:u w:val="single"/>
                <w:vertAlign w:val="baseline"/>
                <w:lang/>
              </w:rPr>
              <w:t>2</w:t>
            </w:r>
            <w:r>
              <w:rPr>
                <w:rFonts w:hint="default" w:ascii="Times New Roman" w:hAnsi="Times New Roman"/>
                <w:u w:val="single"/>
                <w:vertAlign w:val="baseline"/>
              </w:rPr>
              <w:t>.0</w:t>
            </w:r>
            <w:r>
              <w:rPr>
                <w:rFonts w:hint="default" w:ascii="Times New Roman" w:hAnsi="Times New Roman"/>
                <w:u w:val="single"/>
                <w:vertAlign w:val="baseline"/>
                <w:lang/>
              </w:rPr>
              <w:t>6</w:t>
            </w:r>
            <w:r>
              <w:rPr>
                <w:rFonts w:hint="default" w:ascii="Times New Roman" w:hAnsi="Times New Roman"/>
                <w:u w:val="single"/>
                <w:vertAlign w:val="baseline"/>
              </w:rPr>
              <w:t>.2026</w:t>
            </w:r>
            <w:r>
              <w:rPr>
                <w:rFonts w:hint="default" w:ascii="Times New Roman" w:hAnsi="Times New Roman" w:cs="Times New Roman"/>
                <w:u w:val="single"/>
                <w:vertAlign w:val="baseline"/>
              </w:rPr>
              <w:t xml:space="preserve"> </w:t>
            </w:r>
            <w:r>
              <w:rPr>
                <w:rFonts w:hint="default" w:ascii="Times New Roman" w:hAnsi="Times New Roman" w:cs="Times New Roman"/>
                <w:u w:val="none"/>
                <w:vertAlign w:val="baseline"/>
              </w:rPr>
              <w:t xml:space="preserve"> </w:t>
            </w:r>
          </w:p>
          <w:p>
            <w:pPr>
              <w:keepNext w:val="0"/>
              <w:keepLines w:val="0"/>
              <w:pageBreakBefore w:val="0"/>
              <w:widowControl/>
              <w:kinsoku/>
              <w:wordWrap/>
              <w:overflowPunct/>
              <w:topLinePunct w:val="0"/>
              <w:autoSpaceDE/>
              <w:autoSpaceDN/>
              <w:bidi w:val="0"/>
              <w:adjustRightInd/>
              <w:snapToGrid/>
              <w:spacing w:line="264" w:lineRule="auto"/>
              <w:ind w:firstLine="3040" w:firstLineChars="1900"/>
              <w:jc w:val="both"/>
              <w:textAlignment w:val="auto"/>
              <w:rPr>
                <w:rFonts w:hint="default" w:ascii="Times New Roman" w:hAnsi="Times New Roman" w:cs="Times New Roman"/>
                <w:u w:val="none"/>
                <w:vertAlign w:val="baseline"/>
              </w:rPr>
            </w:pPr>
            <w:r>
              <w:rPr>
                <w:rFonts w:hint="default" w:ascii="Times New Roman" w:hAnsi="Times New Roman"/>
                <w:i/>
                <w:iCs/>
                <w:color w:val="000000" w:themeColor="text1"/>
                <w:sz w:val="16"/>
                <w:szCs w:val="16"/>
                <w:u w:val="none"/>
                <w:vertAlign w:val="baseline"/>
                <w14:textFill>
                  <w14:solidFill>
                    <w14:schemeClr w14:val="tx1"/>
                  </w14:solidFill>
                </w14:textFill>
              </w:rPr>
              <w:t>(MTender ID-ul procedurii)          (data publicării)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r>
              <w:rPr>
                <w:rFonts w:hint="default" w:ascii="Times New Roman" w:hAnsi="Times New Roman" w:cs="Times New Roman"/>
                <w:vertAlign w:val="baseline"/>
              </w:rPr>
              <w:t xml:space="preserve">Obiectul achiziției: </w:t>
            </w:r>
            <w:r>
              <w:rPr>
                <w:rFonts w:hint="default" w:ascii="Times New Roman" w:hAnsi="Times New Roman"/>
                <w:u w:val="single"/>
                <w:vertAlign w:val="baseline"/>
              </w:rPr>
              <w:t>Servicii de proiectare - Consolidarea coșului de fum H=180m, inclusiv verificarea documentației de proiect, exercitarea supravegherii de autor, inspecție și consultanță tehnică</w:t>
            </w:r>
          </w:p>
        </w:tc>
      </w:tr>
    </w:tbl>
    <w:p>
      <w:pPr>
        <w:rPr>
          <w:rFonts w:hint="default" w:ascii="Times New Roman" w:hAnsi="Times New Roman" w:cs="Times New Roman"/>
        </w:rPr>
      </w:pPr>
    </w:p>
    <w:tbl>
      <w:tblPr>
        <w:tblStyle w:val="6"/>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954"/>
        <w:gridCol w:w="2631"/>
        <w:gridCol w:w="1059"/>
        <w:gridCol w:w="998"/>
        <w:gridCol w:w="1265"/>
        <w:gridCol w:w="1391"/>
        <w:gridCol w:w="1391"/>
        <w:gridCol w:w="1394"/>
        <w:gridCol w:w="1850"/>
        <w:gridCol w:w="1214"/>
        <w:gridCol w:w="10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Nr. lot</w:t>
            </w:r>
          </w:p>
        </w:tc>
        <w:tc>
          <w:tcPr>
            <w:tcW w:w="9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color w:val="000000" w:themeColor="text1"/>
                <w:sz w:val="20"/>
                <w:szCs w:val="24"/>
                <w:u w:val="none"/>
                <w:lang w:eastAsia="en-US"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Cod CPV</w:t>
            </w:r>
          </w:p>
        </w:tc>
        <w:tc>
          <w:tcPr>
            <w:tcW w:w="263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Denumirea bunurilor/serviciilor</w:t>
            </w:r>
          </w:p>
        </w:tc>
        <w:tc>
          <w:tcPr>
            <w:tcW w:w="1059"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Unitatea de măsură</w:t>
            </w:r>
          </w:p>
        </w:tc>
        <w:tc>
          <w:tcPr>
            <w:tcW w:w="99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color w:val="000000" w:themeColor="text1"/>
                <w:sz w:val="20"/>
                <w:u w:val="none"/>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Canti-</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tatea</w:t>
            </w:r>
          </w:p>
        </w:tc>
        <w:tc>
          <w:tcPr>
            <w:tcW w:w="126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Preţ unitar (fără TVA)</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Preţ unitar (cu TVA)</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color w:val="000000" w:themeColor="text1"/>
                <w:sz w:val="20"/>
                <w:u w:val="none"/>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fără TVA</w:t>
            </w:r>
          </w:p>
        </w:tc>
        <w:tc>
          <w:tcPr>
            <w:tcW w:w="139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color w:val="000000" w:themeColor="text1"/>
                <w:sz w:val="20"/>
                <w:u w:val="none"/>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cu TVA</w:t>
            </w:r>
          </w:p>
        </w:tc>
        <w:tc>
          <w:tcPr>
            <w:tcW w:w="18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color w:val="000000" w:themeColor="text1"/>
                <w:sz w:val="20"/>
                <w:szCs w:val="28"/>
                <w:u w:val="none"/>
                <w14:textFill>
                  <w14:solidFill>
                    <w14:schemeClr w14:val="tx1"/>
                  </w14:solidFill>
                </w14:textFill>
              </w:rPr>
            </w:pPr>
            <w:r>
              <w:rPr>
                <w:rFonts w:hint="default" w:ascii="Times New Roman" w:hAnsi="Times New Roman" w:cs="Times New Roman"/>
                <w:b/>
                <w:color w:val="000000" w:themeColor="text1"/>
                <w:sz w:val="20"/>
                <w:szCs w:val="28"/>
                <w:u w:val="none"/>
                <w14:textFill>
                  <w14:solidFill>
                    <w14:schemeClr w14:val="tx1"/>
                  </w14:solidFill>
                </w14:textFill>
              </w:rPr>
              <w:t>Termenul de</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szCs w:val="28"/>
                <w:u w:val="none"/>
                <w14:textFill>
                  <w14:solidFill>
                    <w14:schemeClr w14:val="tx1"/>
                  </w14:solidFill>
                </w14:textFill>
              </w:rPr>
              <w:t>livrare/prestare</w:t>
            </w:r>
          </w:p>
        </w:tc>
        <w:tc>
          <w:tcPr>
            <w:tcW w:w="121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szCs w:val="28"/>
                <w:u w:val="none"/>
                <w:lang w:eastAsia="zh-CN" w:bidi="ar-SA"/>
                <w14:textFill>
                  <w14:solidFill>
                    <w14:schemeClr w14:val="tx1"/>
                  </w14:solidFill>
                </w14:textFill>
              </w:rPr>
            </w:pPr>
            <w:r>
              <w:rPr>
                <w:rFonts w:hint="default" w:ascii="Times New Roman" w:hAnsi="Times New Roman" w:cs="Times New Roman"/>
                <w:b/>
                <w:color w:val="000000" w:themeColor="text1"/>
                <w:sz w:val="20"/>
                <w:szCs w:val="28"/>
                <w:u w:val="none"/>
                <w14:textFill>
                  <w14:solidFill>
                    <w14:schemeClr w14:val="tx1"/>
                  </w14:solidFill>
                </w14:textFill>
              </w:rPr>
              <w:t>Clasificație bugetară (IBAN)</w:t>
            </w:r>
          </w:p>
        </w:tc>
        <w:tc>
          <w:tcPr>
            <w:tcW w:w="102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color w:val="000000" w:themeColor="text1"/>
                <w:sz w:val="20"/>
                <w:szCs w:val="28"/>
                <w:u w:val="none"/>
                <w14:textFill>
                  <w14:solidFill>
                    <w14:schemeClr w14:val="tx1"/>
                  </w14:solidFill>
                </w14:textFill>
              </w:rPr>
            </w:pPr>
            <w:r>
              <w:rPr>
                <w:rFonts w:hint="default" w:ascii="Times New Roman" w:hAnsi="Times New Roman" w:cs="Times New Roman"/>
                <w:b/>
                <w:color w:val="000000" w:themeColor="text1"/>
                <w:sz w:val="20"/>
                <w:szCs w:val="28"/>
                <w:u w:val="none"/>
                <w14:textFill>
                  <w14:solidFill>
                    <w14:schemeClr w14:val="tx1"/>
                  </w14:solidFill>
                </w14:textFill>
              </w:rPr>
              <w:t>Discount</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szCs w:val="28"/>
                <w:u w:val="none"/>
                <w:lang w:eastAsia="zh-CN" w:bidi="ar-SA"/>
                <w14:textFill>
                  <w14:solidFill>
                    <w14:schemeClr w14:val="tx1"/>
                  </w14:solidFill>
                </w14:textFill>
              </w:rPr>
            </w:pPr>
            <w:r>
              <w:rPr>
                <w:rFonts w:hint="default" w:ascii="Times New Roman" w:hAnsi="Times New Roman" w:cs="Times New Roman"/>
                <w:b/>
                <w:color w:val="000000" w:themeColor="text1"/>
                <w:sz w:val="20"/>
                <w:szCs w:val="28"/>
                <w:u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0</w:t>
            </w:r>
          </w:p>
        </w:tc>
        <w:tc>
          <w:tcPr>
            <w:tcW w:w="9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1</w:t>
            </w:r>
          </w:p>
        </w:tc>
        <w:tc>
          <w:tcPr>
            <w:tcW w:w="263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2</w:t>
            </w:r>
          </w:p>
        </w:tc>
        <w:tc>
          <w:tcPr>
            <w:tcW w:w="1059"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3</w:t>
            </w:r>
          </w:p>
        </w:tc>
        <w:tc>
          <w:tcPr>
            <w:tcW w:w="99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4</w:t>
            </w:r>
          </w:p>
        </w:tc>
        <w:tc>
          <w:tcPr>
            <w:tcW w:w="126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5</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6</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7</w:t>
            </w:r>
          </w:p>
        </w:tc>
        <w:tc>
          <w:tcPr>
            <w:tcW w:w="139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8</w:t>
            </w:r>
          </w:p>
        </w:tc>
        <w:tc>
          <w:tcPr>
            <w:tcW w:w="18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9</w:t>
            </w:r>
          </w:p>
        </w:tc>
        <w:tc>
          <w:tcPr>
            <w:tcW w:w="121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10</w:t>
            </w:r>
          </w:p>
        </w:tc>
        <w:tc>
          <w:tcPr>
            <w:tcW w:w="102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color w:val="000000" w:themeColor="text1"/>
                <w:u w:val="none"/>
                <w:vertAlign w:val="baseline"/>
                <w14:textFill>
                  <w14:solidFill>
                    <w14:schemeClr w14:val="tx1"/>
                  </w14:solidFill>
                </w14:textFill>
              </w:rPr>
            </w:pPr>
            <w:r>
              <w:rPr>
                <w:rFonts w:hint="default" w:ascii="Times New Roman" w:hAnsi="Times New Roman" w:cs="Times New Roman"/>
                <w:b/>
                <w:bCs/>
                <w:color w:val="000000" w:themeColor="text1"/>
                <w:vertAlign w:val="baseline"/>
                <w14:textFill>
                  <w14:solidFill>
                    <w14:schemeClr w14:val="tx1"/>
                  </w14:solidFill>
                </w14:textFill>
              </w:rPr>
              <w:t xml:space="preserve">Lotul nr. 1 </w:t>
            </w:r>
            <w:r>
              <w:rPr>
                <w:rFonts w:hint="default" w:ascii="Times New Roman" w:hAnsi="Times New Roman"/>
                <w:b/>
                <w:bCs/>
                <w:color w:val="000000" w:themeColor="text1"/>
                <w:vertAlign w:val="baseline"/>
                <w14:textFill>
                  <w14:solidFill>
                    <w14:schemeClr w14:val="tx1"/>
                  </w14:solidFill>
                </w14:textFill>
              </w:rPr>
              <w:t>Elaborarea documentației de proiect „Consolidarea coșului de fum H=180m”, inclusiv verificarea acesteia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15"/>
                <w:szCs w:val="15"/>
                <w:lang w:eastAsia="en-US"/>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71320000-7</w:t>
            </w: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color w:val="000000" w:themeColor="text1"/>
                <w:sz w:val="20"/>
                <w:szCs w:val="20"/>
                <w:lang w:val="zh-CN" w:eastAsia="ro-RO"/>
                <w14:textFill>
                  <w14:solidFill>
                    <w14:schemeClr w14:val="tx1"/>
                  </w14:solidFill>
                </w14:textFill>
              </w:rPr>
            </w:pPr>
            <w:r>
              <w:rPr>
                <w:rFonts w:hint="default" w:ascii="Times New Roman" w:hAnsi="Times New Roman"/>
                <w:i w:val="0"/>
                <w:iCs w:val="0"/>
                <w:color w:val="000000" w:themeColor="text1"/>
                <w:sz w:val="20"/>
                <w:szCs w:val="20"/>
                <w:lang w:val="zh-CN" w:eastAsia="en-US"/>
                <w14:textFill>
                  <w14:solidFill>
                    <w14:schemeClr w14:val="tx1"/>
                  </w14:solidFill>
                </w14:textFill>
              </w:rPr>
              <w:t>Elaborarea documentației de proiect</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vertAlign w:val="superscript"/>
                <w:lang w:eastAsia="en-US" w:bidi="ar-SA"/>
                <w14:textFill>
                  <w14:solidFill>
                    <w14:schemeClr w14:val="tx1"/>
                  </w14:solidFill>
                </w14:textFill>
              </w:rPr>
            </w:pPr>
            <w:r>
              <w:rPr>
                <w:rFonts w:hint="default" w:ascii="Times New Roman" w:hAnsi="Times New Roman"/>
                <w:color w:val="000000" w:themeColor="text1"/>
                <w:sz w:val="20"/>
                <w:lang w:eastAsia="en-US"/>
                <w14:textFill>
                  <w14:solidFill>
                    <w14:schemeClr w14:val="tx1"/>
                  </w14:solidFill>
                </w14:textFill>
              </w:rPr>
              <w:t>serv.</w:t>
            </w:r>
          </w:p>
        </w:tc>
        <w:tc>
          <w:tcPr>
            <w:tcW w:w="9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20"/>
                <w:lang w:eastAsia="en-US"/>
                <w14:textFill>
                  <w14:solidFill>
                    <w14:schemeClr w14:val="tx1"/>
                  </w14:solidFill>
                </w14:textFill>
              </w:rPr>
            </w:pPr>
            <w:r>
              <w:rPr>
                <w:rFonts w:hint="default" w:ascii="Times New Roman" w:hAnsi="Times New Roman"/>
                <w:color w:val="000000" w:themeColor="text1"/>
                <w:sz w:val="20"/>
                <w:lang w:eastAsia="en-US"/>
                <w14:textFill>
                  <w14:solidFill>
                    <w14:schemeClr w14:val="tx1"/>
                  </w14:solidFill>
                </w14:textFill>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18"/>
                <w:szCs w:val="18"/>
                <w:u w:val="none"/>
                <w:vertAlign w:val="baseline"/>
                <w:lang w:eastAsia="zh-CN" w:bidi="ar-SA"/>
                <w14:textFill>
                  <w14:solidFill>
                    <w14:schemeClr w14:val="tx1"/>
                  </w14:solidFill>
                </w14:textFill>
              </w:rPr>
            </w:pPr>
            <w:r>
              <w:rPr>
                <w:rFonts w:hint="default" w:ascii="Times New Roman" w:hAnsi="Times New Roman"/>
                <w:color w:val="000000" w:themeColor="text1"/>
                <w:sz w:val="18"/>
                <w:szCs w:val="18"/>
                <w:u w:val="none"/>
                <w:vertAlign w:val="baseline"/>
                <w:lang w:eastAsia="zh-CN"/>
                <w14:textFill>
                  <w14:solidFill>
                    <w14:schemeClr w14:val="tx1"/>
                  </w14:solidFill>
                </w14:textFill>
              </w:rPr>
              <w:t>în termen de 60 (șaizeci)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cs="Times New Roman" w:eastAsiaTheme="minorEastAsia"/>
                <w:color w:val="000000" w:themeColor="text1"/>
                <w:u w:val="none"/>
                <w:vertAlign w:val="baseline"/>
                <w:lang w:val="en-US" w:eastAsia="zh-CN" w:bidi="ar-SA"/>
                <w14:textFill>
                  <w14:solidFill>
                    <w14:schemeClr w14:val="tx1"/>
                  </w14:solidFill>
                </w14:textFill>
              </w:rPr>
            </w:pPr>
            <w:r>
              <w:rPr>
                <w:rFonts w:hint="default" w:ascii="Times New Roman" w:hAnsi="Times New Roman" w:eastAsiaTheme="minorEastAsia"/>
                <w:color w:val="000000" w:themeColor="text1"/>
                <w:u w:val="none"/>
                <w:vertAlign w:val="baseline"/>
                <w:lang w:val="en-US" w:eastAsia="zh-CN"/>
                <w14:textFill>
                  <w14:solidFill>
                    <w14:schemeClr w14:val="tx1"/>
                  </w14:solidFill>
                </w14:textFill>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15"/>
                <w:szCs w:val="15"/>
                <w:lang w:val="en-US" w:eastAsia="en-US" w:bidi="ar-SA"/>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71320000-7</w:t>
            </w: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color w:val="000000" w:themeColor="text1"/>
                <w:sz w:val="20"/>
                <w:szCs w:val="20"/>
                <w:lang w:val="zh-CN" w:eastAsia="en-US"/>
                <w14:textFill>
                  <w14:solidFill>
                    <w14:schemeClr w14:val="tx1"/>
                  </w14:solidFill>
                </w14:textFill>
              </w:rPr>
            </w:pPr>
            <w:r>
              <w:rPr>
                <w:rFonts w:hint="default" w:ascii="Times New Roman" w:hAnsi="Times New Roman"/>
                <w:i w:val="0"/>
                <w:iCs w:val="0"/>
                <w:color w:val="000000" w:themeColor="text1"/>
                <w:sz w:val="20"/>
                <w:szCs w:val="20"/>
                <w:lang w:val="zh-CN" w:eastAsia="en-US"/>
                <w14:textFill>
                  <w14:solidFill>
                    <w14:schemeClr w14:val="tx1"/>
                  </w14:solidFill>
                </w14:textFill>
              </w:rPr>
              <w:t>Verificarea documentației de proiect elaborate</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vertAlign w:val="superscript"/>
                <w:lang w:val="en-US" w:eastAsia="en-US" w:bidi="ar-SA"/>
                <w14:textFill>
                  <w14:solidFill>
                    <w14:schemeClr w14:val="tx1"/>
                  </w14:solidFill>
                </w14:textFill>
              </w:rPr>
            </w:pPr>
            <w:r>
              <w:rPr>
                <w:rFonts w:hint="default" w:ascii="Times New Roman" w:hAnsi="Times New Roman"/>
                <w:color w:val="000000" w:themeColor="text1"/>
                <w:sz w:val="20"/>
                <w:lang w:eastAsia="en-US"/>
                <w14:textFill>
                  <w14:solidFill>
                    <w14:schemeClr w14:val="tx1"/>
                  </w14:solidFill>
                </w14:textFill>
              </w:rPr>
              <w:t>serv.</w:t>
            </w:r>
          </w:p>
        </w:tc>
        <w:tc>
          <w:tcPr>
            <w:tcW w:w="9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20"/>
                <w:lang w:eastAsia="en-US"/>
                <w14:textFill>
                  <w14:solidFill>
                    <w14:schemeClr w14:val="tx1"/>
                  </w14:solidFill>
                </w14:textFill>
              </w:rPr>
            </w:pPr>
            <w:r>
              <w:rPr>
                <w:rFonts w:hint="default" w:ascii="Times New Roman" w:hAnsi="Times New Roman"/>
                <w:color w:val="000000" w:themeColor="text1"/>
                <w:sz w:val="20"/>
                <w:lang w:eastAsia="en-US"/>
                <w14:textFill>
                  <w14:solidFill>
                    <w14:schemeClr w14:val="tx1"/>
                  </w14:solidFill>
                </w14:textFill>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8"/>
                <w:szCs w:val="18"/>
                <w:u w:val="none"/>
                <w:vertAlign w:val="baseline"/>
                <w:lang w:eastAsia="zh-CN"/>
                <w14:textFill>
                  <w14:solidFill>
                    <w14:schemeClr w14:val="tx1"/>
                  </w14:solidFill>
                </w14:textFill>
              </w:rPr>
            </w:pPr>
            <w:r>
              <w:rPr>
                <w:rFonts w:hint="default" w:ascii="Times New Roman" w:hAnsi="Times New Roman"/>
                <w:color w:val="000000" w:themeColor="text1"/>
                <w:sz w:val="18"/>
                <w:szCs w:val="18"/>
                <w:u w:val="none"/>
                <w:vertAlign w:val="baseline"/>
                <w:lang w:eastAsia="zh-CN"/>
                <w14:textFill>
                  <w14:solidFill>
                    <w14:schemeClr w14:val="tx1"/>
                  </w14:solidFill>
                </w14:textFill>
              </w:rPr>
              <w:t>în termen de 60 (șaizeci)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color w:val="000000" w:themeColor="text1"/>
                <w:u w:val="none"/>
                <w:vertAlign w:val="baseline"/>
                <w:lang w:val="en-US" w:eastAsia="zh-CN" w:bidi="ar-SA"/>
                <w14:textFill>
                  <w14:solidFill>
                    <w14:schemeClr w14:val="tx1"/>
                  </w14:solidFill>
                </w14:textFill>
              </w:rPr>
            </w:pPr>
            <w:r>
              <w:rPr>
                <w:rFonts w:hint="default" w:ascii="Times New Roman" w:hAnsi="Times New Roman" w:eastAsiaTheme="minorEastAsia"/>
                <w:color w:val="000000" w:themeColor="text1"/>
                <w:u w:val="none"/>
                <w:vertAlign w:val="baseline"/>
                <w:lang w:val="en-US" w:eastAsia="zh-CN"/>
                <w14:textFill>
                  <w14:solidFill>
                    <w14:schemeClr w14:val="tx1"/>
                  </w14:solidFill>
                </w14:textFill>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eastAsiaTheme="minorEastAsia"/>
                <w:color w:val="000000" w:themeColor="text1"/>
                <w:u w:val="none"/>
                <w:vertAlign w:val="baseline"/>
                <w:lang w:val="en-US" w:eastAsia="zh-CN" w:bidi="ar-SA"/>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color w:val="000000" w:themeColor="text1"/>
                <w:sz w:val="15"/>
                <w:szCs w:val="15"/>
                <w:lang w:val="en-US" w:eastAsia="zh-CN" w:bidi="ar-SA"/>
                <w14:textFill>
                  <w14:solidFill>
                    <w14:schemeClr w14:val="tx1"/>
                  </w14:solidFill>
                </w14:textFill>
              </w:rPr>
            </w:pP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i w:val="0"/>
                <w:iCs w:val="0"/>
                <w:color w:val="000000" w:themeColor="text1"/>
                <w:sz w:val="20"/>
                <w:szCs w:val="20"/>
                <w:lang w:eastAsia="ru-RU" w:bidi="ar-SA"/>
                <w14:textFill>
                  <w14:solidFill>
                    <w14:schemeClr w14:val="tx1"/>
                  </w14:solidFill>
                </w14:textFill>
              </w:rPr>
            </w:pPr>
            <w:r>
              <w:rPr>
                <w:rFonts w:hint="default" w:ascii="Times New Roman" w:hAnsi="Times New Roman"/>
                <w:b/>
                <w:bCs/>
                <w:i w:val="0"/>
                <w:iCs w:val="0"/>
                <w:color w:val="000000" w:themeColor="text1"/>
                <w:sz w:val="20"/>
                <w:szCs w:val="20"/>
                <w:lang w:eastAsia="en-US"/>
                <w14:textFill>
                  <w14:solidFill>
                    <w14:schemeClr w14:val="tx1"/>
                  </w14:solidFill>
                </w14:textFill>
              </w:rPr>
              <w:t>Total lot 1</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lang w:val="en-US" w:eastAsia="ru-RU" w:bidi="ar-SA"/>
                <w14:textFill>
                  <w14:solidFill>
                    <w14:schemeClr w14:val="tx1"/>
                  </w14:solidFill>
                </w14:textFill>
              </w:rPr>
            </w:pPr>
            <w:r>
              <w:rPr>
                <w:rFonts w:hint="default" w:ascii="Times New Roman" w:hAnsi="Times New Roman" w:cs="Times New Roman"/>
                <w:color w:val="000000" w:themeColor="text1"/>
                <w:sz w:val="20"/>
                <w:lang w:eastAsia="en-US" w:bidi="ar-SA"/>
                <w14:textFill>
                  <w14:solidFill>
                    <w14:schemeClr w14:val="tx1"/>
                  </w14:solidFill>
                </w14:textFill>
              </w:rPr>
              <w:t>-</w:t>
            </w:r>
          </w:p>
        </w:tc>
        <w:tc>
          <w:tcPr>
            <w:tcW w:w="9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lang w:val="en-US" w:eastAsia="ro-RO" w:bidi="ar-SA"/>
                <w14:textFill>
                  <w14:solidFill>
                    <w14:schemeClr w14:val="tx1"/>
                  </w14:solidFill>
                </w14:textFill>
              </w:rPr>
            </w:pPr>
            <w:r>
              <w:rPr>
                <w:rFonts w:hint="default" w:ascii="Times New Roman" w:hAnsi="Times New Roman" w:cs="Times New Roman"/>
                <w:color w:val="000000" w:themeColor="text1"/>
                <w:sz w:val="20"/>
                <w:lang w:eastAsia="en-US"/>
                <w14:textFill>
                  <w14:solidFill>
                    <w14:schemeClr w14:val="tx1"/>
                  </w14:solidFill>
                </w14:textFill>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r>
              <w:rPr>
                <w:rFonts w:hint="default" w:ascii="Times New Roman" w:hAnsi="Times New Roman" w:cs="Times New Roman"/>
                <w:b/>
                <w:bCs/>
                <w:color w:val="000000" w:themeColor="text1"/>
                <w:u w:val="none"/>
                <w:vertAlign w:val="baseline"/>
                <w:lang w:eastAsia="zh-CN" w:bidi="ar-SA"/>
                <w14:textFill>
                  <w14:solidFill>
                    <w14:schemeClr w14:val="tx1"/>
                  </w14:solidFill>
                </w14:textFill>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r>
              <w:rPr>
                <w:rFonts w:hint="default" w:ascii="Times New Roman" w:hAnsi="Times New Roman" w:cs="Times New Roman"/>
                <w:b/>
                <w:bCs/>
                <w:color w:val="000000" w:themeColor="text1"/>
                <w:u w:val="none"/>
                <w:vertAlign w:val="baseline"/>
                <w:lang w:eastAsia="zh-CN" w:bidi="ar-SA"/>
                <w14:textFill>
                  <w14:solidFill>
                    <w14:schemeClr w14:val="tx1"/>
                  </w14:solidFill>
                </w14:textFill>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color w:val="000000" w:themeColor="text1"/>
                <w:u w:val="none"/>
                <w:vertAlign w:val="baseline"/>
                <w14:textFill>
                  <w14:solidFill>
                    <w14:schemeClr w14:val="tx1"/>
                  </w14:solidFill>
                </w14:textFill>
              </w:rPr>
            </w:pPr>
            <w:r>
              <w:rPr>
                <w:rFonts w:hint="default" w:ascii="Times New Roman" w:hAnsi="Times New Roman" w:cs="Times New Roman"/>
                <w:b/>
                <w:bCs/>
                <w:color w:val="000000" w:themeColor="text1"/>
                <w:vertAlign w:val="baseline"/>
                <w14:textFill>
                  <w14:solidFill>
                    <w14:schemeClr w14:val="tx1"/>
                  </w14:solidFill>
                </w14:textFill>
              </w:rPr>
              <w:t xml:space="preserve">Lotul nr. 2 </w:t>
            </w:r>
            <w:r>
              <w:rPr>
                <w:rFonts w:hint="default" w:ascii="Times New Roman" w:hAnsi="Times New Roman"/>
                <w:b/>
                <w:bCs/>
                <w:color w:val="000000" w:themeColor="text1"/>
                <w:vertAlign w:val="baseline"/>
                <w14:textFill>
                  <w14:solidFill>
                    <w14:schemeClr w14:val="tx1"/>
                  </w14:solidFill>
                </w14:textFill>
              </w:rPr>
              <w:t>Monitorizarea aplicării prevederilor documentației de proiect în procesul de execuție a lucrărilor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15"/>
                <w:szCs w:val="15"/>
                <w:lang w:eastAsia="en-US"/>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71240000-2</w:t>
            </w: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color w:val="000000" w:themeColor="text1"/>
                <w:sz w:val="20"/>
                <w:szCs w:val="20"/>
                <w:lang w:val="zh-CN" w:eastAsia="ro-RO"/>
                <w14:textFill>
                  <w14:solidFill>
                    <w14:schemeClr w14:val="tx1"/>
                  </w14:solidFill>
                </w14:textFill>
              </w:rPr>
            </w:pPr>
            <w:r>
              <w:rPr>
                <w:rFonts w:hint="default" w:ascii="Times New Roman" w:hAnsi="Times New Roman"/>
                <w:i w:val="0"/>
                <w:iCs w:val="0"/>
                <w:color w:val="000000" w:themeColor="text1"/>
                <w:sz w:val="20"/>
                <w:szCs w:val="20"/>
                <w:lang w:val="zh-CN" w:eastAsia="en-US"/>
                <w14:textFill>
                  <w14:solidFill>
                    <w14:schemeClr w14:val="tx1"/>
                  </w14:solidFill>
                </w14:textFill>
              </w:rPr>
              <w:t>Monitorizarea aplicării prevederilor documentației de proiect în proc</w:t>
            </w:r>
            <w:bookmarkStart w:id="0" w:name="_GoBack"/>
            <w:bookmarkEnd w:id="0"/>
            <w:r>
              <w:rPr>
                <w:rFonts w:hint="default" w:ascii="Times New Roman" w:hAnsi="Times New Roman"/>
                <w:i w:val="0"/>
                <w:iCs w:val="0"/>
                <w:color w:val="000000" w:themeColor="text1"/>
                <w:sz w:val="20"/>
                <w:szCs w:val="20"/>
                <w:lang w:val="zh-CN" w:eastAsia="en-US"/>
                <w14:textFill>
                  <w14:solidFill>
                    <w14:schemeClr w14:val="tx1"/>
                  </w14:solidFill>
                </w14:textFill>
              </w:rPr>
              <w:t>esul de execuție a lucrărilor</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vertAlign w:val="superscript"/>
                <w:lang w:eastAsia="en-US" w:bidi="ar-SA"/>
                <w14:textFill>
                  <w14:solidFill>
                    <w14:schemeClr w14:val="tx1"/>
                  </w14:solidFill>
                </w14:textFill>
              </w:rPr>
            </w:pPr>
            <w:r>
              <w:rPr>
                <w:rFonts w:hint="default" w:ascii="Times New Roman" w:hAnsi="Times New Roman"/>
                <w:color w:val="000000" w:themeColor="text1"/>
                <w:sz w:val="20"/>
                <w:lang w:eastAsia="en-US"/>
                <w14:textFill>
                  <w14:solidFill>
                    <w14:schemeClr w14:val="tx1"/>
                  </w14:solidFill>
                </w14:textFill>
              </w:rPr>
              <w:t>serv.</w:t>
            </w:r>
          </w:p>
        </w:tc>
        <w:tc>
          <w:tcPr>
            <w:tcW w:w="9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20"/>
                <w:lang w:eastAsia="en-US"/>
                <w14:textFill>
                  <w14:solidFill>
                    <w14:schemeClr w14:val="tx1"/>
                  </w14:solidFill>
                </w14:textFill>
              </w:rPr>
            </w:pPr>
            <w:r>
              <w:rPr>
                <w:rFonts w:hint="default" w:ascii="Times New Roman" w:hAnsi="Times New Roman"/>
                <w:color w:val="000000" w:themeColor="text1"/>
                <w:sz w:val="20"/>
                <w:lang w:eastAsia="en-US"/>
                <w14:textFill>
                  <w14:solidFill>
                    <w14:schemeClr w14:val="tx1"/>
                  </w14:solidFill>
                </w14:textFill>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18"/>
                <w:szCs w:val="18"/>
                <w:u w:val="none"/>
                <w:vertAlign w:val="baseline"/>
                <w:lang w:eastAsia="zh-CN" w:bidi="ar-SA"/>
                <w14:textFill>
                  <w14:solidFill>
                    <w14:schemeClr w14:val="tx1"/>
                  </w14:solidFill>
                </w14:textFill>
              </w:rPr>
            </w:pPr>
            <w:r>
              <w:rPr>
                <w:rFonts w:hint="default" w:ascii="Times New Roman" w:hAnsi="Times New Roman"/>
                <w:color w:val="000000" w:themeColor="text1"/>
                <w:sz w:val="18"/>
                <w:szCs w:val="18"/>
                <w:u w:val="none"/>
                <w:vertAlign w:val="baseline"/>
                <w:lang w:eastAsia="zh-CN"/>
                <w14:textFill>
                  <w14:solidFill>
                    <w14:schemeClr w14:val="tx1"/>
                  </w14:solidFill>
                </w14:textFill>
              </w:rPr>
              <w:t>continuu</w:t>
            </w:r>
            <w:r>
              <w:rPr>
                <w:rFonts w:hint="default" w:ascii="Times New Roman" w:hAnsi="Times New Roman"/>
                <w:color w:val="000000" w:themeColor="text1"/>
                <w:sz w:val="18"/>
                <w:szCs w:val="18"/>
                <w:u w:val="none"/>
                <w:vertAlign w:val="baseline"/>
                <w:lang w:eastAsia="zh-CN"/>
                <w14:textFill>
                  <w14:solidFill>
                    <w14:schemeClr w14:val="tx1"/>
                  </w14:solidFill>
                </w14:textFill>
              </w:rPr>
              <w:t>,</w:t>
            </w:r>
            <w:r>
              <w:rPr>
                <w:rFonts w:hint="default" w:ascii="Times New Roman" w:hAnsi="Times New Roman"/>
                <w:color w:val="000000" w:themeColor="text1"/>
                <w:sz w:val="18"/>
                <w:szCs w:val="18"/>
                <w:u w:val="none"/>
                <w:vertAlign w:val="baseline"/>
                <w:lang w:eastAsia="zh-CN"/>
                <w14:textFill>
                  <w14:solidFill>
                    <w14:schemeClr w14:val="tx1"/>
                  </w14:solidFill>
                </w14:textFill>
              </w:rPr>
              <w:t xml:space="preserve"> pe întreaga durată de executare a lucrărilor</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cs="Times New Roman" w:eastAsiaTheme="minorEastAsia"/>
                <w:color w:val="000000" w:themeColor="text1"/>
                <w:u w:val="none"/>
                <w:vertAlign w:val="baseline"/>
                <w:lang w:val="en-US" w:eastAsia="zh-CN" w:bidi="ar-SA"/>
                <w14:textFill>
                  <w14:solidFill>
                    <w14:schemeClr w14:val="tx1"/>
                  </w14:solidFill>
                </w14:textFill>
              </w:rPr>
            </w:pPr>
            <w:r>
              <w:rPr>
                <w:rFonts w:hint="default" w:ascii="Times New Roman" w:hAnsi="Times New Roman" w:eastAsiaTheme="minorEastAsia"/>
                <w:color w:val="000000" w:themeColor="text1"/>
                <w:u w:val="none"/>
                <w:vertAlign w:val="baseline"/>
                <w:lang w:val="en-US" w:eastAsia="zh-CN"/>
                <w14:textFill>
                  <w14:solidFill>
                    <w14:schemeClr w14:val="tx1"/>
                  </w14:solidFill>
                </w14:textFill>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eastAsiaTheme="minorEastAsia"/>
                <w:color w:val="000000" w:themeColor="text1"/>
                <w:u w:val="none"/>
                <w:vertAlign w:val="baseline"/>
                <w:lang w:val="en-US" w:eastAsia="zh-CN" w:bidi="ar-SA"/>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color w:val="000000" w:themeColor="text1"/>
                <w:sz w:val="15"/>
                <w:szCs w:val="15"/>
                <w:lang w:val="en-US" w:eastAsia="zh-CN" w:bidi="ar-SA"/>
                <w14:textFill>
                  <w14:solidFill>
                    <w14:schemeClr w14:val="tx1"/>
                  </w14:solidFill>
                </w14:textFill>
              </w:rPr>
            </w:pP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i w:val="0"/>
                <w:iCs w:val="0"/>
                <w:color w:val="000000" w:themeColor="text1"/>
                <w:sz w:val="20"/>
                <w:szCs w:val="20"/>
                <w:lang w:eastAsia="ru-RU" w:bidi="ar-SA"/>
                <w14:textFill>
                  <w14:solidFill>
                    <w14:schemeClr w14:val="tx1"/>
                  </w14:solidFill>
                </w14:textFill>
              </w:rPr>
            </w:pPr>
            <w:r>
              <w:rPr>
                <w:rFonts w:hint="default" w:ascii="Times New Roman" w:hAnsi="Times New Roman"/>
                <w:b/>
                <w:bCs/>
                <w:i w:val="0"/>
                <w:iCs w:val="0"/>
                <w:color w:val="000000" w:themeColor="text1"/>
                <w:sz w:val="20"/>
                <w:szCs w:val="20"/>
                <w:lang w:eastAsia="en-US"/>
                <w14:textFill>
                  <w14:solidFill>
                    <w14:schemeClr w14:val="tx1"/>
                  </w14:solidFill>
                </w14:textFill>
              </w:rPr>
              <w:t xml:space="preserve">Total lot </w:t>
            </w:r>
            <w:r>
              <w:rPr>
                <w:rFonts w:hint="default" w:ascii="Times New Roman" w:hAnsi="Times New Roman"/>
                <w:b/>
                <w:bCs/>
                <w:i w:val="0"/>
                <w:iCs w:val="0"/>
                <w:color w:val="000000" w:themeColor="text1"/>
                <w:sz w:val="20"/>
                <w:szCs w:val="20"/>
                <w:lang w:eastAsia="en-US"/>
                <w14:textFill>
                  <w14:solidFill>
                    <w14:schemeClr w14:val="tx1"/>
                  </w14:solidFill>
                </w14:textFill>
              </w:rPr>
              <w:t>2</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lang w:val="en-US" w:eastAsia="ru-RU" w:bidi="ar-SA"/>
                <w14:textFill>
                  <w14:solidFill>
                    <w14:schemeClr w14:val="tx1"/>
                  </w14:solidFill>
                </w14:textFill>
              </w:rPr>
            </w:pPr>
            <w:r>
              <w:rPr>
                <w:rFonts w:hint="default" w:ascii="Times New Roman" w:hAnsi="Times New Roman" w:cs="Times New Roman"/>
                <w:color w:val="000000" w:themeColor="text1"/>
                <w:sz w:val="20"/>
                <w:lang w:eastAsia="en-US" w:bidi="ar-SA"/>
                <w14:textFill>
                  <w14:solidFill>
                    <w14:schemeClr w14:val="tx1"/>
                  </w14:solidFill>
                </w14:textFill>
              </w:rPr>
              <w:t>-</w:t>
            </w:r>
          </w:p>
        </w:tc>
        <w:tc>
          <w:tcPr>
            <w:tcW w:w="9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lang w:val="en-US" w:eastAsia="ro-RO" w:bidi="ar-SA"/>
                <w14:textFill>
                  <w14:solidFill>
                    <w14:schemeClr w14:val="tx1"/>
                  </w14:solidFill>
                </w14:textFill>
              </w:rPr>
            </w:pPr>
            <w:r>
              <w:rPr>
                <w:rFonts w:hint="default" w:ascii="Times New Roman" w:hAnsi="Times New Roman" w:cs="Times New Roman"/>
                <w:color w:val="000000" w:themeColor="text1"/>
                <w:sz w:val="20"/>
                <w:lang w:eastAsia="en-US"/>
                <w14:textFill>
                  <w14:solidFill>
                    <w14:schemeClr w14:val="tx1"/>
                  </w14:solidFill>
                </w14:textFill>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r>
              <w:rPr>
                <w:rFonts w:hint="default" w:ascii="Times New Roman" w:hAnsi="Times New Roman" w:cs="Times New Roman"/>
                <w:b/>
                <w:bCs/>
                <w:color w:val="000000" w:themeColor="text1"/>
                <w:u w:val="none"/>
                <w:vertAlign w:val="baseline"/>
                <w:lang w:eastAsia="zh-CN" w:bidi="ar-SA"/>
                <w14:textFill>
                  <w14:solidFill>
                    <w14:schemeClr w14:val="tx1"/>
                  </w14:solidFill>
                </w14:textFill>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r>
              <w:rPr>
                <w:rFonts w:hint="default" w:ascii="Times New Roman" w:hAnsi="Times New Roman" w:cs="Times New Roman"/>
                <w:b/>
                <w:bCs/>
                <w:color w:val="000000" w:themeColor="text1"/>
                <w:u w:val="none"/>
                <w:vertAlign w:val="baseline"/>
                <w:lang w:eastAsia="zh-CN" w:bidi="ar-SA"/>
                <w14:textFill>
                  <w14:solidFill>
                    <w14:schemeClr w14:val="tx1"/>
                  </w14:solidFill>
                </w14:textFill>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14:textFill>
                  <w14:solidFill>
                    <w14:schemeClr w14:val="tx1"/>
                  </w14:solidFill>
                </w14:textFill>
              </w:rPr>
            </w:pP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color w:val="000000" w:themeColor="text1"/>
                <w:sz w:val="20"/>
                <w:szCs w:val="20"/>
                <w:lang w:eastAsia="en-US"/>
                <w14:textFill>
                  <w14:solidFill>
                    <w14:schemeClr w14:val="tx1"/>
                  </w14:solidFill>
                </w14:textFill>
              </w:rPr>
            </w:pPr>
            <w:r>
              <w:rPr>
                <w:rFonts w:hint="default" w:ascii="Times New Roman" w:hAnsi="Times New Roman"/>
                <w:b/>
                <w:bCs/>
                <w:i w:val="0"/>
                <w:iCs w:val="0"/>
                <w:color w:val="000000" w:themeColor="text1"/>
                <w:sz w:val="20"/>
                <w:szCs w:val="20"/>
                <w:lang w:eastAsia="en-US"/>
                <w14:textFill>
                  <w14:solidFill>
                    <w14:schemeClr w14:val="tx1"/>
                  </w14:solidFill>
                </w14:textFill>
              </w:rPr>
              <w:t>TOTAL</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20"/>
                <w:lang w:eastAsia="en-US" w:bidi="ar-SA"/>
                <w14:textFill>
                  <w14:solidFill>
                    <w14:schemeClr w14:val="tx1"/>
                  </w14:solidFill>
                </w14:textFill>
              </w:rPr>
            </w:pPr>
            <w:r>
              <w:rPr>
                <w:rFonts w:hint="default" w:ascii="Times New Roman" w:hAnsi="Times New Roman" w:cs="Times New Roman"/>
                <w:color w:val="000000" w:themeColor="text1"/>
                <w:sz w:val="20"/>
                <w:lang w:eastAsia="en-US" w:bidi="ar-SA"/>
                <w14:textFill>
                  <w14:solidFill>
                    <w14:schemeClr w14:val="tx1"/>
                  </w14:solidFill>
                </w14:textFill>
              </w:rPr>
              <w:t>-</w:t>
            </w:r>
          </w:p>
        </w:tc>
        <w:tc>
          <w:tcPr>
            <w:tcW w:w="9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20"/>
                <w:lang w:eastAsia="en-US"/>
                <w14:textFill>
                  <w14:solidFill>
                    <w14:schemeClr w14:val="tx1"/>
                  </w14:solidFill>
                </w14:textFill>
              </w:rPr>
            </w:pPr>
            <w:r>
              <w:rPr>
                <w:rFonts w:hint="default" w:ascii="Times New Roman" w:hAnsi="Times New Roman" w:cs="Times New Roman"/>
                <w:color w:val="000000" w:themeColor="text1"/>
                <w:sz w:val="20"/>
                <w:lang w:eastAsia="en-US"/>
                <w14:textFill>
                  <w14:solidFill>
                    <w14:schemeClr w14:val="tx1"/>
                  </w14:solidFill>
                </w14:textFill>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color w:val="000000" w:themeColor="text1"/>
                <w:u w:val="none"/>
                <w:vertAlign w:val="baseline"/>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color w:val="000000" w:themeColor="text1"/>
                <w:u w:val="none"/>
                <w:vertAlign w:val="baseline"/>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eastAsia="zh-CN" w:bidi="ar-SA"/>
                <w14:textFill>
                  <w14:solidFill>
                    <w14:schemeClr w14:val="tx1"/>
                  </w14:solidFill>
                </w14:textFill>
              </w:rPr>
            </w:pPr>
            <w:r>
              <w:rPr>
                <w:rFonts w:hint="default" w:ascii="Times New Roman" w:hAnsi="Times New Roman" w:cs="Times New Roman"/>
                <w:b/>
                <w:bCs/>
                <w:color w:val="000000" w:themeColor="text1"/>
                <w:u w:val="none"/>
                <w:vertAlign w:val="baseline"/>
                <w:lang w:eastAsia="zh-CN" w:bidi="ar-SA"/>
                <w14:textFill>
                  <w14:solidFill>
                    <w14:schemeClr w14:val="tx1"/>
                  </w14:solidFill>
                </w14:textFill>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color w:val="000000" w:themeColor="text1"/>
                <w:u w:val="none"/>
                <w:vertAlign w:val="baseline"/>
                <w:lang w:eastAsia="zh-CN" w:bidi="ar-SA"/>
                <w14:textFill>
                  <w14:solidFill>
                    <w14:schemeClr w14:val="tx1"/>
                  </w14:solidFill>
                </w14:textFill>
              </w:rPr>
            </w:pPr>
            <w:r>
              <w:rPr>
                <w:rFonts w:hint="default" w:ascii="Times New Roman" w:hAnsi="Times New Roman" w:cs="Times New Roman"/>
                <w:b/>
                <w:bCs/>
                <w:color w:val="000000" w:themeColor="text1"/>
                <w:u w:val="none"/>
                <w:vertAlign w:val="baseline"/>
                <w:lang w:eastAsia="zh-CN" w:bidi="ar-SA"/>
                <w14:textFill>
                  <w14:solidFill>
                    <w14:schemeClr w14:val="tx1"/>
                  </w14:solidFill>
                </w14:textFill>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color w:val="000000" w:themeColor="text1"/>
                <w:u w:val="none"/>
                <w:vertAlign w:val="baseline"/>
                <w14:textFill>
                  <w14:solidFill>
                    <w14:schemeClr w14:val="tx1"/>
                  </w14:solidFill>
                </w14:textFill>
              </w:rPr>
            </w:pPr>
          </w:p>
        </w:tc>
      </w:tr>
    </w:tbl>
    <w:p>
      <w:pPr>
        <w:rPr>
          <w:rFonts w:hint="default" w:ascii="Times New Roman" w:hAnsi="Times New Roman" w:cs="Times New Roman"/>
        </w:rPr>
      </w:pPr>
    </w:p>
    <w:p>
      <w:pPr>
        <w:spacing w:line="360" w:lineRule="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p>
    <w:sectPr>
      <w:footerReference r:id="rId3" w:type="default"/>
      <w:pgSz w:w="16838" w:h="11906" w:orient="landscape"/>
      <w:pgMar w:top="567" w:right="567" w:bottom="567" w:left="567"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20"/>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zSVju0AAAAAUB&#10;AAAPAAAAAAAAAAEAIAAAACIAAABkcnMvZG93bnJldi54bWxQSwECFAAUAAAACACHTuJAyi6E/yMC&#10;AAAlBAAADgAAAAAAAAABACAAAAAfAQAAZHJzL2Uyb0RvYy54bWxQSwUGAAAAAAYABgBZAQAAtAUA&#10;AAAA&#10;">
              <v:fill on="f" focussize="0,0"/>
              <v:stroke on="f" weight="0.5pt"/>
              <v:imagedata o:title=""/>
              <o:lock v:ext="edit" aspectratio="f"/>
              <v:textbox inset="0mm,0mm,0mm,0mm" style="mso-fit-shape-to-text:t;">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D6A93B"/>
    <w:multiLevelType w:val="singleLevel"/>
    <w:tmpl w:val="81D6A93B"/>
    <w:lvl w:ilvl="0" w:tentative="0">
      <w:start w:val="1"/>
      <w:numFmt w:val="decimal"/>
      <w:lvlText w:val="%1."/>
      <w:lvlJc w:val="left"/>
      <w:pPr>
        <w:tabs>
          <w:tab w:val="left" w:pos="425"/>
        </w:tabs>
        <w:ind w:left="425" w:leftChars="0" w:hanging="425" w:firstLineChars="0"/>
      </w:pPr>
      <w:rPr>
        <w:rFonts w:hint="default"/>
      </w:rPr>
    </w:lvl>
  </w:abstractNum>
  <w:abstractNum w:abstractNumId="1">
    <w:nsid w:val="D08A7F78"/>
    <w:multiLevelType w:val="singleLevel"/>
    <w:tmpl w:val="D08A7F78"/>
    <w:lvl w:ilvl="0" w:tentative="0">
      <w:start w:val="1"/>
      <w:numFmt w:val="decimal"/>
      <w:lvlText w:val="%1."/>
      <w:lvlJc w:val="left"/>
      <w:pPr>
        <w:tabs>
          <w:tab w:val="left" w:pos="425"/>
        </w:tabs>
        <w:ind w:left="425" w:leftChars="0" w:hanging="425" w:firstLineChars="0"/>
      </w:pPr>
      <w:rPr>
        <w:rFonts w:hint="default"/>
      </w:rPr>
    </w:lvl>
  </w:abstractNum>
  <w:abstractNum w:abstractNumId="2">
    <w:nsid w:val="365887EC"/>
    <w:multiLevelType w:val="singleLevel"/>
    <w:tmpl w:val="365887EC"/>
    <w:lvl w:ilvl="0" w:tentative="0">
      <w:start w:val="1"/>
      <w:numFmt w:val="decimal"/>
      <w:lvlText w:val="%1."/>
      <w:lvlJc w:val="left"/>
      <w:pPr>
        <w:tabs>
          <w:tab w:val="left" w:pos="425"/>
        </w:tabs>
        <w:ind w:left="425" w:leftChars="0" w:hanging="425" w:firstLineChars="0"/>
      </w:pPr>
      <w:rPr>
        <w:rFonts w:hint="default"/>
      </w:rPr>
    </w:lvl>
  </w:abstractNum>
  <w:abstractNum w:abstractNumId="3">
    <w:nsid w:val="6DE3A9C6"/>
    <w:multiLevelType w:val="singleLevel"/>
    <w:tmpl w:val="6DE3A9C6"/>
    <w:lvl w:ilvl="0" w:tentative="0">
      <w:start w:val="1"/>
      <w:numFmt w:val="decimal"/>
      <w:lvlText w:val="%1."/>
      <w:lvlJc w:val="left"/>
      <w:pPr>
        <w:tabs>
          <w:tab w:val="left" w:pos="425"/>
        </w:tabs>
        <w:ind w:left="425" w:leftChars="0" w:hanging="425" w:firstLineChars="0"/>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02C23"/>
    <w:rsid w:val="008A3100"/>
    <w:rsid w:val="00F213D0"/>
    <w:rsid w:val="00F73E22"/>
    <w:rsid w:val="01341857"/>
    <w:rsid w:val="0160637B"/>
    <w:rsid w:val="02462A4F"/>
    <w:rsid w:val="03057D24"/>
    <w:rsid w:val="03962305"/>
    <w:rsid w:val="049834F5"/>
    <w:rsid w:val="04B03BBE"/>
    <w:rsid w:val="04B32944"/>
    <w:rsid w:val="04B576E9"/>
    <w:rsid w:val="04FA0515"/>
    <w:rsid w:val="052F6783"/>
    <w:rsid w:val="06A30084"/>
    <w:rsid w:val="06C16E21"/>
    <w:rsid w:val="06FF2F0B"/>
    <w:rsid w:val="074F1CD3"/>
    <w:rsid w:val="075B04E7"/>
    <w:rsid w:val="0856189A"/>
    <w:rsid w:val="08B253D3"/>
    <w:rsid w:val="08E32BEA"/>
    <w:rsid w:val="095656C1"/>
    <w:rsid w:val="095835E2"/>
    <w:rsid w:val="09781919"/>
    <w:rsid w:val="0A064A00"/>
    <w:rsid w:val="0A1F41F1"/>
    <w:rsid w:val="0AEC39F9"/>
    <w:rsid w:val="0B1A6AC6"/>
    <w:rsid w:val="0BAA5EE2"/>
    <w:rsid w:val="0BCB2282"/>
    <w:rsid w:val="0C722C9C"/>
    <w:rsid w:val="0D26085E"/>
    <w:rsid w:val="0D34791F"/>
    <w:rsid w:val="0D6F4E6C"/>
    <w:rsid w:val="0D7F51EF"/>
    <w:rsid w:val="0D976E5A"/>
    <w:rsid w:val="0DE66214"/>
    <w:rsid w:val="0DFA0062"/>
    <w:rsid w:val="0F845381"/>
    <w:rsid w:val="0F96366E"/>
    <w:rsid w:val="0FE963AA"/>
    <w:rsid w:val="10204305"/>
    <w:rsid w:val="103764A9"/>
    <w:rsid w:val="10425480"/>
    <w:rsid w:val="10467BD0"/>
    <w:rsid w:val="10962649"/>
    <w:rsid w:val="10E36DA6"/>
    <w:rsid w:val="119028A6"/>
    <w:rsid w:val="11A256FB"/>
    <w:rsid w:val="11C71B03"/>
    <w:rsid w:val="11CF269B"/>
    <w:rsid w:val="124A57A9"/>
    <w:rsid w:val="12B44C98"/>
    <w:rsid w:val="12FC2E9E"/>
    <w:rsid w:val="136F4921"/>
    <w:rsid w:val="13AA13D0"/>
    <w:rsid w:val="13AE706D"/>
    <w:rsid w:val="13CB50AE"/>
    <w:rsid w:val="140A5C07"/>
    <w:rsid w:val="142C4DA5"/>
    <w:rsid w:val="145E6879"/>
    <w:rsid w:val="14714E0B"/>
    <w:rsid w:val="148C1946"/>
    <w:rsid w:val="149C2A0B"/>
    <w:rsid w:val="14C31A74"/>
    <w:rsid w:val="15433EAE"/>
    <w:rsid w:val="15690030"/>
    <w:rsid w:val="15CF515F"/>
    <w:rsid w:val="16176152"/>
    <w:rsid w:val="16690ECB"/>
    <w:rsid w:val="16B71ED0"/>
    <w:rsid w:val="16E8230B"/>
    <w:rsid w:val="17566556"/>
    <w:rsid w:val="18294330"/>
    <w:rsid w:val="19050E57"/>
    <w:rsid w:val="190553DB"/>
    <w:rsid w:val="192C06DB"/>
    <w:rsid w:val="194D5101"/>
    <w:rsid w:val="19D246EC"/>
    <w:rsid w:val="1A235F91"/>
    <w:rsid w:val="1AA40A6F"/>
    <w:rsid w:val="1AEB276C"/>
    <w:rsid w:val="1B0A44F5"/>
    <w:rsid w:val="1B717BA4"/>
    <w:rsid w:val="1BB90D09"/>
    <w:rsid w:val="1BCF2EAD"/>
    <w:rsid w:val="1BD23C9F"/>
    <w:rsid w:val="1BD54DB6"/>
    <w:rsid w:val="1BF974FC"/>
    <w:rsid w:val="1C095956"/>
    <w:rsid w:val="1C1C6023"/>
    <w:rsid w:val="1C7162B9"/>
    <w:rsid w:val="1C8708F3"/>
    <w:rsid w:val="1CAF2C3E"/>
    <w:rsid w:val="1CD96BE2"/>
    <w:rsid w:val="1D1F7306"/>
    <w:rsid w:val="1DB03E28"/>
    <w:rsid w:val="1DC53B37"/>
    <w:rsid w:val="1E2A35E1"/>
    <w:rsid w:val="1E475809"/>
    <w:rsid w:val="1E83119C"/>
    <w:rsid w:val="1ED12D01"/>
    <w:rsid w:val="1EEC7A8C"/>
    <w:rsid w:val="1F062428"/>
    <w:rsid w:val="1F807DBA"/>
    <w:rsid w:val="20181907"/>
    <w:rsid w:val="20345E87"/>
    <w:rsid w:val="206D14D0"/>
    <w:rsid w:val="213D1395"/>
    <w:rsid w:val="21A621B6"/>
    <w:rsid w:val="21AD61D1"/>
    <w:rsid w:val="21BC67F2"/>
    <w:rsid w:val="22575BBF"/>
    <w:rsid w:val="22A5472A"/>
    <w:rsid w:val="22BE600E"/>
    <w:rsid w:val="22F351E3"/>
    <w:rsid w:val="233D0DFF"/>
    <w:rsid w:val="235F5B97"/>
    <w:rsid w:val="238734D8"/>
    <w:rsid w:val="244417EA"/>
    <w:rsid w:val="24CC4FDE"/>
    <w:rsid w:val="250D45D9"/>
    <w:rsid w:val="25917193"/>
    <w:rsid w:val="259D1413"/>
    <w:rsid w:val="26665E8F"/>
    <w:rsid w:val="26957341"/>
    <w:rsid w:val="26D364C3"/>
    <w:rsid w:val="274043A6"/>
    <w:rsid w:val="27647C6B"/>
    <w:rsid w:val="277D7855"/>
    <w:rsid w:val="27FE6EAA"/>
    <w:rsid w:val="28921BC8"/>
    <w:rsid w:val="28D72411"/>
    <w:rsid w:val="28DE416E"/>
    <w:rsid w:val="28F306BC"/>
    <w:rsid w:val="28F43F3F"/>
    <w:rsid w:val="295419DA"/>
    <w:rsid w:val="299E0B55"/>
    <w:rsid w:val="2A41096D"/>
    <w:rsid w:val="2A9B7773"/>
    <w:rsid w:val="2AD51ED6"/>
    <w:rsid w:val="2B010DE5"/>
    <w:rsid w:val="2B8A559C"/>
    <w:rsid w:val="2BA128A4"/>
    <w:rsid w:val="2BEC169E"/>
    <w:rsid w:val="2C133ADC"/>
    <w:rsid w:val="2C1D34E2"/>
    <w:rsid w:val="2CDC6DA8"/>
    <w:rsid w:val="2CF2314A"/>
    <w:rsid w:val="2D566D3D"/>
    <w:rsid w:val="2D8B7E46"/>
    <w:rsid w:val="2DCC08AF"/>
    <w:rsid w:val="2E21026D"/>
    <w:rsid w:val="2E79424B"/>
    <w:rsid w:val="2E7C753E"/>
    <w:rsid w:val="2EE338FA"/>
    <w:rsid w:val="2EFB296D"/>
    <w:rsid w:val="2F7964B4"/>
    <w:rsid w:val="2FAB6462"/>
    <w:rsid w:val="2FB51617"/>
    <w:rsid w:val="30976DA2"/>
    <w:rsid w:val="3098299F"/>
    <w:rsid w:val="30DF4C88"/>
    <w:rsid w:val="30F139DA"/>
    <w:rsid w:val="31044BF9"/>
    <w:rsid w:val="319934B1"/>
    <w:rsid w:val="32117518"/>
    <w:rsid w:val="32691F42"/>
    <w:rsid w:val="32A40826"/>
    <w:rsid w:val="32DB0B8E"/>
    <w:rsid w:val="3380750C"/>
    <w:rsid w:val="33DF2DA8"/>
    <w:rsid w:val="34043CC4"/>
    <w:rsid w:val="34386CBA"/>
    <w:rsid w:val="3453761A"/>
    <w:rsid w:val="34C57BA3"/>
    <w:rsid w:val="34D058C0"/>
    <w:rsid w:val="34D348B8"/>
    <w:rsid w:val="35635123"/>
    <w:rsid w:val="35B4714A"/>
    <w:rsid w:val="36202A8B"/>
    <w:rsid w:val="367A5F70"/>
    <w:rsid w:val="36D37FA2"/>
    <w:rsid w:val="371C5779"/>
    <w:rsid w:val="374239A8"/>
    <w:rsid w:val="37AC3D63"/>
    <w:rsid w:val="37E12EB2"/>
    <w:rsid w:val="37F700BB"/>
    <w:rsid w:val="38286CC9"/>
    <w:rsid w:val="38627659"/>
    <w:rsid w:val="38874FCD"/>
    <w:rsid w:val="388B33D1"/>
    <w:rsid w:val="38A21BCA"/>
    <w:rsid w:val="38EF5674"/>
    <w:rsid w:val="3908401F"/>
    <w:rsid w:val="3957406F"/>
    <w:rsid w:val="39902C7F"/>
    <w:rsid w:val="3998008B"/>
    <w:rsid w:val="39AB195F"/>
    <w:rsid w:val="39E9692C"/>
    <w:rsid w:val="3A227FEF"/>
    <w:rsid w:val="3A2E45A5"/>
    <w:rsid w:val="3A564669"/>
    <w:rsid w:val="3ACD651F"/>
    <w:rsid w:val="3B2C03F0"/>
    <w:rsid w:val="3B314929"/>
    <w:rsid w:val="3C7030B7"/>
    <w:rsid w:val="3CD15AA7"/>
    <w:rsid w:val="3CEE333F"/>
    <w:rsid w:val="3D440A32"/>
    <w:rsid w:val="3D7F5473"/>
    <w:rsid w:val="3D98229D"/>
    <w:rsid w:val="3DF53D49"/>
    <w:rsid w:val="3DFA4DBC"/>
    <w:rsid w:val="3DFD24EF"/>
    <w:rsid w:val="3DFF4976"/>
    <w:rsid w:val="3E274987"/>
    <w:rsid w:val="3E3810ED"/>
    <w:rsid w:val="3EDF5891"/>
    <w:rsid w:val="3EEF3E6C"/>
    <w:rsid w:val="3F281FAB"/>
    <w:rsid w:val="3F9D79EB"/>
    <w:rsid w:val="3FA937FE"/>
    <w:rsid w:val="40655236"/>
    <w:rsid w:val="406903B9"/>
    <w:rsid w:val="40DF6FE1"/>
    <w:rsid w:val="41610951"/>
    <w:rsid w:val="422E6A20"/>
    <w:rsid w:val="423F0E1B"/>
    <w:rsid w:val="42F22356"/>
    <w:rsid w:val="42F9758A"/>
    <w:rsid w:val="430B6522"/>
    <w:rsid w:val="432230E1"/>
    <w:rsid w:val="433C115C"/>
    <w:rsid w:val="43EC32A0"/>
    <w:rsid w:val="442A257B"/>
    <w:rsid w:val="442B4CA6"/>
    <w:rsid w:val="446A7138"/>
    <w:rsid w:val="448F2A7E"/>
    <w:rsid w:val="44D212C3"/>
    <w:rsid w:val="458B32BF"/>
    <w:rsid w:val="45A72013"/>
    <w:rsid w:val="45ED64C7"/>
    <w:rsid w:val="460B5A77"/>
    <w:rsid w:val="460C79DA"/>
    <w:rsid w:val="46341E7B"/>
    <w:rsid w:val="4669356C"/>
    <w:rsid w:val="469D2B56"/>
    <w:rsid w:val="46C95B1B"/>
    <w:rsid w:val="48686BDB"/>
    <w:rsid w:val="488112E8"/>
    <w:rsid w:val="48927A1F"/>
    <w:rsid w:val="48D3628A"/>
    <w:rsid w:val="49057076"/>
    <w:rsid w:val="493C0430"/>
    <w:rsid w:val="49991CBB"/>
    <w:rsid w:val="49DB155E"/>
    <w:rsid w:val="4A3459A1"/>
    <w:rsid w:val="4A383A56"/>
    <w:rsid w:val="4A767D9F"/>
    <w:rsid w:val="4A7B35D0"/>
    <w:rsid w:val="4AB873A4"/>
    <w:rsid w:val="4B2B3590"/>
    <w:rsid w:val="4B8F7878"/>
    <w:rsid w:val="4B924B09"/>
    <w:rsid w:val="4C205671"/>
    <w:rsid w:val="4C6C31D0"/>
    <w:rsid w:val="4CF220F9"/>
    <w:rsid w:val="4D06246C"/>
    <w:rsid w:val="4D4E2860"/>
    <w:rsid w:val="4E1B06BB"/>
    <w:rsid w:val="4E4A6F22"/>
    <w:rsid w:val="4E820792"/>
    <w:rsid w:val="4F6D14D3"/>
    <w:rsid w:val="50146E1C"/>
    <w:rsid w:val="502C5217"/>
    <w:rsid w:val="503179CC"/>
    <w:rsid w:val="506121EE"/>
    <w:rsid w:val="508A0B0E"/>
    <w:rsid w:val="51276734"/>
    <w:rsid w:val="515D3A2F"/>
    <w:rsid w:val="51816D85"/>
    <w:rsid w:val="51AC1950"/>
    <w:rsid w:val="51FD0610"/>
    <w:rsid w:val="52085092"/>
    <w:rsid w:val="52272A53"/>
    <w:rsid w:val="5314398B"/>
    <w:rsid w:val="53380017"/>
    <w:rsid w:val="533D68E5"/>
    <w:rsid w:val="537E6888"/>
    <w:rsid w:val="538A03E0"/>
    <w:rsid w:val="539058A9"/>
    <w:rsid w:val="539865BA"/>
    <w:rsid w:val="539F323A"/>
    <w:rsid w:val="540839FD"/>
    <w:rsid w:val="542D135B"/>
    <w:rsid w:val="544F4A67"/>
    <w:rsid w:val="54DF2FCC"/>
    <w:rsid w:val="55280E42"/>
    <w:rsid w:val="554C7D7D"/>
    <w:rsid w:val="555A7093"/>
    <w:rsid w:val="558939DC"/>
    <w:rsid w:val="5617495D"/>
    <w:rsid w:val="56DA49C3"/>
    <w:rsid w:val="56FA0D19"/>
    <w:rsid w:val="56FE6A8B"/>
    <w:rsid w:val="57500440"/>
    <w:rsid w:val="577F10CA"/>
    <w:rsid w:val="578F06BB"/>
    <w:rsid w:val="579F77F4"/>
    <w:rsid w:val="57AC65E2"/>
    <w:rsid w:val="58510B4E"/>
    <w:rsid w:val="58BE2FA8"/>
    <w:rsid w:val="58D6288E"/>
    <w:rsid w:val="59051627"/>
    <w:rsid w:val="5A82561D"/>
    <w:rsid w:val="5AC72C37"/>
    <w:rsid w:val="5AE51DB9"/>
    <w:rsid w:val="5B0E1573"/>
    <w:rsid w:val="5B5176DD"/>
    <w:rsid w:val="5B8816A9"/>
    <w:rsid w:val="5BA22564"/>
    <w:rsid w:val="5BD42B40"/>
    <w:rsid w:val="5BEC315F"/>
    <w:rsid w:val="5C341831"/>
    <w:rsid w:val="5CF43F2D"/>
    <w:rsid w:val="5CF71093"/>
    <w:rsid w:val="5D04560C"/>
    <w:rsid w:val="5D5B5499"/>
    <w:rsid w:val="5D782062"/>
    <w:rsid w:val="5D9670B3"/>
    <w:rsid w:val="5E1636E9"/>
    <w:rsid w:val="5E4713DE"/>
    <w:rsid w:val="5E4E14BA"/>
    <w:rsid w:val="5E940365"/>
    <w:rsid w:val="5EDD34B2"/>
    <w:rsid w:val="5F060DF3"/>
    <w:rsid w:val="5F107B83"/>
    <w:rsid w:val="5F291A68"/>
    <w:rsid w:val="5FCE083C"/>
    <w:rsid w:val="6091637B"/>
    <w:rsid w:val="60BA7FC0"/>
    <w:rsid w:val="610A2A1F"/>
    <w:rsid w:val="615F7CCE"/>
    <w:rsid w:val="61D80EC5"/>
    <w:rsid w:val="61F3273F"/>
    <w:rsid w:val="62D34565"/>
    <w:rsid w:val="62E27E4A"/>
    <w:rsid w:val="630F7A14"/>
    <w:rsid w:val="63A16619"/>
    <w:rsid w:val="63EF0380"/>
    <w:rsid w:val="63F91D0A"/>
    <w:rsid w:val="643A2FAC"/>
    <w:rsid w:val="64A123A9"/>
    <w:rsid w:val="650667B9"/>
    <w:rsid w:val="655E1B91"/>
    <w:rsid w:val="656776D4"/>
    <w:rsid w:val="657E520F"/>
    <w:rsid w:val="659F31C5"/>
    <w:rsid w:val="65A45331"/>
    <w:rsid w:val="66420389"/>
    <w:rsid w:val="668F7A22"/>
    <w:rsid w:val="67F81C99"/>
    <w:rsid w:val="681B32D5"/>
    <w:rsid w:val="688E4077"/>
    <w:rsid w:val="68976726"/>
    <w:rsid w:val="68E57E27"/>
    <w:rsid w:val="6920240C"/>
    <w:rsid w:val="693365A4"/>
    <w:rsid w:val="69AC0C58"/>
    <w:rsid w:val="6AF75CE4"/>
    <w:rsid w:val="6B0B538D"/>
    <w:rsid w:val="6B52785D"/>
    <w:rsid w:val="6B67048D"/>
    <w:rsid w:val="6B89226B"/>
    <w:rsid w:val="6C3413BA"/>
    <w:rsid w:val="6C827066"/>
    <w:rsid w:val="6CE60925"/>
    <w:rsid w:val="6DD726D7"/>
    <w:rsid w:val="6DE34AE4"/>
    <w:rsid w:val="6E3C219F"/>
    <w:rsid w:val="6ECC6BD6"/>
    <w:rsid w:val="6ED81B6E"/>
    <w:rsid w:val="6EE51CFE"/>
    <w:rsid w:val="6F4938C2"/>
    <w:rsid w:val="6F6C0CDE"/>
    <w:rsid w:val="6F935C45"/>
    <w:rsid w:val="6FD3369D"/>
    <w:rsid w:val="70022762"/>
    <w:rsid w:val="702F3C4D"/>
    <w:rsid w:val="70515D4C"/>
    <w:rsid w:val="709829C9"/>
    <w:rsid w:val="709D6E51"/>
    <w:rsid w:val="70FE5BF1"/>
    <w:rsid w:val="71076500"/>
    <w:rsid w:val="71D21478"/>
    <w:rsid w:val="71D4494F"/>
    <w:rsid w:val="71F0298C"/>
    <w:rsid w:val="71F22B08"/>
    <w:rsid w:val="72417502"/>
    <w:rsid w:val="72632F3A"/>
    <w:rsid w:val="727B22EE"/>
    <w:rsid w:val="72AA69C7"/>
    <w:rsid w:val="72AC1CC9"/>
    <w:rsid w:val="72E36382"/>
    <w:rsid w:val="73100AD4"/>
    <w:rsid w:val="733D60BC"/>
    <w:rsid w:val="739475D4"/>
    <w:rsid w:val="739E1612"/>
    <w:rsid w:val="73DD005B"/>
    <w:rsid w:val="743608B6"/>
    <w:rsid w:val="7477213F"/>
    <w:rsid w:val="74BD341A"/>
    <w:rsid w:val="74CB2F3E"/>
    <w:rsid w:val="74D74BBC"/>
    <w:rsid w:val="752949C6"/>
    <w:rsid w:val="75660FA8"/>
    <w:rsid w:val="75662603"/>
    <w:rsid w:val="756D0933"/>
    <w:rsid w:val="75CD2DB2"/>
    <w:rsid w:val="75E33D48"/>
    <w:rsid w:val="768F6393"/>
    <w:rsid w:val="76B10AC5"/>
    <w:rsid w:val="77207080"/>
    <w:rsid w:val="780C51F7"/>
    <w:rsid w:val="780D04DE"/>
    <w:rsid w:val="78585568"/>
    <w:rsid w:val="78667397"/>
    <w:rsid w:val="78F86B66"/>
    <w:rsid w:val="791068BD"/>
    <w:rsid w:val="79252C4D"/>
    <w:rsid w:val="79CE426D"/>
    <w:rsid w:val="7AE377C7"/>
    <w:rsid w:val="7B0B2BDE"/>
    <w:rsid w:val="7B5909EE"/>
    <w:rsid w:val="7B6B5529"/>
    <w:rsid w:val="7B974C50"/>
    <w:rsid w:val="7BF628C7"/>
    <w:rsid w:val="7C250887"/>
    <w:rsid w:val="7C39225B"/>
    <w:rsid w:val="7C4F1F14"/>
    <w:rsid w:val="7CE76266"/>
    <w:rsid w:val="7E0807F4"/>
    <w:rsid w:val="7E7365A2"/>
    <w:rsid w:val="7E806AE6"/>
    <w:rsid w:val="7FAE7080"/>
    <w:rsid w:val="7FF937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tabs>
        <w:tab w:val="center" w:pos="4153"/>
        <w:tab w:val="right" w:pos="8306"/>
      </w:tabs>
    </w:pPr>
  </w:style>
  <w:style w:type="paragraph" w:styleId="3">
    <w:name w:val="footer"/>
    <w:basedOn w:val="1"/>
    <w:qFormat/>
    <w:uiPriority w:val="0"/>
    <w:pPr>
      <w:tabs>
        <w:tab w:val="center" w:pos="4153"/>
        <w:tab w:val="right" w:pos="8306"/>
      </w:tabs>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font21"/>
    <w:qFormat/>
    <w:uiPriority w:val="0"/>
    <w:rPr>
      <w:rFonts w:hint="default" w:ascii="Times New Roman" w:hAnsi="Times New Roman" w:cs="Times New Roman"/>
      <w:color w:val="000000"/>
      <w:u w:val="none"/>
    </w:rPr>
  </w:style>
  <w:style w:type="character" w:customStyle="1" w:styleId="8">
    <w:name w:val="font01"/>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0</Words>
  <Characters>0</Characters>
  <Lines>0</Lines>
  <Paragraphs>0</Paragraphs>
  <TotalTime>0</TotalTime>
  <ScaleCrop>false</ScaleCrop>
  <LinksUpToDate>false</LinksUpToDate>
  <CharactersWithSpaces>0</CharactersWithSpaces>
  <Application>WPS Office_11.2.0.9327_F1E327BC-269C-435d-A152-05C5408002CA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2022-11-03T10:30:00Z</dcterms:created>
  <dc:creator>A_Basistii</dc:creator>
  <cp:lastModifiedBy>A_Basistii</cp:lastModifiedBy>
  <dcterms:modified xsi:type="dcterms:W3CDTF">2026-06-22T07:20:17Z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1049-11.2.0.9327</vt:lpwstr>
  </property>
  <property fmtid="{D5CDD505-2E9C-101B-9397-08002B2CF9AE}" pid="3" name="ICV">
    <vt:lpwstr>937674BB07F2438AABECF06612E9DF79_13</vt:lpwstr>
  </property>
</Properties>
</file>