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sz w:val="20"/>
          <w:szCs w:val="20"/>
          <w:lang w:eastAsia="ru-RU"/>
        </w:rPr>
      </w:pPr>
      <w:r>
        <w:rPr>
          <w:sz w:val="20"/>
          <w:szCs w:val="20"/>
          <w:lang w:eastAsia="ru-RU"/>
        </w:rPr>
        <w:t xml:space="preserve">Anexa nr.1 </w:t>
      </w:r>
      <w:r>
        <w:rPr>
          <w:sz w:val="20"/>
          <w:szCs w:val="20"/>
          <w:lang w:eastAsia="ru-RU"/>
        </w:rPr>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la Ordinul ministrului finanţelor </w:t>
      </w:r>
      <w:r>
        <w:rPr>
          <w:sz w:val="20"/>
          <w:szCs w:val="20"/>
          <w:lang w:eastAsia="ru-RU"/>
        </w:rPr>
      </w:r>
      <w:r>
        <w:rPr>
          <w:sz w:val="20"/>
          <w:szCs w:val="20"/>
          <w:lang w:eastAsia="ru-RU"/>
        </w:rPr>
      </w:r>
    </w:p>
    <w:p>
      <w:pPr>
        <w:pBdr/>
        <w:tabs>
          <w:tab w:val="left" w:leader="none" w:pos="5103"/>
          <w:tab w:val="left" w:leader="none" w:pos="10348"/>
        </w:tabs>
        <w:spacing/>
        <w:ind/>
        <w:jc w:val="right"/>
        <w:rPr>
          <w:sz w:val="20"/>
          <w:szCs w:val="20"/>
          <w:lang w:eastAsia="ru-RU"/>
        </w:rPr>
      </w:pPr>
      <w:r>
        <w:rPr>
          <w:sz w:val="20"/>
          <w:szCs w:val="20"/>
          <w:lang w:eastAsia="ru-RU"/>
        </w:rPr>
        <w:t xml:space="preserve">                                               nr.   115   din 15.09.2021</w:t>
      </w:r>
      <w:r>
        <w:rPr>
          <w:sz w:val="20"/>
          <w:szCs w:val="20"/>
          <w:lang w:eastAsia="ru-RU"/>
        </w:rPr>
      </w:r>
      <w:r>
        <w:rPr>
          <w:sz w:val="20"/>
          <w:szCs w:val="20"/>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pPr>
      <w:r/>
      <w:r/>
    </w:p>
    <w:p>
      <w:pPr>
        <w:pStyle w:val="832"/>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833"/>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w:t>
      </w:r>
      <w:r>
        <w:rPr>
          <w:lang w:val="it-IT"/>
        </w:rPr>
        <w:t xml:space="preserve">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r/>
      <w:bookmarkEnd w:id="2"/>
      <w:r>
        <w:rPr>
          <w:color w:val="000000" w:themeColor="text1"/>
          <w:lang w:val="it-IT"/>
        </w:rPr>
      </w:r>
      <w:r>
        <w:rPr>
          <w:color w:val="000000" w:themeColor="text1"/>
          <w:lang w:val="it-IT"/>
        </w:rP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 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 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 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 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 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 Anunț privind modificarea contractului de achiziții publice/acordului-cadru (anexa 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 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 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 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 Garanţia de bună execuţie (anexa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 Informaţii privind asocierea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 Declarație privind lista principalelor livrări/prestări efectuate în ultimii 3 ani de activitate (anexa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 Declaraţie privind dotările specifice, utilajul şi echipamentul necesar pentru îndeplinirea corespunzătoare a contractului (anexa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 Declaraţie privind personalul de specialitate propus pentru implementarea contractului (anexa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 Lista subcontractanților şi partea/părţile din contract care sunt îndeplinite de aceştia (anexa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 Angajament terţ susţinător financiar (anexa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 Declaraţie terţ susţinător financiar (anexa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 Angajament privind susţinerea tehnică și profesională a ofertantului/grupului de operatori economici (anexa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 Declaraţie terţ susţinător tehnic (anexa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 Declaraţie terţ susţinător profesional (anexa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 Caiet de sarcini (anexa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 Specificaţii tehnice (anexa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 Specificaţii de preț (anexa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 Contract – model (anexa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 Acord adițional (anexa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 Acord-cadru (anexa nr. 26).</w:t>
      </w:r>
      <w:bookmarkEnd w:id="3"/>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r>
        <w:rPr>
          <w:color w:val="000000" w:themeColor="text1"/>
        </w:rPr>
      </w:r>
      <w:r>
        <w:rPr>
          <w:color w:val="000000" w:themeColor="text1"/>
        </w:rP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Detaliile privind cantitățile de bunuri și servicii, specificațiile tehnice, standardele și resursele sunt prezentate în caietul de sarcini (anexa nr. 21). </w:t>
      </w:r>
      <w:r>
        <w:rPr>
          <w:lang w:val="it-IT"/>
        </w:rPr>
      </w:r>
      <w:r>
        <w:rPr>
          <w:lang w:val="it-IT"/>
        </w:rP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r>
        <w:rPr>
          <w:lang w:val="ro-RO"/>
        </w:rPr>
      </w:r>
      <w:r>
        <w:rPr>
          <w:lang w:val="ro-RO"/>
        </w:rP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de bunuri și servicii se realizează în conformitate cu prevederile </w:t>
      </w:r>
      <w:r>
        <w:t xml:space="preserve">Legii nr. 131/2015 privind achizițiile publice.</w:t>
      </w:r>
      <w:r>
        <w:rPr>
          <w:lang w:val="it-IT"/>
        </w:rPr>
      </w:r>
      <w:r>
        <w:rPr>
          <w:lang w:val="it-IT"/>
        </w:rPr>
      </w:r>
    </w:p>
    <w:p>
      <w:pPr>
        <w:pStyle w:val="1000"/>
        <w:numPr>
          <w:ilvl w:val="0"/>
          <w:numId w:val="6"/>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 xml:space="preserve">desfășoară</w:t>
      </w:r>
      <w:bookmarkEnd w:id="4"/>
      <w:r>
        <w:rPr>
          <w:lang w:val="it-IT"/>
        </w:rPr>
        <w:t xml:space="preserve"> conform </w:t>
      </w:r>
      <w:r>
        <w:rPr>
          <w:color w:val="000000" w:themeColor="text1"/>
          <w:lang w:val="it-IT"/>
        </w:rPr>
        <w:t xml:space="preserve">Regulamentului cu privire la acordul-cadru ca modalitate specială de atribuire a contractelor de achiziții publice, aprobat prin Hotărârea Guvernului nr. 694/2020.</w:t>
      </w:r>
      <w:r>
        <w:rPr>
          <w:color w:val="000000" w:themeColor="text1"/>
          <w:lang w:val="it-IT"/>
        </w:rPr>
      </w:r>
      <w:r>
        <w:rPr>
          <w:color w:val="000000" w:themeColor="text1"/>
          <w:lang w:val="it-IT"/>
        </w:rPr>
      </w:r>
    </w:p>
    <w:p>
      <w:pPr>
        <w:pStyle w:val="1000"/>
        <w:numPr>
          <w:ilvl w:val="0"/>
          <w:numId w:val="6"/>
        </w:numPr>
        <w:pBdr/>
        <w:tabs>
          <w:tab w:val="left" w:leader="none" w:pos="-284"/>
          <w:tab w:val="left" w:leader="none" w:pos="196"/>
          <w:tab w:val="left" w:leader="none" w:pos="426"/>
        </w:tabs>
        <w:spacing w:after="120"/>
        <w:ind w:firstLine="284" w:left="-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r>
        <w:rPr>
          <w:lang w:val="it-IT"/>
        </w:rPr>
      </w:r>
      <w:r>
        <w:rPr>
          <w:lang w:val="it-IT"/>
        </w:rPr>
      </w:r>
    </w:p>
    <w:p>
      <w:pPr>
        <w:pStyle w:val="1000"/>
        <w:numPr>
          <w:ilvl w:val="0"/>
          <w:numId w:val="6"/>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r>
        <w:rPr>
          <w:lang w:val="it-IT"/>
        </w:rPr>
      </w:r>
      <w:r>
        <w:rPr>
          <w:lang w:val="it-IT"/>
        </w:rPr>
      </w:r>
    </w:p>
    <w:p>
      <w:pPr>
        <w:pStyle w:val="100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Ofertantul suportă toate costurile asociate elaborării și prezentării ofertei sale, precum și documentelor care o însoțesc.</w:t>
      </w:r>
      <w:r>
        <w:rPr>
          <w:lang w:val="it-IT"/>
        </w:rPr>
      </w:r>
      <w:r>
        <w:rPr>
          <w:lang w:val="it-IT"/>
        </w:rPr>
      </w:r>
    </w:p>
    <w:p>
      <w:pPr>
        <w:pStyle w:val="100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w:t>
      </w:r>
      <w:r>
        <w:rPr>
          <w:lang w:val="it-IT"/>
        </w:rPr>
        <w:t xml:space="preserve">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 xml:space="preserve">specificată în documentaţia de atribuire, cu condiţia ca acestea să fie însoţite de o traducere exactă a fragmentelor relevante în limba română.</w:t>
      </w:r>
      <w:r>
        <w:rPr>
          <w:lang w:val="it-IT"/>
        </w:rPr>
      </w:r>
      <w:r>
        <w:rPr>
          <w:lang w:val="it-IT"/>
        </w:rPr>
      </w:r>
    </w:p>
    <w:p>
      <w:pPr>
        <w:pStyle w:val="100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r/>
      <w:bookmarkStart w:id="6" w:name="_Toc392180134"/>
      <w:r/>
      <w:bookmarkStart w:id="7" w:name="_Toc449539024"/>
      <w:r>
        <w:rPr>
          <w:lang w:val="it-IT"/>
        </w:rPr>
      </w:r>
      <w:r>
        <w:rPr>
          <w:lang w:val="it-IT"/>
        </w:rPr>
      </w:r>
    </w:p>
    <w:p>
      <w:pPr>
        <w:pStyle w:val="1000"/>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și înaintează solicitarea către Agenția Achiziții Publice privind includerea lui în Lista de interdicție, conform prevederilor</w:t>
      </w:r>
      <w:r>
        <w:t xml:space="preserve"> </w:t>
      </w:r>
      <w:r>
        <w:rPr>
          <w:lang w:val="it-IT"/>
        </w:rPr>
        <w:t xml:space="preserve">Hotărârii Guvernului nr. 1420/2016 pentru aprobarea Regulamentul privind evidenţa Listei operatorilor economici calificaţi;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1000"/>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 42 al Legii nr. 131/2015 privind achiziţiile publice</w:t>
      </w:r>
      <w:bookmarkEnd w:id="8"/>
      <w:r/>
      <w:bookmarkEnd w:id="9"/>
      <w:r/>
      <w:bookmarkEnd w:id="10"/>
      <w:r>
        <w:rPr>
          <w:lang w:val="it-IT"/>
        </w:rPr>
        <w:t xml:space="preserve">.</w:t>
      </w:r>
      <w:r>
        <w:rPr>
          <w:lang w:val="it-IT"/>
        </w:rPr>
      </w:r>
      <w:r>
        <w:rPr>
          <w:lang w:val="it-IT"/>
        </w:rPr>
      </w:r>
    </w:p>
    <w:p>
      <w:pPr>
        <w:pStyle w:val="1000"/>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 următoarele acţiuni în cadrul procedurii de achiziție:</w:t>
      </w:r>
      <w:bookmarkStart w:id="11" w:name="_Toc392179965"/>
      <w:r/>
      <w:bookmarkStart w:id="12" w:name="_Toc392180136"/>
      <w:r/>
      <w:bookmarkStart w:id="13" w:name="_Toc449539026"/>
      <w:r>
        <w:rPr>
          <w:lang w:val="it-IT"/>
        </w:rPr>
      </w:r>
      <w:r>
        <w:rPr>
          <w:lang w:val="it-IT"/>
        </w:rPr>
      </w:r>
    </w:p>
    <w:p>
      <w:pPr>
        <w:pStyle w:val="100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privilegii, sau avantaje sub orice formă, pentru a influența 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100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100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100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1000"/>
        <w:numPr>
          <w:ilvl w:val="0"/>
          <w:numId w:val="8"/>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w:t>
      </w:r>
      <w:r>
        <w:rPr>
          <w:color w:val="000000" w:themeColor="text1"/>
          <w:lang w:val="it-IT"/>
        </w:rPr>
        <w:t xml:space="preserve">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r/>
      <w:bookmarkEnd w:id="24"/>
      <w:r/>
      <w:bookmarkEnd w:id="25"/>
      <w:r>
        <w:rPr>
          <w:color w:val="000000" w:themeColor="text1"/>
          <w:lang w:val="it-IT"/>
        </w:rPr>
      </w:r>
      <w:r>
        <w:rPr>
          <w:color w:val="000000" w:themeColor="text1"/>
          <w:lang w:val="it-IT"/>
        </w:rPr>
      </w:r>
    </w:p>
    <w:p>
      <w:pPr>
        <w:pStyle w:val="83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1000"/>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14. </w:t>
      </w:r>
      <w:r>
        <w:rPr>
          <w:lang w:val="ro-RO"/>
        </w:rPr>
        <w:t xml:space="preserve">Persoana fizică sau juridică car</w:t>
      </w:r>
      <w:r>
        <w:rPr>
          <w:lang w:val="ro-RO"/>
        </w:rPr>
        <w:t xml:space="preserve">e a participat la întocmirea documentației de atribuire are dreptul, în calitate de operator economic, de a fi ofertant, ofertant asociat sau subcontractant, dar numai în cazul în care implicarea sa în elaborarea documentației de atribuire nu este de natur</w:t>
      </w:r>
      <w:r>
        <w:rPr>
          <w:lang w:val="ro-RO"/>
        </w:rPr>
        <w:t xml:space="preserve">ă să distorsioneze concurența. Persoana fizică sau juridică care participă direct în procesul de verificare şi evaluare a ofertelor nu are dreptul de a fi ofertant, ofertant asociat sau subcontractant, sub sancțiunea excluderii din  procedura de atribuire.</w:t>
      </w:r>
      <w:r>
        <w:rPr>
          <w:lang w:val="ro-RO"/>
        </w:rPr>
      </w:r>
      <w:r>
        <w:rPr>
          <w:lang w:val="ro-RO"/>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DUAE-ul separat. Asocierea trebuie prezentată în formă scrisă</w:t>
      </w:r>
      <w:r>
        <w:t xml:space="preserve"> </w:t>
      </w:r>
      <w:r>
        <w:rPr>
          <w:lang w:val="ro-RO"/>
        </w:rPr>
        <w:t xml:space="preserve">la solicitarea autorității contractante, odată ce a fost declarat în DUAE.</w:t>
      </w:r>
      <w:r>
        <w:rPr>
          <w:lang w:val="ro-RO"/>
        </w:rPr>
      </w:r>
      <w:r>
        <w:rPr>
          <w:lang w:val="ro-RO"/>
        </w:rPr>
      </w:r>
    </w:p>
    <w:p>
      <w:pPr>
        <w:pStyle w:val="1000"/>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16. </w:t>
      </w:r>
      <w:r>
        <w:rPr>
          <w:lang w:val="it-IT"/>
        </w:rPr>
        <w:t xml:space="preserve">Filialele agenților economici, cu personalitate juridică şi înregistrate în conformitate cu prevederile pct. 29, au dreptul de a part</w:t>
      </w:r>
      <w:r>
        <w:rPr>
          <w:lang w:val="it-IT"/>
        </w:rPr>
        <w:t xml:space="preserve">icipa la procedura de atribuire a contractului de achiziție publică de bunuri și servicii în nume propriu și, în acest scop, trebuie să prezinte documente care dovedesc eligibilitatea, înregistrarea, capacitatea tehnică și capacitatea economico-financiară.</w:t>
      </w:r>
      <w:r>
        <w:rPr>
          <w:lang w:val="it-IT"/>
        </w:rPr>
      </w:r>
      <w:r>
        <w:rPr>
          <w:lang w:val="it-IT"/>
        </w:rPr>
      </w:r>
    </w:p>
    <w:p>
      <w:pPr>
        <w:pStyle w:val="1000"/>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17.</w:t>
      </w:r>
      <w:r>
        <w:rPr>
          <w:lang w:val="it-IT"/>
        </w:rPr>
        <w:t xml:space="preserve"> Sucursalele au dreptul de a participa la procedura de atribuire a contractului de achiziţie publică de bunuri și servicii şi de a încheia con</w:t>
      </w:r>
      <w:r>
        <w:rPr>
          <w:lang w:val="it-IT"/>
        </w:rPr>
        <w:t xml:space="preserve">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r>
      <w:r>
        <w:rPr>
          <w:lang w:val="it-IT"/>
        </w:rPr>
      </w:r>
    </w:p>
    <w:p>
      <w:pPr>
        <w:pStyle w:val="1000"/>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18</w:t>
      </w:r>
      <w:r>
        <w:rPr>
          <w:b/>
          <w:lang w:val="ro-RO"/>
        </w:rPr>
        <w:t xml:space="preserve">. </w:t>
      </w:r>
      <w:r>
        <w:rPr>
          <w:color w:val="000000" w:themeColor="text1"/>
          <w:lang w:val="it-IT"/>
        </w:rPr>
        <w:t xml:space="preserve">Pentru confirmarea datelor de calificare în cadrul procedurii de achiziții p</w:t>
      </w:r>
      <w:r>
        <w:rPr>
          <w:color w:val="000000" w:themeColor="text1"/>
          <w:lang w:val="it-IT"/>
        </w:rPr>
        <w:t xml:space="preserve">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este temei de descalificare de la procedura de achiziție publică.</w:t>
      </w:r>
      <w:r>
        <w:rPr>
          <w:color w:val="000000" w:themeColor="text1"/>
        </w:rPr>
      </w:r>
      <w:r>
        <w:rPr>
          <w:color w:val="000000" w:themeColor="text1"/>
        </w:rPr>
      </w:r>
    </w:p>
    <w:p>
      <w:pPr>
        <w:pStyle w:val="1000"/>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1000"/>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20.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 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1000"/>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1000"/>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1000"/>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1000"/>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1000"/>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21. </w:t>
      </w:r>
      <w:r>
        <w:rPr>
          <w:lang w:val="ro-RO"/>
        </w:rPr>
        <w:t xml:space="preserve">Pentru constatarea datelor de calificar</w:t>
      </w:r>
      <w:r>
        <w:rPr>
          <w:lang w:val="ro-RO"/>
        </w:rPr>
        <w:t xml:space="preserve">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r>
        <w:rPr>
          <w:lang w:val="ro-RO"/>
        </w:rPr>
      </w:r>
      <w:r>
        <w:rPr>
          <w:lang w:val="ro-RO"/>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22</w:t>
      </w:r>
      <w:r>
        <w:rPr>
          <w:lang w:val="it-IT" w:eastAsia="ro-RO"/>
        </w:rPr>
        <w:t xml:space="preserve">. 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w:t>
      </w:r>
      <w:r>
        <w:t xml:space="preserve"> </w:t>
      </w:r>
      <w:r>
        <w:rPr>
          <w:lang w:val="it-IT"/>
        </w:rPr>
        <w:t xml:space="preserve">prevăzute la art. 19 alin. (2) şi alin. (3) și art. 16 alin. (6) al Legii nr. 131/2015 privind achizițiile publice.</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24.</w:t>
      </w:r>
      <w:r>
        <w:rPr>
          <w:lang w:val="it-IT"/>
        </w:rPr>
        <w:t xml:space="preserve"> Orice ofertant/candidat care se află în una din situațiile menționate la pc</w:t>
      </w:r>
      <w:r>
        <w:rPr>
          <w:lang w:val="it-IT"/>
        </w:rPr>
        <w:t xml:space="preserve">t. 22 și pct. 23 furnizează dovezi care să arate că măsurile luate de el sunt suficiente pentru a demonstra fiabilitatea și credibilitatea sa, în pofida existenței unui motiv de excludere. Dacă autoritatea contractantă consideră astfel de dovezi suficiente</w:t>
      </w:r>
      <w:r>
        <w:rPr>
          <w:lang w:val="it-IT"/>
        </w:rP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25. </w:t>
      </w:r>
      <w:r>
        <w:rPr>
          <w:lang w:val="it-IT"/>
        </w:rPr>
        <w:t xml:space="preserve">Autoritatea contractantă extrage informaţia necesară pentru constatarea existenţei sau inexistenţei circumstanţelor menționate la pct. 22 și pct. 23 în bazele de date disponibile ale autorităţilor publice sau ale pă</w:t>
      </w:r>
      <w:r>
        <w:rPr>
          <w:lang w:val="it-IT"/>
        </w:rPr>
        <w:t xml:space="preserve">rţilor terţe. Dacă acest lucru nu este posibil, autoritatea contractantă are obligaţia de a accepta ca fiind suficient şi relevant pentru demonstrarea faptului că ofertantul/candidatul nu se încadrează în una dintre situaţiile prevăzute la pct. 22 și pct. </w:t>
      </w:r>
      <w:r>
        <w:rPr>
          <w:lang w:val="it-IT"/>
        </w:rPr>
        <w:t xml:space="preserve">23 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26. </w:t>
      </w:r>
      <w:r>
        <w:rPr>
          <w:lang w:val="it-IT"/>
        </w:rPr>
        <w:t xml:space="preserve">În ceea ce privesc referințele de la pct. 23,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27. </w:t>
      </w:r>
      <w:r>
        <w:rPr>
          <w:lang w:val="it-IT"/>
        </w:rPr>
        <w:t xml:space="preserve">În cazul în care în ţara de origine sau în ţara în care este stabilit ofert</w:t>
      </w:r>
      <w:r>
        <w:rPr>
          <w:lang w:val="it-IT"/>
        </w:rPr>
        <w:t xml:space="preserve">antul/candidatul nu se emit documente de natura celor prevăzute la pct. 22 sau respectivele documente nu vizează toate situaţiile referitoare de la pct. 23, autoritatea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28. </w:t>
      </w:r>
      <w:r>
        <w:rPr>
          <w:lang w:val="it-IT"/>
        </w:rPr>
        <w:t xml:space="preserve">Autoritatea contractantă evaluează măsurile întreprinse de către operatorii e</w:t>
      </w:r>
      <w:r>
        <w:rPr>
          <w:lang w:val="it-IT"/>
        </w:rPr>
        <w:t xml:space="preserve">conomici ținînd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 </w:t>
      </w:r>
      <w:r>
        <w:rPr>
          <w:lang w:val="it-IT"/>
        </w:rPr>
        <w:t xml:space="preserve">Autoritatea contractantă solicită oricărui ofertant să pr</w:t>
      </w:r>
      <w:r>
        <w:rPr>
          <w:lang w:val="it-IT"/>
        </w:rPr>
        <w:t xml:space="preserve">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r/>
      <w:bookmarkStart w:id="29" w:name="_Toc449539036"/>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30. </w:t>
      </w:r>
      <w:r>
        <w:rPr>
          <w:color w:val="000000" w:themeColor="text1"/>
          <w:lang w:val="it-IT"/>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rPr>
          <w:color w:val="ff0000"/>
          <w:lang w:val="it-IT"/>
        </w:rPr>
      </w:r>
      <w:r>
        <w:rPr>
          <w:color w:val="ff0000"/>
          <w:lang w:val="it-IT"/>
        </w:rPr>
      </w:r>
    </w:p>
    <w:p>
      <w:pPr>
        <w:pStyle w:val="100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 realizarea unei cifre medii anuale de afaceri în ultimii 3 ani egală sau mai mare decât suma stabilită în pct. 16 din anexa nr. 2,</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r>
      <w:r>
        <w:rPr>
          <w:lang w:val="it-IT"/>
        </w:rPr>
      </w:r>
    </w:p>
    <w:p>
      <w:pPr>
        <w:pStyle w:val="100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 declarații bancare corespunzătoare sau, după caz, dovezi privind asigurarea riscului profesional;</w:t>
      </w:r>
      <w:r>
        <w:rPr>
          <w:lang w:val="it-IT"/>
        </w:rPr>
      </w:r>
      <w:r>
        <w:rPr>
          <w:lang w:val="it-IT"/>
        </w:rPr>
      </w:r>
    </w:p>
    <w:p>
      <w:pPr>
        <w:pStyle w:val="1000"/>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 situația financiară pentru perioada de gestiune anterioară, avizat şi înregistrat de organele competente, și orice alte documente legale edificatoare prin care ofertantul își poate dovedi capacitatea economico-financiară.</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31. </w:t>
      </w:r>
      <w:r>
        <w:rPr>
          <w:lang w:val="it-IT"/>
        </w:rPr>
        <w:t xml:space="preserve">Atunci când un contract este împărțit pe loturi, indicele cifrei de afaceri se aplică pentru fiecare lot individual. Cu toate</w:t>
      </w:r>
      <w:r>
        <w:rPr>
          <w:lang w:val="it-IT"/>
        </w:rPr>
        <w:t xml:space="preserv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100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32. </w:t>
      </w:r>
      <w:r>
        <w:rPr>
          <w:bCs/>
          <w:lang w:val="it-IT"/>
        </w:rPr>
        <w:t xml:space="preserve">La solicitarea autorității contactante,</w:t>
      </w:r>
      <w:r>
        <w:rPr>
          <w:b/>
          <w:lang w:val="it-IT"/>
        </w:rPr>
        <w:t xml:space="preserve"> </w:t>
      </w:r>
      <w:r>
        <w:rPr>
          <w:lang w:val="it-IT"/>
        </w:rPr>
        <w:t xml:space="preserve">ofertantul urmează să prezinte documentele care demonstrează capacitatea tehnică și/sau profesională pentru executarea viitorului 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1) o listă a principalelor livrări de bunuri/servicii similare efectuate în ultimii 3 ani, conform Anexei nr. 12. </w:t>
      </w:r>
      <w:bookmarkStart w:id="30" w:name="_Hlk61426369"/>
      <w:r>
        <w:rPr>
          <w:lang w:val="it-IT"/>
        </w:rPr>
        <w:t xml:space="preserve">Respectivele certificări indică beneficiarii, indiferent dacă aceştia sunt autorităţi contractante sau clienţi privaţi, valorile și perioadele de livrare/prestare.</w:t>
      </w:r>
      <w:bookmarkEnd w:id="30"/>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2) declaraţia referitoare la echipamentele tehnice şi la măsurile aplicate în vederea asigurării calităţii, precum şi, dacă este cazul, la resursele de studiu şi cercetare;</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3) informaţii referitoare la personalul/organismul tehnic de specialitate de care dispune sau al cărui angajament de participare a fost obţinut de către ofertant/candidat, în special pentru asigurarea controlului calităţii;</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4) certificate sau alte documente emise de organisme abilitate în acest sens, care să ateste conformitatea bunurilor, identificată clar prin referire la specificaţii sau standarde relevante;</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5) mostre (în măsura în care necesitatea prezentării este justificată), descrieri şi/sau fotografii a căror autenticitate trebuie să poată fi demonstrată în cazul în care autoritatea contractantă solicită acest lucru;</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6) informaţii referitoare la studiile, pregătirea profesională şi calificarea personalului de conducere, precum şi ale persoanelor responsabile pentru îndeplinirea contractului conform Anexei nr. 14;</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7) declaraţia referitoare la efectivele medii anuale ale personalului angajat şi ale cadrelor de conducere în ultimii 3 ani;</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8) dacă este cazul, informaţii privind măsurile de protecţie a mediului pe care operatorul economic le poate aplica în timpul îndeplinirii contractului de bunuri/servicii, în corespundere cu pct. 36;</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9) informaţii referitoare la utilajele, instalaţiile, echipamentele tehnice de care dispune operatorul economic pentru îndeplinirea corespunzătoare al contractului de bunuri/servicii conform Anexei nr. 13;</w:t>
      </w:r>
      <w:r>
        <w:rPr>
          <w:lang w:val="it-IT"/>
        </w:rPr>
      </w:r>
      <w:r>
        <w:rPr>
          <w:lang w:val="it-IT"/>
        </w:rPr>
      </w:r>
    </w:p>
    <w:p>
      <w:pPr>
        <w:pStyle w:val="1000"/>
        <w:numPr>
          <w:ilvl w:val="0"/>
          <w:numId w:val="0"/>
        </w:numPr>
        <w:pBdr/>
        <w:tabs>
          <w:tab w:val="left" w:leader="none" w:pos="142"/>
          <w:tab w:val="clear" w:leader="none" w:pos="1134"/>
        </w:tabs>
        <w:spacing w:after="120"/>
        <w:ind w:firstLine="426" w:left="-284"/>
        <w:rPr>
          <w:lang w:val="it-IT"/>
        </w:rPr>
      </w:pPr>
      <w:r>
        <w:rPr>
          <w:lang w:val="it-IT"/>
        </w:rPr>
        <w:t xml:space="preserve">10) informaţii privind partea din contract pe care operatorul economic are, eventual, intenţia să o subcontracteze, conform </w:t>
      </w:r>
      <w:bookmarkStart w:id="31" w:name="_Hlk71891442"/>
      <w:r>
        <w:rPr>
          <w:lang w:val="it-IT"/>
        </w:rPr>
        <w:t xml:space="preserve">Anexei nr. 15</w:t>
      </w:r>
      <w:bookmarkEnd w:id="31"/>
      <w:r>
        <w:rPr>
          <w:lang w:val="it-IT"/>
        </w:rPr>
        <w:t xml:space="preserve">. De asemenea, urmează a fi atașat/atașate la Anexa nr. 15, copia/copiile contractului/contractelor încheiat/încheiate cu subatreprenorii.</w:t>
      </w:r>
      <w:r>
        <w:rPr>
          <w:lang w:val="it-IT"/>
        </w:rPr>
      </w:r>
      <w:r>
        <w:rPr>
          <w:lang w:val="it-IT"/>
        </w:rPr>
      </w:r>
    </w:p>
    <w:p>
      <w:pPr>
        <w:pStyle w:val="100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33.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100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100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35.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100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36. </w:t>
      </w:r>
      <w:r>
        <w:rPr>
          <w:lang w:val="it-IT"/>
        </w:rPr>
        <w:t xml:space="preserve">Operatorul economic prezintă documente, certificate, emise de organisme independente, prin care se atestă faptul că respectă anumite standarde de protecţie a mediului, aceasta trebuie să se raporteze:</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   la Sistemul Comunitar de Management de Mediu şi Audit (EMAS), sau;</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 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100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37.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38. </w:t>
      </w:r>
      <w:r>
        <w:rPr>
          <w:lang w:val="it-IT"/>
        </w:rPr>
        <w:t xml:space="preserve">Autoritățile contractante pot utiliza o serie de criterii generale privind durabilitatea pentru livrarea bunurilor și prestarea serviciilor: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 Etichetele cu criterii multiple: </w:t>
      </w:r>
      <w:r>
        <w:t xml:space="preserve">eticheta </w:t>
      </w:r>
      <w:r>
        <w:rPr>
          <w:lang w:val="it-IT"/>
        </w:rPr>
        <w:t xml:space="preserve">europeană (floarea), eticheta scandinavă (lebăda nordică) şi etichetele naţionale (precum îngerul albastru german);</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 </w:t>
      </w:r>
      <w:r>
        <w:t xml:space="preserve">Achiziționarea </w:t>
      </w:r>
      <w:r>
        <w:rPr>
          <w:lang w:val="it-IT"/>
        </w:rPr>
        <w:t xml:space="preserve">alimentelor organice și cu un aport nutrițional echilibrat pentru școli/gradințe;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 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 Folosirea de recipiente sau ambalaje reutilizabile pentru transportarea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 Furnizarea 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 Restricțiile de utilizare a anumitor substanțe periculoase în compoziția produsului;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 Sisteme eficiente de tratare a deșeurilor în aer și în apă în fabricarea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 </w:t>
      </w:r>
      <w:r>
        <w:t xml:space="preserve">Utilizarea </w:t>
      </w:r>
      <w:r>
        <w:rPr>
          <w:lang w:val="en-US"/>
        </w:rPr>
        <w:t xml:space="preserve">sistemelor și schemelor de management de mediu (de 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 Reducere ale emisiilor de CO2 și a altor gaze prin scăderea frecvenței livrării și opțiuni noi de ambalare;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 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11)</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12)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13) Achiziționarea vehiculelor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14) 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15)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16) 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17) 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18) Economisirea resurselor naturale (prin achiziția de produse obținute din materiale reciclate, 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19) 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 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22)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23)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24)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25) Achiziționarea serviciilor de curăţenie ecologică folosind produse care întrunesc cerințele etichetelor ecologice;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26)</w:t>
      </w:r>
      <w:r>
        <w:t xml:space="preserve"> Achiziționarea serviciilor </w:t>
      </w:r>
      <w:r>
        <w:rPr>
          <w:lang w:val="it-IT"/>
        </w:rPr>
        <w:t xml:space="preserve">de catering cu alimente ecologice (bio), indicînd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28) 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29)</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 și altele.</w:t>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t xml:space="preserve"> În cazul unei asocieri, c</w:t>
      </w:r>
      <w:r>
        <w:t xml:space="preserve">erințele solicitate pentru îndeplinirea criteriilor de calificare și de selecție referitoare la situația economică și financiară sau a capacităților tehnice și profesionale pot fi îndeplinite prin cumul proporțional sarcinilor ce le revin fiecărui asociat.</w:t>
      </w:r>
      <w:r/>
    </w:p>
    <w:p>
      <w:pPr>
        <w:pBdr/>
        <w:tabs>
          <w:tab w:val="left" w:leader="none" w:pos="-284"/>
          <w:tab w:val="left" w:leader="none" w:pos="-142"/>
        </w:tabs>
        <w:spacing w:after="120"/>
        <w:ind w:firstLine="284" w:left="-284"/>
        <w:jc w:val="both"/>
        <w:rPr/>
      </w:pPr>
      <w:r>
        <w:rPr>
          <w:b/>
        </w:rPr>
        <w:t xml:space="preserve">40.</w:t>
      </w:r>
      <w:r>
        <w:t xml:space="preserve"> În </w:t>
      </w:r>
      <w:r>
        <w:t xml:space="preserve">ceea ce privește criteriile privind cifra de afaceri, în cazul unei asocieri, cifra de afaceri medie anuală luată în considerare este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41.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42</w:t>
      </w:r>
      <w:r>
        <w:rPr>
          <w:color w:val="000000" w:themeColor="text1"/>
        </w:rPr>
        <w:t xml:space="preserve">. 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w:t>
      </w:r>
      <w:r>
        <w:rPr>
          <w:color w:val="000000" w:themeColor="text1"/>
        </w:rPr>
        <w:t xml:space="preserve">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w:t>
      </w:r>
      <w:r>
        <w:rPr>
          <w:color w:val="000000" w:themeColor="text1"/>
        </w:rPr>
        <w:t xml:space="preserve">irmă faptul că pune la dispoziţia ofertantului/candidatului resursele financiare cât și resurse tehnice și profesionale invocate. Prezentarea angajamentului se face la solicitarea autorității contractante odată ce a fost declarat în DUAE. Persoana care asi</w:t>
      </w:r>
      <w:r>
        <w:rPr>
          <w:color w:val="000000" w:themeColor="text1"/>
        </w:rPr>
        <w:t xml:space="preserve">gură susţinerea financiară cât și tehnică și profesională trebuie să îndeplinească criteriile de selecție relevante și nu trebuie să se afle în niciuna dintre situaţiile prevăzute la pct. 22 și pct. 23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83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bookmarkEnd w:id="35"/>
      <w:r/>
      <w:bookmarkEnd w:id="36"/>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83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Pregătirea/Elaborarea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jc w:val="both"/>
        <w:rPr>
          <w:bCs/>
          <w:iCs/>
        </w:rPr>
      </w:pPr>
      <w:r/>
      <w:bookmarkStart w:id="37" w:name="_Hlk65750185"/>
      <w:r>
        <w:rPr>
          <w:b/>
          <w:bCs/>
        </w:rPr>
        <w:t xml:space="preserve">44. </w:t>
      </w:r>
      <w:r>
        <w:t xml:space="preserve">Autoritatea contractantă în caietul de sarcini</w:t>
      </w:r>
      <w:bookmarkEnd w:id="37"/>
      <w:r>
        <w:t xml:space="preserve"> </w:t>
      </w:r>
      <w:r>
        <w:rPr>
          <w:bCs/>
          <w:iCs/>
        </w:rPr>
        <w:t xml:space="preserve">descrie condițiile/cerințele de furnizare:</w:t>
      </w:r>
      <w:r>
        <w:rPr>
          <w:bCs/>
          <w:iCs/>
        </w:rPr>
      </w:r>
      <w:r>
        <w:rPr>
          <w:bCs/>
          <w:iCs/>
        </w:rPr>
      </w:r>
    </w:p>
    <w:p>
      <w:pPr>
        <w:pStyle w:val="1000"/>
        <w:numPr>
          <w:ilvl w:val="0"/>
          <w:numId w:val="16"/>
        </w:numPr>
        <w:pBdr/>
        <w:tabs>
          <w:tab w:val="left" w:leader="none" w:pos="709"/>
          <w:tab w:val="left" w:leader="none" w:pos="993"/>
        </w:tabs>
        <w:spacing w:after="120"/>
        <w:ind w:firstLine="710" w:left="-284"/>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Naţionale pentru Reglementare în Energetică</w:t>
      </w:r>
      <w:bookmarkEnd w:id="38"/>
      <w:r>
        <w:rPr>
          <w:bCs/>
          <w:iCs/>
          <w:lang w:val="ro-RO"/>
        </w:rPr>
        <w:t xml:space="preserve"> (în continuare – </w:t>
      </w:r>
      <w:bookmarkStart w:id="39" w:name="_Hlk77773523"/>
      <w:r>
        <w:rPr>
          <w:bCs/>
          <w:iCs/>
          <w:lang w:val="ro-RO"/>
        </w:rPr>
        <w:t xml:space="preserve">ANRE</w:t>
      </w:r>
      <w:bookmarkEnd w:id="39"/>
      <w:r>
        <w:rPr>
          <w:bCs/>
          <w:iCs/>
          <w:lang w:val="ro-RO"/>
        </w:rPr>
        <w:t xml:space="preserve">), de exemplu: Regulamentul privind furnizarea energiei electrice, </w:t>
      </w:r>
      <w:bookmarkStart w:id="40" w:name="_Hlk68786959"/>
      <w:r>
        <w:rPr>
          <w:bCs/>
          <w:iCs/>
          <w:lang w:val="ro-RO"/>
        </w:rPr>
        <w:t xml:space="preserve">aprobat prin Hotărârea ANRE nr.</w:t>
      </w:r>
      <w:bookmarkEnd w:id="40"/>
      <w:r>
        <w:rPr>
          <w:bCs/>
          <w:iCs/>
          <w:lang w:val="ro-RO"/>
        </w:rPr>
        <w:t xml:space="preserve"> 23/2017, Regulamentul privind racordarea la rețele electrice și prestarea serviciilor de transpor</w:t>
      </w:r>
      <w:r>
        <w:rPr>
          <w:bCs/>
          <w:iCs/>
          <w:lang w:val="ro-RO"/>
        </w:rPr>
        <w:t xml:space="preserve">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w:t>
      </w:r>
      <w:r>
        <w:rPr>
          <w:bCs/>
          <w:iCs/>
          <w:lang w:val="ro-RO"/>
        </w:rPr>
        <w:t xml:space="preserve">rin Hotărârea ANRE nr. 246/2007, Instrucţiunea privind calcularea consumului tehnologic de energie electrică în reţelele de distribuţie, în funcţie de valoarea factorului de putere în instalaţiile de utilizare, aprobată prin Hotărârea ANRE nr. 89/2003 etc.</w:t>
      </w:r>
      <w:r>
        <w:rPr>
          <w:bCs/>
          <w:iCs/>
          <w:lang w:val="ro-RO"/>
        </w:rPr>
      </w:r>
      <w:r>
        <w:rPr>
          <w:bCs/>
          <w:iCs/>
          <w:lang w:val="ro-RO"/>
        </w:rPr>
      </w:r>
    </w:p>
    <w:p>
      <w:pPr>
        <w:pStyle w:val="1000"/>
        <w:numPr>
          <w:ilvl w:val="0"/>
          <w:numId w:val="16"/>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 xml:space="preserve">de exemplu: Regulamentul privind furnizarea gazelor naturale, aprobat prin Hotărârea ANRE nr. 113/2019.</w:t>
      </w:r>
      <w:bookmarkEnd w:id="41"/>
      <w:r>
        <w:rPr>
          <w:b/>
          <w:i/>
          <w:lang w:val="it-IT"/>
        </w:rPr>
      </w:r>
      <w:r>
        <w:rPr>
          <w:b/>
          <w:i/>
          <w:lang w:val="it-IT"/>
        </w:rPr>
      </w:r>
    </w:p>
    <w:p>
      <w:pPr>
        <w:pStyle w:val="1000"/>
        <w:numPr>
          <w:ilvl w:val="0"/>
          <w:numId w:val="16"/>
        </w:numPr>
        <w:pBdr/>
        <w:tabs>
          <w:tab w:val="left" w:leader="none" w:pos="709"/>
          <w:tab w:val="left" w:leader="none" w:pos="993"/>
        </w:tabs>
        <w:spacing w:after="120"/>
        <w:ind w:firstLine="710" w:left="-284"/>
        <w:rPr>
          <w:bCs/>
          <w:i/>
          <w:lang w:val="it-IT"/>
        </w:rPr>
      </w:pPr>
      <w:r>
        <w:rPr>
          <w:b/>
          <w:i/>
          <w:lang w:val="it-IT"/>
        </w:rPr>
        <w:t xml:space="preserve">a energiei termice </w:t>
      </w:r>
      <w:r>
        <w:rPr>
          <w:bCs/>
          <w:iCs/>
          <w:lang w:val="it-IT"/>
        </w:rPr>
        <w:t xml:space="preserve">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 xml:space="preserve">nr. 169/2019</w:t>
      </w:r>
      <w:bookmarkEnd w:id="43"/>
      <w:r>
        <w:rPr>
          <w:bCs/>
          <w:iCs/>
          <w:lang w:val="it-IT"/>
        </w:rPr>
        <w:t xml:space="preserve">.</w:t>
      </w:r>
      <w:r>
        <w:rPr>
          <w:bCs/>
          <w:i/>
          <w:lang w:val="it-IT"/>
        </w:rPr>
      </w:r>
      <w:r>
        <w:rPr>
          <w:bCs/>
          <w:i/>
          <w:lang w:val="it-IT"/>
        </w:rPr>
      </w:r>
    </w:p>
    <w:p>
      <w:pPr>
        <w:pStyle w:val="1000"/>
        <w:numPr>
          <w:ilvl w:val="0"/>
          <w:numId w:val="16"/>
        </w:numPr>
        <w:pBdr/>
        <w:tabs>
          <w:tab w:val="left" w:leader="none" w:pos="-284"/>
          <w:tab w:val="left" w:leader="none" w:pos="709"/>
          <w:tab w:val="left" w:leader="none" w:pos="851"/>
        </w:tabs>
        <w:spacing w:after="120"/>
        <w:ind w:firstLine="710" w:left="-284"/>
        <w:rPr>
          <w:b/>
          <w:i/>
          <w:lang w:val="it-IT"/>
        </w:rPr>
      </w:pPr>
      <w:r>
        <w:rPr>
          <w:b/>
          <w:i/>
          <w:lang w:val="it-IT"/>
        </w:rPr>
        <w:t xml:space="preserve">a alimentării cu apă şi canalizare în </w:t>
      </w:r>
      <w:r>
        <w:rPr>
          <w:bCs/>
          <w:iCs/>
          <w:lang w:val="it-IT"/>
        </w:rPr>
        <w:t xml:space="preserve">conformitate cu Legea nr. 303/2013 privind serviciul public de alimentare cu apă și de canalizare</w:t>
      </w:r>
      <w:r>
        <w:t xml:space="preserve"> </w:t>
      </w:r>
      <w:r>
        <w:rPr>
          <w:bCs/>
          <w:iCs/>
          <w:lang w:val="it-IT"/>
        </w:rPr>
        <w:t xml:space="preserve">și actele normative secundare, de exemplu:</w:t>
      </w:r>
      <w:r>
        <w:t xml:space="preserve"> </w:t>
      </w:r>
      <w:r>
        <w:rPr>
          <w:bCs/>
          <w:iCs/>
          <w:lang w:val="it-IT"/>
        </w:rPr>
        <w:t xml:space="preserve">Regulamentul-cadru de organizare și funcționare a serviciului public de alimentare cu apă și de canaliza</w:t>
      </w:r>
      <w:r>
        <w:rPr>
          <w:bCs/>
          <w:iCs/>
          <w:lang w:val="it-IT"/>
        </w:rPr>
        <w:t xml:space="preserve">re, aprobat prin Hotărârea ANRE nr. 355/2019 sau Regulamentele de organizare și funcționare a serviciului public de alimentare cu apă și de canalizare aprobate de autoritățile publice locale de nivelul întâi, în cazul în care au fost elaborate și aprobate.</w:t>
      </w:r>
      <w:r>
        <w:rPr>
          <w:b/>
          <w:i/>
          <w:lang w:val="it-IT"/>
        </w:rPr>
      </w:r>
      <w:r>
        <w:rPr>
          <w:b/>
          <w:i/>
          <w:lang w:val="it-IT"/>
        </w:rPr>
      </w:r>
    </w:p>
    <w:p>
      <w:pPr>
        <w:pStyle w:val="1000"/>
        <w:numPr>
          <w:ilvl w:val="0"/>
          <w:numId w:val="16"/>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w:t>
      </w:r>
      <w:r>
        <w:rPr>
          <w:bCs/>
          <w:iCs/>
          <w:lang w:val="it-IT"/>
        </w:rPr>
        <w:t xml:space="preserve"> la nivelul țării din care să rezulte ca ofertantul deține stații de alimentare în localitățile indicate în documetația de atribuire. Carburantul se livrează la stația de alimentare în baza cardurilor emise de către Furnizor. Ofertantul oferă autorității c</w:t>
      </w:r>
      <w:r>
        <w:rPr>
          <w:bCs/>
          <w:iCs/>
          <w:lang w:val="it-IT"/>
        </w:rPr>
        <w:t xml:space="preserve">ontractante posibilitatea de a achiziționa carburant (fără plată în numerar) prin intermediul cardurilor valorice la stațiile de alimentare ale furnizorului la nivelul fiecăreia dintre localitățile menționate în documetația de atribuire. În cazul în care l</w:t>
      </w:r>
      <w:r>
        <w:rPr>
          <w:bCs/>
          <w:iCs/>
          <w:lang w:val="it-IT"/>
        </w:rPr>
        <w:t xml:space="preserve">ocul destinației finale îl constituie mai multe localități/regiuni, atribuirea contractelor de achiziție se realizează pe loturi pentru fiecare localitate/regiune în parte. Livrarea cardurilor se face pe baza unei cereri de emitere de card din partea autor</w:t>
      </w:r>
      <w:r>
        <w:rPr>
          <w:bCs/>
          <w:iCs/>
          <w:lang w:val="it-IT"/>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bCs/>
          <w:iCs/>
          <w:lang w:val="it-IT"/>
        </w:rPr>
      </w:r>
      <w:r>
        <w:rPr>
          <w:bCs/>
          <w:iCs/>
          <w:lang w:val="it-IT"/>
        </w:rPr>
      </w:r>
    </w:p>
    <w:p>
      <w:pPr>
        <w:pBdr/>
        <w:tabs>
          <w:tab w:val="left" w:leader="none" w:pos="426"/>
        </w:tabs>
        <w:spacing/>
        <w:ind w:firstLine="284" w:left="-284"/>
        <w:jc w:val="both"/>
        <w:rPr>
          <w:b/>
          <w:iCs/>
        </w:rPr>
      </w:pPr>
      <w:r>
        <w:rPr>
          <w:b/>
          <w:bCs/>
        </w:rPr>
        <w:t xml:space="preserve">45. </w:t>
      </w:r>
      <w:r>
        <w:t xml:space="preserve">Autoritatea contractantă în caietul de sarcini </w:t>
      </w:r>
      <w:r>
        <w:rPr>
          <w:bCs/>
          <w:iCs/>
        </w:rPr>
        <w:t xml:space="preserve">precizează detalii privind modul de transportare, prestare, utilizare a produselor/serviciilor:</w:t>
      </w:r>
      <w:r>
        <w:rPr>
          <w:b/>
          <w:iCs/>
        </w:rPr>
      </w:r>
      <w:r>
        <w:rPr>
          <w:b/>
          <w:iCs/>
        </w:rPr>
      </w:r>
    </w:p>
    <w:p>
      <w:pPr>
        <w:pStyle w:val="1000"/>
        <w:numPr>
          <w:ilvl w:val="0"/>
          <w:numId w:val="18"/>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acordă permanent achizitorului posibilitatea accesării on-line a informaţiilor privind situaţia detaliată a tuturor achiziţiil</w:t>
      </w:r>
      <w:r>
        <w:rPr>
          <w:bCs/>
          <w:iCs/>
        </w:rPr>
        <w:t xml:space="preserve">or de carburant efectuate de către fiecare autovehicul al său. Posibilitatea achizitorului de a obţine la orice staţie de distribuţie pe bază de card, informaţii privind valoarea rămasă pentru fiecare card în parte. Furnizorul gestionează lista cardurilor </w:t>
      </w:r>
      <w:r>
        <w:rPr>
          <w:bCs/>
          <w:iCs/>
        </w:rPr>
        <w:t xml:space="preserve">pierdute sau furate şi are obligaţia să blocheze/deblocheze utilizarea acestora în cel mult 24 ore de la solicitarea achizitorului. Furnizorul are obligația de a garanta că produsele furnizate respectă standardele minime de</w:t>
      </w:r>
      <w:r>
        <w:rPr>
          <w:bCs/>
          <w:iCs/>
        </w:rPr>
        <w:t xml:space="preserve"> poluare aprobate conform legislației naționale și pot fi alimentate de la stațiile existente în localitățile indicate în documetația de atribuire. Carburanţii livraţi trebuie să corespundă calitativ normelor în vigoare. Se prezintă în partea II, Condițiil</w:t>
      </w:r>
      <w:r>
        <w:rPr>
          <w:bCs/>
          <w:iCs/>
        </w:rPr>
        <w:t xml:space="preserve">e  Speciale a Contractului, cât și în anexa nr.1 la Contract ,,Specificaţii Tehnice”,  condiţiile tehnice de calitate şi metodele de determinare a produselor, având la bază standarde şi omologări naţionale sau internaţionale. Furnizorul asigură personaliza</w:t>
      </w:r>
      <w:r>
        <w:rPr>
          <w:bCs/>
          <w:iCs/>
        </w:rPr>
        <w:t xml:space="preserve">rea cardurilor pe fiecare autovehicul (pe număr de înmatriculare), configurarea cardului pe tipul carburantului. Furnizorul asigură asistență permanentă 24 h, 7 zile din săptămână, pentru ca, în cazul apariției anumitor deficiențe în funcționarea cardurilo</w:t>
      </w:r>
      <w:r>
        <w:rPr>
          <w:bCs/>
          <w:iCs/>
        </w:rPr>
        <w:t xml:space="preserve">r pentru carburant, Furnizorul să fie în măsură să soluționeze problemele apărute în cel mai scurt timp posibil. Furnizorul specifică dacă toate cardurile sunt acceptate la toate stațiile PECO situate în localitățile menționate în documentația de atribuire</w:t>
      </w:r>
      <w:r>
        <w:rPr>
          <w:bCs/>
          <w:iCs/>
        </w:rPr>
        <w:t xml:space="preserve">. Furnizorul pune la dispoziţia achizitorului instrucţiuni de folosire a cardului. Autoritatea contractantă își rezervă dreptul de a mări sau micșora numărul de carduri și de a suplimenta sau diminua cantitatea de carburanți în baza prevederilor normative.</w:t>
      </w:r>
      <w:r>
        <w:rPr>
          <w:bCs/>
          <w:iCs/>
        </w:rPr>
      </w:r>
      <w:r>
        <w:rPr>
          <w:bCs/>
          <w:iCs/>
        </w:rPr>
      </w:r>
    </w:p>
    <w:p>
      <w:pPr>
        <w:pStyle w:val="1000"/>
        <w:numPr>
          <w:ilvl w:val="0"/>
          <w:numId w:val="18"/>
        </w:numPr>
        <w:pBdr/>
        <w:tabs>
          <w:tab w:val="left" w:leader="none" w:pos="851"/>
          <w:tab w:val="left" w:leader="none" w:pos="993"/>
        </w:tabs>
        <w:spacing w:after="120"/>
        <w:ind/>
        <w:rPr>
          <w:lang w:val="ro-RO"/>
        </w:rPr>
      </w:pPr>
      <w:r>
        <w:rPr>
          <w:rFonts w:eastAsiaTheme="majorEastAsia"/>
          <w:b/>
          <w:i/>
          <w:iCs/>
        </w:rPr>
        <w:t xml:space="preserve">de  furnizare a energiei 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w:t>
      </w:r>
      <w:r>
        <w:rPr>
          <w:bCs/>
          <w:iCs/>
        </w:rPr>
        <w:t xml:space="preserve">este instalat în limitele proprietății operatorului de sistem, responsabil de integritatea echipamentului de măsurare și a sigiliilor aplicate este operatorul de sistem. Operatorul de sistem asigură, la solicitare, accesul Beneficiarului la echipamentul de</w:t>
      </w:r>
      <w:r>
        <w:rPr>
          <w:bCs/>
          <w:iCs/>
        </w:rPr>
        <w:t xml:space="preserv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w:t>
      </w:r>
      <w:r>
        <w:rPr>
          <w:bCs/>
          <w:iCs/>
        </w:rPr>
        <w:t xml:space="preserve">ate cu Legea nr. 174/2017 cu privire la energetică și Legea nr. 107/2016 cu privire la energia electrică, iar cheltuielile se suportă de către Beneficiar. Controlul echipamentului de măsurare și al sigiliilor aplicate acestuia se efectuează de către operat</w:t>
      </w:r>
      <w:r>
        <w:rPr>
          <w:bCs/>
          <w:iCs/>
        </w:rPr>
        <w:t xml:space="preserve">orul de sistem, după necesitate, și numai în prezența reprezentantului Beneficiarului. Citirea indicilor echipamentului de măsurare în scopul facturării energiei electrice consumate de Beneficiar, se efectuează de operatorul de sistem lunar. Personalul ope</w:t>
      </w:r>
      <w:r>
        <w:rPr>
          <w:bCs/>
          <w:iCs/>
        </w:rPr>
        <w:t xml:space="preserve">ratorului de sistem și utilizatorul de sistem sunt în drept să stabilească, de comun acord, timpul efectuării activităților pentru citirea indicilor echipamentului de măsurare. Cantitatea energiei electrice furnizate Beneficiarului se determină în baza ind</w:t>
      </w:r>
      <w:r>
        <w:rPr>
          <w:bCs/>
          <w:iCs/>
        </w:rPr>
        <w:t xml:space="preserve">icilor echipamentului de măsurare, citite la fiecare loc de consum, sau, în cazurile prevăzute în Regulamentul pentru furnizarea energiei electrice, se calculează prin estimare. În cazul deteriorării echipamentului de măsurare sau dacă se constată încălcar</w:t>
      </w:r>
      <w:r>
        <w:rPr>
          <w:bCs/>
          <w:iCs/>
        </w:rPr>
        <w:t xml:space="preserve">ea de către Beneficiar a prevederilor Legii cu privire la energia electrică, care a dus la consum de energie electrică prin evitarea echipamentului de măsurare, prin denaturarea indicațiilor echipamentului de măsurare sau alte modalități de consum neînregi</w:t>
      </w:r>
      <w:r>
        <w:rPr>
          <w:bCs/>
          <w:iCs/>
        </w:rPr>
        <w:t xml:space="preserve">strat de echipamentul de măsurare, contravaloarea energiei electrice consumate se calculează în conformitate cu prevederile Regulamentului pentru furnizarea energiei electrice. Contravaloarea pierderilor de energie electrică în transformatoarele de forță ș</w:t>
      </w:r>
      <w:r>
        <w:rPr>
          <w:bCs/>
          <w:iCs/>
        </w:rPr>
        <w:t xml:space="preserve">i în liniile electrice ce aparțin Beneficiarului, se calculează în baza Instrucțiunii privind calcularea pierderilor de energie electrică activă și reactivă în elementele de rețea aflate la balanța consumatorului, aprobată prin Hotărârea ANRE nr. 246/2007.</w:t>
      </w:r>
      <w:r>
        <w:rPr>
          <w:bCs/>
          <w:iCs/>
        </w:rPr>
      </w:r>
      <w:r>
        <w:rPr>
          <w:bCs/>
          <w:iCs/>
        </w:rPr>
      </w:r>
    </w:p>
    <w:p>
      <w:pPr>
        <w:pBdr/>
        <w:spacing w:after="120"/>
        <w:ind w:firstLine="284" w:left="-284"/>
        <w:jc w:val="both"/>
        <w:rPr>
          <w:bCs/>
          <w:iCs/>
        </w:rPr>
      </w:pPr>
      <w:r>
        <w:rPr>
          <w:b/>
          <w:iCs/>
        </w:rPr>
        <w:t xml:space="preserve">46</w:t>
      </w:r>
      <w:r>
        <w:rPr>
          <w:b/>
          <w:i/>
        </w:rPr>
        <w:t xml:space="preserve">. </w:t>
      </w:r>
      <w:r>
        <w:rPr>
          <w:bCs/>
          <w:iCs/>
        </w:rPr>
        <w:t xml:space="preserve">Autoritatea contractantă în caietul de sarcini precizează modalitatea de calculare a costului/prețului bunului/serviciului, prin trimitere la actele normative din domeniu. </w:t>
      </w:r>
      <w:r>
        <w:rPr>
          <w:bCs/>
          <w:iCs/>
        </w:rPr>
      </w:r>
      <w:r>
        <w:rPr>
          <w:bCs/>
          <w:iCs/>
        </w:rPr>
      </w:r>
    </w:p>
    <w:p>
      <w:pPr>
        <w:pStyle w:val="1000"/>
        <w:numPr>
          <w:ilvl w:val="0"/>
          <w:numId w:val="17"/>
        </w:numPr>
        <w:pBdr/>
        <w:tabs>
          <w:tab w:val="left" w:leader="none" w:pos="851"/>
          <w:tab w:val="left" w:leader="none" w:pos="993"/>
        </w:tabs>
        <w:spacing w:after="120"/>
        <w:ind/>
        <w:rPr>
          <w:i/>
          <w:iCs/>
        </w:rPr>
      </w:pPr>
      <w:r>
        <w:rPr>
          <w:rFonts w:eastAsiaTheme="majorEastAsia"/>
          <w:b/>
          <w:i/>
          <w:iCs/>
        </w:rPr>
        <w:t xml:space="preserve">a produselor petroliere pentru alimentarea 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discount-ului ofertat.</w:t>
      </w:r>
      <w:r>
        <w:rPr>
          <w:bCs/>
          <w:iCs/>
        </w:rPr>
      </w:r>
      <w:r>
        <w:rPr>
          <w:bCs/>
          <w:iCs/>
        </w:rPr>
      </w:r>
    </w:p>
    <w:p>
      <w:pPr>
        <w:pBdr/>
        <w:tabs>
          <w:tab w:val="left" w:leader="none" w:pos="851"/>
          <w:tab w:val="left" w:leader="none" w:pos="993"/>
        </w:tabs>
        <w:spacing/>
        <w:ind w:left="-284"/>
        <w:jc w:val="both"/>
        <w:rPr>
          <w:bCs/>
          <w:iCs/>
        </w:rPr>
      </w:pPr>
      <w:r>
        <w:rPr>
          <w:bCs/>
          <w:iCs/>
        </w:rPr>
        <w:t xml:space="preserve">Furnizorul asigură a</w:t>
      </w:r>
      <w:r>
        <w:rPr>
          <w:bCs/>
          <w:iCs/>
        </w:rPr>
        <w:t xml:space="preserve">utorității contractante posibilitatea de a stabili limite individuale valorice pentru fiecare card, inclusiv de a le modifica în sensul majorării sau micșorării acestora. Prețul unitar ofertat constituie prețul mediu calculat de către ofertant utilizînd pr</w:t>
      </w:r>
      <w:r>
        <w:rPr>
          <w:bCs/>
          <w:iCs/>
        </w:rPr>
        <w:t xml:space="preserve">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bCs/>
          <w:iCs/>
        </w:rPr>
      </w:r>
      <w:r>
        <w:rPr>
          <w:bCs/>
          <w:iCs/>
        </w:rPr>
      </w:r>
    </w:p>
    <w:p>
      <w:pPr>
        <w:pBdr/>
        <w:spacing w:after="120"/>
        <w:ind w:firstLine="567"/>
        <w:jc w:val="center"/>
        <w:rPr>
          <w:b/>
          <w:bCs/>
        </w:rPr>
      </w:pPr>
      <w:r>
        <w:rPr>
          <w:b/>
          <w:bCs/>
        </w:rPr>
        <w:t xml:space="preserve">Calcularea prețului unitar se efectuează conform formulei:</w:t>
      </w:r>
      <w:r>
        <w:rPr>
          <w:b/>
          <w:bCs/>
        </w:rPr>
      </w:r>
      <w:r>
        <w:rPr>
          <w:b/>
          <w:bCs/>
        </w:rP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eastAsia="Cambria Math" w:cs="Cambria Math"/>
                </w:rPr>
              </m:ctrlPr>
            </m:fPr>
            <m:num>
              <m:d>
                <m:dPr>
                  <m:ctrlPr>
                    <w:rPr>
                      <w:rFonts w:ascii="Cambria Math" w:hAnsi="Cambria Math" w:eastAsia="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localitatea/regiunea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localitatea/regiunea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localitatea/regiunea specificată în pct. 1</w:t>
      </w:r>
      <w:r>
        <w:t xml:space="preserve">  pentru a cincisprezecea zi;</w:t>
      </w:r>
      <w:r/>
    </w:p>
    <w:p>
      <w:pPr>
        <w:pBdr/>
        <w:tabs>
          <w:tab w:val="left" w:leader="none" w:pos="851"/>
          <w:tab w:val="left" w:leader="none" w:pos="993"/>
        </w:tabs>
        <w:spacing/>
        <w:ind w:firstLine="567"/>
        <w:jc w:val="both"/>
        <w:rPr/>
      </w:pPr>
      <w:r>
        <w:t xml:space="preserve">D% –reprezintă discount-ul aplicat.</w:t>
      </w:r>
      <w:r/>
    </w:p>
    <w:p>
      <w:pPr>
        <w:pBdr/>
        <w:tabs>
          <w:tab w:val="left" w:leader="none" w:pos="851"/>
          <w:tab w:val="left" w:leader="none"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w:t>
      </w:r>
      <w:r>
        <w:rPr>
          <w:bCs/>
          <w:iCs/>
        </w:rPr>
        <w:t xml:space="preserve">rează contravaloarea produselor la sfârșitul fiecărei luni, pentru consumul efectuat, conform unei centralizări cu cantitatea alimentată pe fiecare autovehicul în parte. Factura aferentă consumului înregistrat pe fiecare card în parte este însoțită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 în conformitate cu art. 26 al Legii nr.131/2015 priv</w:t>
      </w:r>
      <w:r>
        <w:rPr>
          <w:bCs/>
          <w:iCs/>
        </w:rPr>
        <w:t xml:space="preserve">ind achizițiile publice, se aplică criteriul cel mai bun raport 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ce ține de achiziționarea</w:t>
      </w:r>
      <w:r>
        <w:t xml:space="preserve"> de </w:t>
      </w:r>
      <w:r>
        <w:rPr>
          <w:bCs/>
          <w:iCs/>
        </w:rPr>
        <w:t xml:space="preserve">carburanţi lichizi şi/sau gazoşi în vrac, uleiuri, etc. se utilizează principiul general de procurare a bunurilor.</w:t>
      </w:r>
      <w:r>
        <w:rPr>
          <w:bCs/>
          <w:iCs/>
        </w:rPr>
      </w:r>
      <w:r>
        <w:rPr>
          <w:bCs/>
          <w:iCs/>
        </w:rPr>
      </w:r>
    </w:p>
    <w:p>
      <w:pPr>
        <w:pStyle w:val="1000"/>
        <w:numPr>
          <w:ilvl w:val="0"/>
          <w:numId w:val="17"/>
        </w:numPr>
        <w:pBdr/>
        <w:tabs>
          <w:tab w:val="left" w:leader="none" w:pos="851"/>
          <w:tab w:val="left" w:leader="none" w:pos="993"/>
        </w:tabs>
        <w:spacing w:after="120"/>
        <w:ind/>
        <w:rPr>
          <w:lang w:val="ro-RO"/>
        </w:rPr>
      </w:pPr>
      <w:r>
        <w:rPr>
          <w:rFonts w:eastAsiaTheme="majorEastAsia"/>
          <w:b/>
          <w:i/>
          <w:iCs/>
        </w:rPr>
        <w:t xml:space="preserve">a energiei 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reieșind din tariful ANRE minus – di</w:t>
      </w:r>
      <w:r>
        <w:t xml:space="preserve">scount-ul, modul de calculare a prețului se indică în condițiile speciale a contractului și de asemenea se indică și cazurile de modificare a lui. Micșorarea și/sau majorarea prețului și valorii contractului se efectuează  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47. </w:t>
      </w:r>
      <w:r>
        <w:t xml:space="preserve">Operatorul economic interesat de a participa la procedura de achiziție publică este obligat să depună până l</w:t>
      </w:r>
      <w:r>
        <w:t xml:space="preserve">a expirarea termenului-limită stabilit de către autoritatea contractantă, în acest sens, o cerere de participare, în cazul aplicării prevederilor art. 33 alin. (7) și alin. (11) al Legii nr. 131/2015. În celelalte cazuri, aceasta se depune odată cu oferta.</w:t>
      </w:r>
      <w:r/>
    </w:p>
    <w:p>
      <w:pPr>
        <w:pBdr/>
        <w:tabs>
          <w:tab w:val="left" w:leader="none" w:pos="0"/>
          <w:tab w:val="left" w:leader="none" w:pos="284"/>
          <w:tab w:val="left" w:leader="none" w:pos="604"/>
          <w:tab w:val="left" w:leader="none" w:pos="960"/>
        </w:tabs>
        <w:spacing w:after="120"/>
        <w:ind/>
        <w:rPr/>
      </w:pPr>
      <w:r>
        <w:rPr>
          <w:b/>
        </w:rPr>
        <w:t xml:space="preserve">48.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2) Propunerea financiară- ofertantul elaborează propunerea financiară, astfel încât aceasta să furnizeze </w:t>
      </w:r>
      <w:r>
        <w:t xml:space="preserve">toate informaţiile solicitate cu privire la preţuri, tarife, precum şi la alte condiţii financiare şi comerciale legate de obiectul contractului de achiziţie publică de bunuri și servicii. Propunerea financiară conține - Specificații de preț (anexa nr.23);</w:t>
      </w:r>
      <w:r/>
    </w:p>
    <w:p>
      <w:pPr>
        <w:pBdr/>
        <w:tabs>
          <w:tab w:val="left" w:leader="none" w:pos="0"/>
          <w:tab w:val="left" w:leader="none" w:pos="426"/>
          <w:tab w:val="left" w:leader="none" w:pos="960"/>
        </w:tabs>
        <w:spacing w:after="120"/>
        <w:ind/>
        <w:rPr>
          <w:color w:val="000000" w:themeColor="text1"/>
        </w:rPr>
      </w:pPr>
      <w:r>
        <w:t xml:space="preserve">3)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 (anexa nr.9).</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 </w:t>
      </w:r>
      <w:r>
        <w:t xml:space="preserve">Toate documentele menţionate la pct. 48 se completează fără nici o modificare sau abatere de la formulare,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50. </w:t>
      </w:r>
      <w:r>
        <w:rPr>
          <w:color w:val="000000" w:themeColor="text1"/>
        </w:rPr>
        <w:t xml:space="preserve">Operatorii economici pregătesc ofertele</w:t>
      </w:r>
      <w:r>
        <w:t xml:space="preserve"> </w:t>
      </w:r>
      <w:r>
        <w:rPr>
          <w:color w:val="000000" w:themeColor="text1"/>
        </w:rPr>
        <w:t xml:space="preserve">conform cerințelor stabilite în anunțul de participare, publicat de către autoritatea contractantă în Buletinul achiziți</w:t>
      </w:r>
      <w:r>
        <w:rPr>
          <w:color w:val="000000" w:themeColor="text1"/>
        </w:rPr>
        <w:t xml:space="preserve">ilor publice, și depun ofertele în mod electronic, folosind fluxurile interactive de lucru puse la dispoziție de platformele electronice, cu excepția cazurilor prevăzute la art. 33 alin. (7) şi alin. (11) din Legea nr. 131/2015 privind achizițiile publice.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51.</w:t>
      </w:r>
      <w:r>
        <w:t xml:space="preserve"> </w:t>
      </w:r>
      <w:r>
        <w:rPr>
          <w:color w:val="000000" w:themeColor="text1"/>
        </w:rPr>
        <w:t xml:space="preserve">Ofertantul depune garanția pentru ofertă conform </w:t>
      </w:r>
      <w:r>
        <w:t xml:space="preserve">prevederilor Legii nr. 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52. </w:t>
      </w:r>
      <w:r>
        <w:rPr>
          <w:lang w:val="it-IT"/>
        </w:rPr>
        <w:t xml:space="preserve">În cazul unei asocieri, garanția pentru ofertă se depune de liderul asociației.</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53.</w:t>
      </w:r>
      <w:r>
        <w:t xml:space="preserve"> Ofertantul are obligația, prin depunerea declarației privind valabilitatea ofertei (anexa nr. 8),  de a menține oferta valabilă pe toată perioada de valabilitate prevăzută în documentația de atribuir</w:t>
      </w:r>
      <w:r>
        <w:t xml:space="preserve">e. Termenul valabilităţii ofertei începe să decurgă din momentul termenului limită de depunere a ofertelor. Orice ofertă valabilă pentru o perioadă mai mică decât cea prevăzută în anexa nr. 2 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54. </w:t>
      </w:r>
      <w:r>
        <w:t xml:space="preserve">În cazul extinderii perioadei de valabilitate a ofertei, perioada de valabilitate a garanției pentru ofertă se prelungește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55. </w:t>
      </w:r>
      <w:r>
        <w:t xml:space="preserve">Ofertantul are obligația de a comunica autorității contractante dacă este </w:t>
      </w:r>
      <w:r>
        <w:t xml:space="preserve">sau nu este de acord cu prelungirea perioadei de valabilitate a ofertei. Ofertantul care nu este de acord cu prelungirea perioadei de valabilitate a ofertei se consideră că și-a retras oferta, fără ca acest fapt să atragă pierderea garanției pentru ofertă.</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56.</w:t>
      </w:r>
      <w: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57. </w:t>
      </w:r>
      <w:r>
        <w:t xml:space="preserve">Autoritatea contractantă stabileşte perioada maximă </w:t>
      </w:r>
      <w:bookmarkStart w:id="60" w:name="_Hlk61599803"/>
      <w:r>
        <w:t xml:space="preserve">de livrare/prestare a bunurilor/serviciilor</w:t>
      </w:r>
      <w:bookmarkEnd w:id="60"/>
      <w:r>
        <w:t xml:space="preserve"> în anexa nr. 2.</w:t>
      </w:r>
      <w:r/>
    </w:p>
    <w:p>
      <w:pPr>
        <w:pBdr/>
        <w:tabs>
          <w:tab w:val="left" w:leader="none" w:pos="0"/>
          <w:tab w:val="left" w:leader="none" w:pos="426"/>
          <w:tab w:val="left" w:leader="none" w:pos="604"/>
          <w:tab w:val="left" w:leader="none" w:pos="960"/>
        </w:tabs>
        <w:spacing w:after="120"/>
        <w:ind w:firstLine="284" w:left="-284"/>
        <w:jc w:val="both"/>
        <w:rPr/>
      </w:pPr>
      <w:r>
        <w:rPr>
          <w:b/>
        </w:rPr>
        <w:t xml:space="preserve">58. </w:t>
      </w:r>
      <w:bookmarkStart w:id="61" w:name="_Hlk71620894"/>
      <w:r>
        <w:t xml:space="preserve">Preţurile pentru bunurile/serviciile solicitate se indică în lei moldoveneşti, cu două cifre după virgulă, cu excepţia cazurilor în care anexa nr. 2 prevede 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t xml:space="preserve"> Oferta scrisă şi semnată în format electronic, de către administratorul companiei indicat  în Extrasul Registrului d</w:t>
      </w:r>
      <w:r>
        <w:t xml:space="preserve">e Stat al persoanelor juridice sau de către persoana împuternicită atât și în cazul delegării sau împuternicirii persoanei,  la ofertă se anexează actul/documentul de împuternicire și se prezintă conform cerinţelor expuse în anexa nr. 2 în conformitate cu </w:t>
      </w:r>
      <w:r>
        <w:t xml:space="preserve">instrumentele existente în SIA RSAP, cu excepția cazurilor prevăzute la art. 33 alin. (7) şi alin. (11) din Legea nr. 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60. </w:t>
      </w:r>
      <w:r>
        <w:t xml:space="preserve">Ofertantul trebuie să ia toate măsurile, astfel încât oferta să fie recepționată și înregistrată în SIA RSAP până la data limită pentru depunerea ofertelor, ți</w:t>
      </w:r>
      <w:r>
        <w:t xml:space="preserve">nând cont de timpul necesar pentru încărcarea ofertei în sistem.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61. </w:t>
      </w:r>
      <w:r>
        <w:t xml:space="preserve">Documentele justificative în sprijinul informațiilor declarate în DUAE, care conțin date</w:t>
      </w:r>
      <w:r>
        <w:t xml:space="preserve"> cu caracter personal, se prezintă separat, pe suport de hârtie sau în formă scanată, cu aplicarea semnăturii electronice, utilizînd mijloace electronice de comunicare sau alte mijloace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62. </w:t>
      </w:r>
      <w:r>
        <w:t xml:space="preserve">SIA RSAP nu acceptă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63. </w:t>
      </w:r>
      <w:r>
        <w:t xml:space="preserve">În cazurile prevă</w:t>
      </w:r>
      <w:r>
        <w:t xml:space="preserve">zute la art. 33 alin. (7) și alin. (11) din Legea nr. 131/2015 privind achizițiile publice, ofertele depuse după termenul limită de deschidere a ofertelor se înregistrează de către autoritatea contractantă și se 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completînd anexa nr. 11.</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65. </w:t>
      </w:r>
      <w:r>
        <w:t xml:space="preserve">Ofertantul nu are dreptul de a depune decât o singură ofertă de bază. Ofertanţii aso</w:t>
      </w:r>
      <w:r>
        <w:t xml:space="preserve">ciaţi nu au dreptul de a depune alte oferte, în mod individual, pe lângă oferta comună. Ofertele alternative se depun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66.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68. </w:t>
      </w:r>
      <w:r>
        <w:t xml:space="preserve">În cazul în care ofert</w:t>
      </w:r>
      <w:r>
        <w:t xml:space="preserve">ele conțin secrete tehnice, comerciale sau țin de protecția proprietății intelectuale,  autoritatea contractantă asigură  păstrarea confidenţialității asupra conţinutului ofertei, precum şi asupra oricărei informaţii privind ofertantul și totodată, asigura</w:t>
      </w:r>
      <w:r>
        <w:t xml:space="preserve"> dreptul operatorului economic de a nu face publice aceste date prin aplicarea art. 33 alin. (7) și alin. (11) al Legii nr. 131/2015 privind achizițiile publice, însă aplicarea acestui articol 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 </w:t>
      </w:r>
      <w:r>
        <w:t xml:space="preserve">Examinarea documentelor de către autoritatea contractantă se efectuează în baza informațiilor prezentate de către operatorii economici în DUAE, și conform cerințelor stipulate în anunțul de participare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este eligibil să participe la procedurile de achiziții publice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se obligă 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70. </w:t>
      </w:r>
      <w:r>
        <w:t xml:space="preserve">DUAE a operatorilor economici se verifică după caz, direct de către autoritatea contractantă prin procedurile automate desfășurate în SIA RSAP, prin accesarea unei baze de </w:t>
      </w:r>
      <w:r>
        <w:t xml:space="preserve">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71. </w:t>
      </w:r>
      <w:r>
        <w:t xml:space="preserve">În cazul în care la evaluare se stabilesc discrepanțe între informațiile prezentate de către operatorul</w:t>
      </w:r>
      <w:r>
        <w:t xml:space="preserve"> economic în DUAE și cerințele stabilite de către autoritatea contractantă, operatorul economic se descalifică, ceea ce duce la respingerea ofertei, fiind stabilită ca inacceptabilă și neconformă, și se examinează documentele următorului ofertant/candidat.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72.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73</w:t>
      </w:r>
      <w:r>
        <w:t xml:space="preserve">. Ofertantul clasat pe primul loc după aplicarea criteriului de atribuire prezintă documentele justificative prin care să demonstreze că îndeplineşte în totalitate cerinţele corespunzătoare criteriilor de calificare </w:t>
      </w:r>
      <w:r>
        <w:t xml:space="preserve">și de selecție, în conformitate cu informaţiile cuprinse  în DUAE, cu excepţia procedurilor desfăşurate în mai multe etape, când documentele justificative sunt solicitate înainte de transmiterea invitaţiilor pentru etapa a doua către candidaţii selectaţi.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74. </w:t>
      </w:r>
      <w:r>
        <w:t xml:space="preserve">Ofertele se examinează de către </w:t>
      </w:r>
      <w:r>
        <w:rPr>
          <w:lang w:eastAsia="en-GB"/>
        </w:rPr>
        <w:t xml:space="preserve">grupul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75.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76. </w:t>
      </w:r>
      <w:r>
        <w:t xml:space="preserve">În cazul unei oferte care are un preț anormal de scăzut în raport cu prețul estimat al achiziției, autoritatea </w:t>
      </w:r>
      <w:r>
        <w:t xml:space="preserve">contractantă are obligația de a efectua controlul calculării elementelor prețului și de a verifica și anumite elemente ale propunerii financiare stabilite ca fiind cu preț anormal de scăzut cât și respectarea de către ofertant a cerințelor tehnice indicate</w:t>
      </w:r>
      <w:r>
        <w:t xml:space="preserve"> în caietul de sarcini, și de a solicita în scris, și înainte de a lua o decizie de respingere a acelei oferte, detalii și precizări pe care le consideră relevante cu privire la ofertă,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77. </w:t>
      </w:r>
      <w:r>
        <w:t xml:space="preserve">Grupul de lucru </w:t>
      </w:r>
      <w:r>
        <w:rPr>
          <w:lang w:eastAsia="en-GB"/>
        </w:rPr>
        <w:t xml:space="preserve">sau, după caz, specialistul certificat în domeniul achizițiilor publice </w:t>
      </w:r>
      <w:r>
        <w:t xml:space="preserve">respinge oferta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ofertantul nu îndeplinește cerințele de calificare și de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 oferta nu respectă cerinţele prevăzute în documentaţia de atribuire 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 70 al Legii nr. 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 atunci când </w:t>
      </w:r>
      <w:r>
        <w:t xml:space="preserve">explicațiile prezentate de ofertant, la solicitarea autorității contractante, nu sunt concludente şi/sau nu sunt susținute de documentele justificative cerute de către grupul de lucru sau, după caz, specialistul certificat în domeniul achizițiilor publice;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hotărâre definitivă a instanţei de judecată.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78. </w:t>
      </w:r>
      <w:r>
        <w:t xml:space="preserve">Dacă oferta, inclusiv formularele care o însoțesc, nu corespunde cerințelor prestabilite în invitația/anunțul de participare, inclusiv în documentația de atribuire sau aceasta nu este </w:t>
      </w:r>
      <w:r>
        <w:t xml:space="preserve">completată, semnată electronic și după caz, semnată și ștampilată în modul corespunzător, ea se respinge de căt</w:t>
      </w:r>
      <w:r>
        <w:t xml:space="preserve">re autoritatea contractantă, și nu poate fi rectificată cu scopul de a corespunde cerințelor, prin corectarea sau extragerea devierilor sau rezervelor necorespunzătoare, excepție constituind doar corectarea greșelilor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 </w:t>
      </w:r>
      <w:r>
        <w:t xml:space="preserve">Autoritatea contractantă poate, la discreţia sa, să ceară oricăruia dintre ofertanţi o clarificare a ofertei acestora, pentru a fac</w:t>
      </w:r>
      <w:r>
        <w:t xml:space="preserve">ilita examinarea, evaluarea și compararea ofertelor. Nu se solicită, nici nu se permit 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80</w:t>
      </w:r>
      <w:r>
        <w:t xml:space="preserve">. Erorile aritmetice se corectează după c</w:t>
      </w:r>
      <w:r>
        <w:t xml:space="preserve">um urmează: dacă există o discrepanţă între preţul pentru o unitate de măsură şi preţul total (care este obţinut prin multiplicarea preţului cu cantitatea totală), se ia în considerare preţul pe unitate, iar preţul total este corectat în mod corespunzător.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81. </w:t>
      </w:r>
      <w:r>
        <w:t xml:space="preserve">Grupul de lucru,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82. </w:t>
      </w:r>
      <w:r>
        <w:rPr>
          <w:bCs/>
        </w:rPr>
        <w:t xml:space="preserve">Operatorul econ</w:t>
      </w:r>
      <w:r>
        <w:rPr>
          <w:bCs/>
        </w:rPr>
        <w:t xml:space="preserve">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w:t>
      </w:r>
      <w:r>
        <w:t xml:space="preserve">uplimentează, nu prezintă clarificări sau nu completează informațiile sau documentele solicitate de autoritatea contractantă în termenele stabilite de aceasta, oferta se respinge şi se selectează următoarea după clasament 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83. </w:t>
      </w:r>
      <w:r>
        <w:t xml:space="preserve">Oferta care corespunde tuturor termenilor, condiţiilor şi specificaţiilor din documentele de atribuire, fără abateri esenţiale sau cu abateri neînsemnate, erori sau omiteri ce pot fi înlăturate fără a afecta esenţa ei, se consideră conformă.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84. </w:t>
      </w:r>
      <w:r>
        <w:t xml:space="preserve">Autoritatea contractantă descalifică ofertantul care depune documente ce conţin informaţii false, cu scopul calificării, sau derutează ori face reprezentări neadevărate pentru a demonstra corespunderea sa cerinţelor de calificare. Î</w:t>
      </w:r>
      <w:r>
        <w:t xml:space="preserve">n cazul în care acest lucru este dovedit, autoritatea contractantă declară ofertantul respectiv ca fiind neeligibil pentru participarea ulterioară în contractele de achiziţii publice, în urma includerii 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86. </w:t>
      </w:r>
      <w:r>
        <w:t xml:space="preserve">Ofertantul/ofertantul asociat desemnat câștigător este obligat de a completa și prezenta declarația cu privire la beneficiarii efectivi în conformitate cu Ordinul ministrului finanțelor nr. 145/2020 cu privire</w:t>
      </w:r>
      <w:r>
        <w:t xml:space="preserve"> la aprobarea Declarației privind confirmarea identității beneficiarilor efectivi și neîncadrarea acestora în situația condamnării pentru participarea la activități ale unei organizații sau grupări criminale, pentru corupție, fraudă și/sau spălare de bani.</w:t>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Atribuirea contractului</w:t>
      </w:r>
      <w:r>
        <w:rPr>
          <w:rFonts w:eastAsiaTheme="majorEastAsia"/>
          <w:b/>
          <w:bCs/>
        </w:rPr>
      </w:r>
      <w:r>
        <w:rPr>
          <w:rFonts w:eastAsiaTheme="majorEastAsia"/>
          <w:b/>
          <w:bCs/>
        </w:rPr>
      </w:r>
    </w:p>
    <w:p>
      <w:pPr>
        <w:pBdr/>
        <w:tabs>
          <w:tab w:val="left" w:leader="none" w:pos="-284"/>
          <w:tab w:val="left" w:leader="none" w:pos="360"/>
          <w:tab w:val="left" w:leader="none" w:pos="462"/>
          <w:tab w:val="left" w:leader="none" w:pos="960"/>
        </w:tabs>
        <w:spacing w:after="120"/>
        <w:ind w:firstLine="284" w:left="-284"/>
        <w:jc w:val="both"/>
        <w:rPr/>
      </w:pPr>
      <w:r>
        <w:rPr>
          <w:b/>
        </w:rPr>
        <w:t xml:space="preserve">87. </w:t>
      </w:r>
      <w:r>
        <w:t xml:space="preserve">Autoritatea contractantă anulează procedura de atribuire a contractului de achiziţie publică conform art. 71 din Legea nr. 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88. </w:t>
      </w:r>
      <w:r>
        <w:t xml:space="preserve">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 xml:space="preserve">â</w:t>
      </w:r>
      <w:r>
        <w:t xml:space="preserve">rziu de data informării despre rezultatele </w:t>
      </w:r>
      <w:r>
        <w:t xml:space="preserve">procedurii de atribuire prevăzută la art. 31 alin. (1) al Legii nr. 131/2015 privind achizițiile publice.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 </w:t>
      </w:r>
      <w:r>
        <w:t xml:space="preserve">În cazul în care se anulează aplicarea procedurii pentru atribuirea contractului de achiziţie publică, 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90.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 xml:space="preserve">stipulate în</w:t>
      </w:r>
      <w:r>
        <w:t xml:space="preserve"> art. 68 al Legii nr. 131/2015 privind achizițiile publice.</w:t>
      </w:r>
      <w:r>
        <w:rPr>
          <w:bCs/>
          <w:color w:val="000000" w:themeColor="text1"/>
          <w:lang w:eastAsia="it-IT"/>
        </w:rPr>
      </w:r>
      <w:r>
        <w:rPr>
          <w:bCs/>
          <w:color w:val="000000" w:themeColor="text1"/>
          <w:lang w:eastAsia="it-IT"/>
        </w:rPr>
      </w:r>
    </w:p>
    <w:p>
      <w:pPr>
        <w:pStyle w:val="1016"/>
        <w:pBdr/>
        <w:shd w:val="clear" w:color="auto" w:fill="ffffff"/>
        <w:tabs>
          <w:tab w:val="left" w:leader="none" w:pos="-284"/>
        </w:tabs>
        <w:spacing/>
        <w:ind w:firstLine="284" w:left="-284"/>
        <w:rPr>
          <w:lang w:val="it-IT" w:eastAsia="it-IT"/>
        </w:rPr>
      </w:pPr>
      <w:r>
        <w:rPr>
          <w:b/>
          <w:lang w:val="it-IT"/>
        </w:rPr>
        <w:t xml:space="preserve">92.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w:t>
      </w:r>
      <w:r>
        <w:rPr>
          <w:lang w:val="it-IT" w:eastAsia="it-IT"/>
        </w:rPr>
        <w:t xml:space="preserve">uccesive din plata cuvenită pentru facturile fiscale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 fiscale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 autorității contractante;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(anexa nr.10).</w:t>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93.</w:t>
      </w:r>
      <w:r>
        <w:t xml:space="preserve"> Refuzul ofertantului </w:t>
      </w:r>
      <w:r>
        <w:t xml:space="preserve">câştigător de a depune garanţia de bună execuţie sau de a semna contractul constituie motiv pentru anularea atribuirii contractului şi reţinerii garanţiei pentru ofertă. În acest caz, autoritatea contractantă poate atribui 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95. </w:t>
      </w:r>
      <w:r>
        <w:rPr>
          <w:lang w:eastAsia="en-GB"/>
        </w:rPr>
        <w:t xml:space="preserve">La data încheierii co</w:t>
      </w:r>
      <w:r>
        <w:rPr>
          <w:lang w:eastAsia="en-GB"/>
        </w:rPr>
        <w:t xml:space="preserve">ntractului de achiziție publică de bunuri/servicii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96.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97. </w:t>
      </w:r>
      <w:r>
        <w:t xml:space="preserve">Autoritatea contractantă utilizează contractul - model (</w:t>
      </w:r>
      <w:r>
        <w:t xml:space="preserve">anexa nr. 24) din prezenta documentație-standard, inclusiv pentru contracte subsecvente încheiate conform acordului-cadru (anexa nr. 26), pentru contracte de valoare mică, pentru contractele în urma desfășurării procedurii prin cererea ofertelor de prețuri</w:t>
      </w:r>
      <w:r>
        <w:t xml:space="preserve">, la fel și pentru contractele în urma desfășurării procedurilor negociate. Contractul poate fi încheiat între una sau mai multe autorități contractante și unul sau mai mulți operatori economici, care are ca obiect livrarea/prestarea bunurilor/serviciilor.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w:t>
      </w:r>
      <w:r>
        <w:t xml:space="preserve">a stabili condiții/cerințe spec</w:t>
      </w:r>
      <w:r>
        <w:t xml:space="preserve">iale în dependență de obiectul achiziției, de complexitatea procedurii, atât și de a stabili condițiile achitării (în special la achiziționarea combustibilului, energiei electrice, gaze, apa și canalizare, salubritate, servicii de comunicații electronice, </w:t>
      </w:r>
      <w:r>
        <w:t xml:space="preserve">etc.), atât și de a stabili condițiile achitării în avans. În cazul achizițiilor serviciilor din domeniul energetic și de alimentare cu apă și  de canalizare, contractul de achiziții publice conțin clauzele obligatorii stabilite prin legile sectoriale și a</w:t>
      </w:r>
      <w:r>
        <w:t xml:space="preserve">ctele normative de reglementare aprobate de către ANRE. Totodată, prevederile obligatorii stabilite prin deciziile acesteia, care nu se regăsec în partea I cea generală al contractului, se indică în partea II ce ține de condițiile speciale al contractului.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100. </w:t>
      </w:r>
      <w:r>
        <w:t xml:space="preserve">În cazul serviciilor de audit, autoritatea contractantă indică în partea II ce ține de condițiile speciale al contractului drepturile/</w:t>
      </w:r>
      <w:bookmarkStart w:id="67" w:name="_Hlk65836894"/>
      <w:r>
        <w:t xml:space="preserve">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101.</w:t>
      </w:r>
      <w:r>
        <w:t xml:space="preserve"> Nu se acceptă în cadrul achizițiilor publice proiectele contractelor ce deviază de la </w:t>
      </w:r>
      <w:bookmarkStart w:id="68" w:name="_Hlk71287993"/>
      <w:r>
        <w:t xml:space="preserve">anexa nr. 24, </w:t>
      </w:r>
      <w:bookmarkEnd w:id="68"/>
      <w:r>
        <w:t xml:space="preserve">întocmite de prestator/furnizor cu excepția cazurilor când serviciile sunt prestate în afara țării și sunt încheiate conform cadrului juridic local (de exemplu: serviciile de instruire, servicii hoteliere, etc.).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102</w:t>
      </w:r>
      <w:r>
        <w:t xml:space="preserve">. Orice operator economic care consideră că, în cadrul procedurilor de achiziţie, autoritatea contractantă, prin decizia emisă sau prin procedura de achiziţie aplicată cu încălcarea legii, a l</w:t>
      </w:r>
      <w:r>
        <w:t xml:space="preserve">ezat un drept al său recunoscut de lege, în urma cărui fapt el a suportat sau poate suporta prejudicii, are dreptul să conteste decizia sau procedura aplicată de autoritatea contractantă, în modul stabilit de Legea nr. 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104. </w:t>
      </w:r>
      <w:r>
        <w:t xml:space="preserve">Operatorul economic, conform art. 83 al Legii nr. 131/2015 privind achizițiile publice, în termen de până la 5 zile, sau10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105. </w:t>
      </w:r>
      <w:r>
        <w:t xml:space="preserve">Contestaţiile privind anunțurile de participare la licitaţie şi documentaţia de atribuire se depun în termenele indicate la pct. 104, însă nu mai târziu de deschiderea ofertelor 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106. </w:t>
      </w:r>
      <w:r>
        <w:rPr>
          <w:bCs/>
          <w:color w:val="000000"/>
        </w:rPr>
        <w:t xml:space="preserve">Fiecare ofertant care participă, în mod individual sau ca asociat, la proc</w:t>
      </w:r>
      <w:r>
        <w:rPr>
          <w:bCs/>
          <w:color w:val="000000"/>
        </w:rPr>
        <w:t xml:space="preserve">edura de atribuire a contractului de achiziție publică de bunuri/servicii are obligația să prezinte anexele prevăzute în prezenta documentație, completate în mod corespunzător şi semnate de persoanele autorizate, conform cerințelor stabilite în anexa nr.2.</w:t>
      </w:r>
      <w:r>
        <w:rPr>
          <w:bCs/>
          <w:color w:val="000000"/>
        </w:rPr>
      </w:r>
      <w:r>
        <w:rPr>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sz w:val="22"/>
          <w:szCs w:val="22"/>
          <w:lang w:val="it-IT"/>
        </w:rPr>
        <w:t xml:space="preserve">Anexa nr. 1</w:t>
      </w:r>
      <w:r>
        <w:rPr>
          <w:sz w:val="22"/>
          <w:szCs w:val="22"/>
          <w:lang w:val="it-IT"/>
        </w:rPr>
      </w:r>
      <w:r>
        <w:rPr>
          <w:sz w:val="22"/>
          <w:szCs w:val="22"/>
          <w:lang w:val="it-IT"/>
        </w:rPr>
      </w:r>
    </w:p>
    <w:p>
      <w:pPr>
        <w:pBdr/>
        <w:spacing/>
        <w:ind/>
        <w:jc w:val="right"/>
        <w:rPr>
          <w:sz w:val="22"/>
          <w:szCs w:val="22"/>
          <w:lang w:val="it-IT"/>
        </w:rPr>
      </w:pPr>
      <w:r>
        <w:rPr>
          <w:sz w:val="22"/>
          <w:szCs w:val="22"/>
          <w:lang w:val="it-IT"/>
        </w:rPr>
        <w:t xml:space="preserve">la Documentația standard nr._____</w:t>
      </w:r>
      <w:r>
        <w:rPr>
          <w:sz w:val="22"/>
          <w:szCs w:val="22"/>
          <w:lang w:val="it-IT"/>
        </w:rPr>
      </w:r>
      <w:r>
        <w:rPr>
          <w:sz w:val="22"/>
          <w:szCs w:val="22"/>
          <w:lang w:val="it-IT"/>
        </w:rPr>
      </w:r>
    </w:p>
    <w:p>
      <w:pPr>
        <w:pBdr/>
        <w:spacing/>
        <w:ind/>
        <w:jc w:val="right"/>
        <w:rPr>
          <w:sz w:val="22"/>
          <w:szCs w:val="22"/>
          <w:lang w:val="it-IT"/>
        </w:rPr>
      </w:pPr>
      <w:r>
        <w:rPr>
          <w:sz w:val="22"/>
          <w:szCs w:val="22"/>
          <w:lang w:val="it-IT"/>
        </w:rPr>
        <w:t xml:space="preserve">din “____” ________ 202</w:t>
      </w:r>
      <w:r>
        <w:rPr>
          <w:sz w:val="22"/>
          <w:szCs w:val="22"/>
          <w:lang w:val="it-IT"/>
        </w:rPr>
        <w:t xml:space="preserve">6</w:t>
      </w:r>
      <w:r>
        <w:rPr>
          <w:sz w:val="22"/>
          <w:szCs w:val="22"/>
          <w:lang w:val="it-IT"/>
        </w:rPr>
      </w:r>
      <w:r>
        <w:rPr>
          <w:sz w:val="22"/>
          <w:szCs w:val="22"/>
          <w:lang w:val="it-IT"/>
        </w:rPr>
      </w:r>
    </w:p>
    <w:p>
      <w:pPr>
        <w:pStyle w:val="1044"/>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9"/>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64"/>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sz w:val="22"/>
                <w:szCs w:val="22"/>
              </w:rPr>
            </w:pPr>
            <w:r>
              <w:rPr>
                <w:rFonts w:eastAsia="Calibri"/>
                <w:sz w:val="22"/>
                <w:szCs w:val="22"/>
              </w:rPr>
              <w:t xml:space="preserve">Agenția Teritorială de Asistență Socială Centru</w:t>
            </w:r>
            <w:r>
              <w:rPr>
                <w:rFonts w:eastAsia="Calibri"/>
                <w:sz w:val="22"/>
                <w:szCs w:val="22"/>
              </w:rPr>
            </w:r>
            <w:r>
              <w:rPr>
                <w:rFonts w:eastAsia="Calibri"/>
                <w:sz w:val="22"/>
                <w:szCs w:val="22"/>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b/>
                <w:bCs/>
              </w:rPr>
            </w:pPr>
            <w:r>
              <w:rPr>
                <w:rFonts w:eastAsia="Calibri"/>
                <w:b/>
                <w:bCs/>
              </w:rPr>
              <w:t xml:space="preserve">1023601000164</w:t>
            </w:r>
            <w:r>
              <w:rPr>
                <w:rFonts w:eastAsia="Calibri"/>
                <w:b/>
                <w:bCs/>
              </w:rPr>
            </w:r>
            <w:r>
              <w:rPr>
                <w:rFonts w:eastAsia="Calibri"/>
                <w:b/>
                <w:bCs/>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Or. Ialoveni, str. Alexandru cel Bun 25</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067877177</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bookmarkStart w:id="70" w:name="_Hlk189137284"/>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bookmarkEnd w:id="70"/>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www.restart.md</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Olesea Garștea</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Adresa de e-mail sau pagina web oficială de la care se va putea obține accesul liber, direct, total și gratuit la documentația de atribuire </w:t>
            </w: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t xml:space="preserve">atas.centru@social.gov.md</w:t>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sz w:val="20"/>
                <w:szCs w:val="20"/>
              </w:rPr>
            </w:pPr>
            <w:r>
              <w:rPr>
                <w:rFonts w:eastAsia="Calibri"/>
              </w:rPr>
              <w:t xml:space="preserve">Tipul autorității contractante și obiectul principal de activitate</w:t>
            </w: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9"/>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bunurilor/ serviciilor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9"/>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64"/>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 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9"/>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64"/>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sz w:val="22"/>
                <w:szCs w:val="22"/>
              </w:rPr>
            </w:pPr>
            <w:r>
              <w:rPr>
                <w:i/>
                <w:sz w:val="22"/>
                <w:szCs w:val="22"/>
                <w:lang w:eastAsia="zh-CN"/>
              </w:rPr>
              <w:t xml:space="preserve">(Numai în cazul anunțurilor transmise spre publicare în Jurnalul Oficial al Uniunii Europene,  în continuare JOUE)</w:t>
            </w:r>
            <w:r>
              <w:rPr>
                <w:rFonts w:eastAsia="Calibri"/>
                <w:sz w:val="22"/>
                <w:szCs w:val="22"/>
              </w:rPr>
            </w:r>
            <w:r>
              <w:rPr>
                <w:rFonts w:eastAsia="Calibri"/>
                <w:sz w:val="22"/>
                <w:szCs w:val="22"/>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color w:val="000000"/>
          <w:sz w:val="22"/>
          <w:szCs w:val="22"/>
          <w:shd w:val="clear" w:color="auto" w:fill="ffffff"/>
        </w:rPr>
      </w:pPr>
      <w:r>
        <w:rPr>
          <w:rFonts w:eastAsia="Calibri"/>
          <w:b/>
          <w:i/>
          <w:color w:val="ff0000"/>
          <w:sz w:val="22"/>
          <w:szCs w:val="22"/>
        </w:rPr>
        <w:t xml:space="preserve">Notă: </w:t>
      </w:r>
      <w:r>
        <w:rPr>
          <w:rFonts w:eastAsia="Calibri"/>
          <w:i/>
          <w:sz w:val="22"/>
          <w:szCs w:val="22"/>
        </w:rPr>
        <w:t xml:space="preserve">A</w:t>
      </w:r>
      <w:r>
        <w:rPr>
          <w:rFonts w:eastAsia="Calibri"/>
          <w:i/>
          <w:color w:val="000000"/>
          <w:sz w:val="22"/>
          <w:szCs w:val="22"/>
          <w:shd w:val="clear" w:color="auto" w:fill="ffffff"/>
        </w:rPr>
        <w:t xml:space="preserve">nunțurile de intenție privind achiziţiile publice pre</w:t>
      </w:r>
      <w:r>
        <w:rPr>
          <w:rFonts w:eastAsia="Calibri"/>
          <w:i/>
          <w:color w:val="000000"/>
          <w:sz w:val="22"/>
          <w:szCs w:val="22"/>
          <w:shd w:val="clear" w:color="auto" w:fill="ffffff"/>
        </w:rPr>
        <w:t xml:space="preserve">conizate se publică în Buletinul achiziţiilor publice în cel mult 30 de zile de la data aprobării bugetului propriu al autorităţii contractante, în mod separat pentru fiecare procedură de achiziție (art.28 al Legii nr.131/2015 privind achizițiile publice).</w:t>
      </w:r>
      <w:r>
        <w:rPr>
          <w:rFonts w:eastAsia="Calibri"/>
          <w:i/>
          <w:color w:val="000000"/>
          <w:sz w:val="22"/>
          <w:szCs w:val="22"/>
          <w:shd w:val="clear" w:color="auto" w:fill="ffffff"/>
        </w:rPr>
      </w:r>
      <w:r>
        <w:rPr>
          <w:rFonts w:eastAsia="Calibri"/>
          <w:i/>
          <w:color w:val="000000"/>
          <w:sz w:val="22"/>
          <w:szCs w:val="22"/>
          <w:shd w:val="clear" w:color="auto" w:fill="ffffff"/>
        </w:rPr>
      </w:r>
    </w:p>
    <w:p>
      <w:pPr>
        <w:pBdr/>
        <w:spacing/>
        <w:ind/>
        <w:jc w:val="right"/>
        <w:rPr>
          <w:sz w:val="22"/>
          <w:szCs w:val="22"/>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lang w:val="it-IT"/>
        </w:rPr>
        <w:t xml:space="preserve">Anexa nr. 2</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Bdr/>
        <w:spacing w:before="120"/>
        <w:ind/>
        <w:jc w:val="center"/>
        <w:outlineLvl w:val="0"/>
        <w:rPr>
          <w:b/>
          <w:sz w:val="28"/>
          <w:szCs w:val="28"/>
          <w:lang w:eastAsia="ru-RU"/>
        </w:rPr>
      </w:pPr>
      <w:r/>
      <w:bookmarkStart w:id="71" w:name="_Hlk77770922"/>
      <w:r>
        <w:rPr>
          <w:b/>
          <w:sz w:val="28"/>
          <w:szCs w:val="28"/>
          <w:lang w:eastAsia="ru-RU"/>
        </w:rPr>
        <w:t xml:space="preserve">ANUNȚ DE PARTICIPARE INCLUSIV PENTRU PROCEDURILE DE PRESELECȚIE/PROCEDURILE NEGOCIATE</w:t>
      </w:r>
      <w:bookmarkEnd w:id="71"/>
      <w:r>
        <w:rPr>
          <w:b/>
          <w:sz w:val="28"/>
          <w:szCs w:val="28"/>
          <w:lang w:eastAsia="ru-RU"/>
        </w:rPr>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ro-RO"/>
        </w:rPr>
        <w:t xml:space="preserve">             </w:t>
      </w:r>
      <w:r>
        <w:rPr>
          <w:b/>
          <w:u w:val="single"/>
          <w:shd w:val="clear" w:color="auto" w:fill="ffffff" w:themeFill="background1"/>
          <w:lang w:val="ro-RO"/>
        </w:rPr>
        <w:t xml:space="preserve"> </w:t>
      </w:r>
      <w:r>
        <w:rPr>
          <w:b/>
          <w:u w:val="single"/>
          <w:shd w:val="clear" w:color="auto" w:fill="ffffff" w:themeFill="background1"/>
          <w:lang w:val="it-IT" w:eastAsia="ru-RU"/>
        </w:rPr>
        <w:t xml:space="preserve">Produse petroliere pentru anul 2026</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w:t>
      </w:r>
      <w:r>
        <w:rPr>
          <w:b/>
          <w:lang w:val="ro-RO"/>
        </w:rPr>
        <w:t xml:space="preserve">        </w:t>
      </w:r>
      <w:r>
        <w:rPr>
          <w:b/>
          <w:u w:val="single"/>
          <w:lang w:val="it-IT" w:eastAsia="ru-RU"/>
        </w:rPr>
        <w:t xml:space="preserve">Cererea Ofertelor de Prețuri (COP)</w:t>
      </w:r>
      <w:r>
        <w:rPr>
          <w:b/>
          <w:lang w:val="it-IT" w:eastAsia="ru-RU"/>
        </w:rPr>
        <w:br/>
      </w:r>
      <w:r>
        <w:rPr>
          <w:sz w:val="20"/>
          <w:lang w:val="it-IT" w:eastAsia="ru-RU"/>
        </w:rPr>
        <w:t xml:space="preserve">                                                                                (tipul procedurii de achiziție)</w:t>
      </w:r>
      <w:r>
        <w:rPr>
          <w:b/>
          <w:lang w:val="it-IT" w:eastAsia="ru-RU"/>
        </w:rPr>
      </w:r>
      <w:r>
        <w:rPr>
          <w:b/>
          <w:lang w:val="it-IT" w:eastAsia="ru-RU"/>
        </w:rPr>
      </w:r>
    </w:p>
    <w:p>
      <w:pPr>
        <w:pBdr/>
        <w:shd w:val="clear" w:color="auto" w:fill="ffffff" w:themeFill="background1"/>
        <w:tabs>
          <w:tab w:val="left" w:leader="none" w:pos="284"/>
          <w:tab w:val="right" w:leader="none" w:pos="9531"/>
        </w:tabs>
        <w:spacing w:before="120"/>
        <w:ind w:hanging="284" w:left="284"/>
        <w:rPr>
          <w:b w:val="0"/>
          <w:bCs w:val="0"/>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w:t>
      </w:r>
      <w:r>
        <w:rPr>
          <w:b w:val="0"/>
          <w:bCs w:val="0"/>
          <w:lang w:val="ru-RU" w:eastAsia="ru-RU"/>
        </w:rPr>
        <w:t xml:space="preserve">Agenția Teritorială de Asistență Socială</w:t>
      </w:r>
      <w:r>
        <w:rPr>
          <w:b w:val="0"/>
          <w:bCs w:val="0"/>
          <w:lang w:val="ro-RO"/>
        </w:rPr>
        <w:t xml:space="preserve"> </w:t>
      </w:r>
      <w:r>
        <w:rPr>
          <w:b w:val="0"/>
          <w:bCs w:val="0"/>
          <w:lang w:val="ru-RU" w:eastAsia="ru-RU"/>
        </w:rPr>
        <w:t xml:space="preserve">Centru-Vest Ungheni</w:t>
      </w:r>
      <w:r>
        <w:rPr>
          <w:b w:val="0"/>
          <w:bCs w:val="0"/>
        </w:rPr>
      </w:r>
      <w:r>
        <w:rPr>
          <w:b w:val="0"/>
          <w:bCs w:val="0"/>
        </w:rPr>
      </w:r>
    </w:p>
    <w:p>
      <w:pPr>
        <w:numPr>
          <w:ilvl w:val="0"/>
          <w:numId w:val="10"/>
        </w:numPr>
        <w:pBdr/>
        <w:shd w:val="clear" w:color="auto" w:fill="ffffff" w:themeFill="background1"/>
        <w:tabs>
          <w:tab w:val="left" w:leader="none" w:pos="284"/>
          <w:tab w:val="right" w:leader="none" w:pos="9531"/>
        </w:tabs>
        <w:spacing w:before="120"/>
        <w:ind w:hanging="284" w:left="284"/>
        <w:rPr>
          <w:b w:val="0"/>
          <w:bCs w:val="0"/>
        </w:rPr>
      </w:pPr>
      <w:r>
        <w:rPr>
          <w:b/>
          <w:lang w:val="ru-RU" w:eastAsia="ru-RU"/>
        </w:rPr>
        <w:t xml:space="preserve">IDNO:</w:t>
      </w:r>
      <w:r>
        <w:rPr>
          <w:b w:val="0"/>
          <w:bCs w:val="0"/>
          <w:lang w:val="ru-RU" w:eastAsia="ru-RU"/>
        </w:rPr>
        <w:t xml:space="preserve">1024601000035</w:t>
      </w:r>
      <w:r>
        <w:rPr>
          <w:b w:val="0"/>
          <w:bCs w:val="0"/>
        </w:rPr>
      </w:r>
      <w:r>
        <w:rPr>
          <w:b w:val="0"/>
          <w:bCs w:val="0"/>
        </w:rPr>
      </w:r>
    </w:p>
    <w:p>
      <w:pPr>
        <w:numPr>
          <w:ilvl w:val="0"/>
          <w:numId w:val="10"/>
        </w:numPr>
        <w:pBdr/>
        <w:shd w:val="clear" w:color="auto" w:fill="ffffff" w:themeFill="background1"/>
        <w:tabs>
          <w:tab w:val="left" w:leader="none" w:pos="284"/>
          <w:tab w:val="right" w:leader="none" w:pos="9531"/>
        </w:tabs>
        <w:spacing w:before="120"/>
        <w:ind w:hanging="284" w:left="284"/>
        <w:rPr>
          <w:b w:val="0"/>
          <w:bCs w:val="0"/>
        </w:rPr>
      </w:pPr>
      <w:r>
        <w:rPr>
          <w:b/>
          <w:lang w:val="ru-RU" w:eastAsia="ru-RU"/>
        </w:rPr>
        <w:t xml:space="preserve">Adresa</w:t>
      </w:r>
      <w:r>
        <w:rPr>
          <w:b/>
          <w:lang w:val="ro-RO"/>
        </w:rPr>
        <w:t xml:space="preserve"> </w:t>
      </w:r>
      <w:r>
        <w:rPr>
          <w:b w:val="0"/>
          <w:bCs w:val="0"/>
          <w:lang w:val="ro-RO"/>
        </w:rPr>
        <w:t xml:space="preserve"> </w:t>
      </w:r>
      <w:r>
        <w:rPr>
          <w:b w:val="0"/>
          <w:bCs w:val="0"/>
          <w:shd w:val="clear" w:color="auto" w:fill="ffffff" w:themeFill="background1"/>
          <w:lang w:val="ru-RU" w:eastAsia="ru-RU"/>
        </w:rPr>
        <w:t xml:space="preserve">mun.Ungheni, str.Națională nr.50</w:t>
      </w:r>
      <w:r>
        <w:rPr>
          <w:b w:val="0"/>
          <w:bCs w:val="0"/>
        </w:rPr>
      </w:r>
      <w:r>
        <w:rPr>
          <w:b w:val="0"/>
          <w:bCs w:val="0"/>
        </w:rPr>
      </w:r>
    </w:p>
    <w:p>
      <w:pPr>
        <w:numPr>
          <w:ilvl w:val="0"/>
          <w:numId w:val="10"/>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val="0"/>
          <w:bCs w:val="0"/>
          <w:shd w:val="clear" w:color="auto" w:fill="ffffff" w:themeFill="background1"/>
          <w:lang w:val="ru-RU" w:eastAsia="ru-RU"/>
        </w:rPr>
        <w:t xml:space="preserve">068384781</w:t>
      </w:r>
      <w:r>
        <w:rPr>
          <w:b/>
          <w:lang w:val="ru-RU" w:eastAsia="ru-RU"/>
        </w:rPr>
      </w:r>
      <w:r>
        <w:rPr>
          <w:b/>
          <w:lang w:val="ru-RU" w:eastAsia="ru-RU"/>
        </w:rPr>
      </w:r>
    </w:p>
    <w:p>
      <w:pPr>
        <w:pBdr/>
        <w:shd w:val="clear" w:color="auto" w:fill="ffffff" w:themeFill="background1"/>
        <w:tabs>
          <w:tab w:val="left" w:leader="none" w:pos="284"/>
          <w:tab w:val="right" w:leader="none" w:pos="9531"/>
        </w:tabs>
        <w:spacing w:before="120"/>
        <w:ind w:hanging="284" w:left="284"/>
        <w:rPr>
          <w:b w:val="0"/>
          <w:bCs w:val="0"/>
        </w:rPr>
      </w:pPr>
      <w:r>
        <w:rPr>
          <w:b/>
          <w:lang w:val="it-IT" w:eastAsia="ru-RU"/>
        </w:rPr>
        <w:t xml:space="preserve">Adresa de e-mail și pagina web oficială ale autorității contractante:</w:t>
      </w:r>
      <w:r>
        <w:rPr>
          <w:b/>
          <w:lang w:val="ro-RO"/>
        </w:rPr>
        <w:t xml:space="preserve">  </w:t>
      </w:r>
      <w:r>
        <w:rPr>
          <w:b w:val="0"/>
          <w:bCs w:val="0"/>
          <w:lang w:val="it-IT" w:eastAsia="ru-RU"/>
        </w:rPr>
        <w:t xml:space="preserve">atas.centruvest@</w:t>
      </w:r>
      <w:r>
        <w:rPr>
          <w:b w:val="0"/>
          <w:bCs w:val="0"/>
          <w:lang w:val="it-IT" w:eastAsia="ru-RU"/>
        </w:rPr>
        <w:t xml:space="preserve">social.gov.md</w:t>
      </w:r>
      <w:r>
        <w:rPr>
          <w:b w:val="0"/>
          <w:bCs w:val="0"/>
        </w:rPr>
      </w:r>
      <w:r>
        <w:rPr>
          <w:b w:val="0"/>
          <w:bCs w:val="0"/>
        </w:rPr>
      </w:r>
    </w:p>
    <w:p>
      <w:pPr>
        <w:numPr>
          <w:ilvl w:val="0"/>
          <w:numId w:val="10"/>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numPr>
          <w:ilvl w:val="0"/>
          <w:numId w:val="10"/>
        </w:numPr>
        <w:pBdr/>
        <w:shd w:val="clear" w:color="auto" w:fill="ffffff" w:themeFill="background1"/>
        <w:tabs>
          <w:tab w:val="left" w:leader="none" w:pos="284"/>
          <w:tab w:val="right" w:leader="none" w:pos="9531"/>
        </w:tabs>
        <w:spacing w:before="120"/>
        <w:ind w:hanging="288" w:left="288"/>
        <w:rPr>
          <w:b w:val="0"/>
          <w:bCs w:val="0"/>
        </w:rPr>
      </w:pPr>
      <w:r>
        <w:rPr>
          <w:b/>
          <w:lang w:val="it-IT" w:eastAsia="ru-RU"/>
        </w:rPr>
        <w:t xml:space="preserve">Tipul autorității contractante și obiectul principal de activitate (dacă este cazul, mențiunea că autoritat</w:t>
      </w:r>
      <w:r>
        <w:rPr>
          <w:b/>
          <w:lang w:val="it-IT" w:eastAsia="ru-RU"/>
        </w:rPr>
        <w:t xml:space="preserve">ea contractantă este o autoritate centrală de achiziție sau că achiziția implică o altă formă de achiziție comună): </w:t>
      </w:r>
      <w:r>
        <w:rPr>
          <w:b w:val="0"/>
          <w:bCs w:val="0"/>
          <w:lang w:val="ro-RO"/>
        </w:rPr>
        <w:t xml:space="preserve">Autoritate contractantă buget de stat</w:t>
      </w:r>
      <w:r>
        <w:rPr>
          <w:b w:val="0"/>
          <w:bCs w:val="0"/>
        </w:rPr>
      </w:r>
      <w:r>
        <w:rPr>
          <w:b w:val="0"/>
          <w:bCs w:val="0"/>
        </w:rPr>
      </w:r>
    </w:p>
    <w:p>
      <w:pPr>
        <w:numPr>
          <w:ilvl w:val="0"/>
          <w:numId w:val="10"/>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procedura de achiziție privind livrarea/prestarea următoarelor bunuri/servicii:</w:t>
      </w:r>
      <w:r>
        <w:rPr>
          <w:b/>
          <w:lang w:val="it-IT" w:eastAsia="ru-RU"/>
        </w:rPr>
      </w:r>
      <w:r>
        <w:rPr>
          <w:b/>
          <w:lang w:val="it-IT" w:eastAsia="ru-RU"/>
        </w:rPr>
      </w:r>
    </w:p>
    <w:tbl>
      <w:tblPr>
        <w:tblW w:w="10075" w:type="dxa"/>
        <w:tblInd w:w="-455" w:type="dxa"/>
        <w:tblBorders/>
        <w:tblLayout w:type="fixed"/>
        <w:tblLook w:val="04A0" w:firstRow="1" w:lastRow="0" w:firstColumn="1" w:lastColumn="0" w:noHBand="0" w:noVBand="1"/>
      </w:tblPr>
      <w:tblGrid>
        <w:gridCol w:w="597"/>
        <w:gridCol w:w="1276"/>
        <w:gridCol w:w="2083"/>
        <w:gridCol w:w="990"/>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bunurilor/ serviciilor</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t xml:space="preserve">09100000-0</w:t>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hd w:val="clear" w:color="auto" w:fill="ffffff" w:themeFill="background1"/>
              <w:spacing/>
              <w:ind/>
              <w:jc w:val="center"/>
              <w:rPr>
                <w:b/>
                <w:bCs/>
                <w:sz w:val="20"/>
                <w:szCs w:val="20"/>
                <w:lang w:val="ro-RO"/>
              </w:rPr>
            </w:pPr>
            <w:r>
              <w:rPr>
                <w:b/>
                <w:sz w:val="20"/>
                <w:szCs w:val="20"/>
                <w:lang w:val="ru-RU" w:eastAsia="ru-RU"/>
              </w:rPr>
              <w:t xml:space="preserve">Lotul 1</w:t>
            </w:r>
            <w:r>
              <w:rPr>
                <w:b/>
                <w:sz w:val="20"/>
                <w:szCs w:val="20"/>
                <w:lang w:val="ro-RO"/>
              </w:rPr>
              <w:t xml:space="preserve">-</w:t>
            </w:r>
            <w:r>
              <w:rPr>
                <w:b/>
                <w:bCs/>
                <w:sz w:val="20"/>
                <w:szCs w:val="20"/>
                <w:lang w:val="ro-RO"/>
              </w:rPr>
            </w:r>
            <w:r>
              <w:rPr>
                <w:b/>
                <w:bCs/>
                <w:sz w:val="20"/>
                <w:szCs w:val="20"/>
                <w:lang w:val="ro-RO"/>
              </w:rPr>
            </w:r>
          </w:p>
          <w:p>
            <w:pPr>
              <w:pBdr/>
              <w:shd w:val="clear" w:color="auto" w:fill="ffffff" w:themeFill="background1"/>
              <w:spacing/>
              <w:ind/>
              <w:jc w:val="center"/>
              <w:rPr>
                <w:sz w:val="20"/>
                <w:szCs w:val="20"/>
                <w:lang w:val="ru-RU" w:eastAsia="ru-RU"/>
              </w:rPr>
            </w:pPr>
            <w:r>
              <w:rPr>
                <w:b/>
                <w:sz w:val="20"/>
                <w:szCs w:val="20"/>
                <w:lang w:val="ro-RO"/>
              </w:rPr>
              <w:t xml:space="preserve">Produse petroliere</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t xml:space="preserve">09132000-3</w:t>
            </w:r>
            <w:r>
              <w:rPr>
                <w:sz w:val="18"/>
                <w:szCs w:val="18"/>
                <w:lang w:val="ru-RU" w:eastAsia="ru-RU"/>
              </w:rPr>
            </w:r>
            <w:r>
              <w:rPr>
                <w:sz w:val="18"/>
                <w:szCs w:val="18"/>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pacing/>
              <w:ind/>
              <w:rPr>
                <w:sz w:val="22"/>
                <w:szCs w:val="22"/>
                <w:lang w:val="ru-RU" w:eastAsia="ru-RU"/>
                <w14:ligatures w14:val="none"/>
              </w:rPr>
            </w:pPr>
            <w:r>
              <w:rPr>
                <w:i/>
                <w:sz w:val="22"/>
                <w:szCs w:val="22"/>
                <w:lang w:val="ru-RU" w:eastAsia="ru-RU"/>
              </w:rPr>
            </w:r>
            <w:r>
              <w:rPr>
                <w:sz w:val="22"/>
                <w:szCs w:val="22"/>
                <w:lang w:val="ru-RU" w:eastAsia="ru-RU"/>
              </w:rPr>
              <w:t xml:space="preserve">Benzina Premium </w:t>
            </w:r>
            <w:r>
              <w:rPr>
                <w:sz w:val="22"/>
                <w:szCs w:val="22"/>
                <w:lang w:val="ru-RU" w:eastAsia="ru-RU"/>
                <w14:ligatures w14:val="none"/>
              </w:rPr>
            </w:r>
            <w:r>
              <w:rPr>
                <w:sz w:val="22"/>
                <w:szCs w:val="22"/>
                <w:lang w:val="ru-RU" w:eastAsia="ru-RU"/>
                <w14:ligatures w14:val="none"/>
              </w:rPr>
            </w:r>
          </w:p>
          <w:p>
            <w:pPr>
              <w:pBdr/>
              <w:spacing/>
              <w:ind/>
              <w:rPr>
                <w:sz w:val="22"/>
                <w:szCs w:val="22"/>
                <w14:ligatures w14:val="none"/>
              </w:rPr>
            </w:pPr>
            <w:r>
              <w:rPr>
                <w:sz w:val="22"/>
                <w:szCs w:val="22"/>
                <w:lang w:val="ru-RU" w:eastAsia="ru-RU"/>
              </w:rPr>
              <w:t xml:space="preserve">A 95</w:t>
            </w:r>
            <w:r>
              <w:rPr>
                <w:sz w:val="22"/>
                <w:szCs w:val="22"/>
                <w14:ligatures w14:val="none"/>
              </w:rPr>
            </w:r>
            <w:r>
              <w:rPr>
                <w:sz w:val="22"/>
                <w:szCs w:val="22"/>
                <w14:ligatures w14:val="none"/>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7 000,00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left"/>
              <w:rPr>
                <w:sz w:val="20"/>
                <w:szCs w:val="20"/>
                <w:lang w:val="ru-RU" w:eastAsia="ru-RU"/>
              </w:rPr>
            </w:pPr>
            <w:r>
              <w:rPr>
                <w:sz w:val="20"/>
                <w:szCs w:val="20"/>
                <w:lang w:val="ru-RU" w:eastAsia="ru-RU"/>
              </w:rPr>
            </w:r>
            <w:r>
              <w:rPr>
                <w:sz w:val="20"/>
                <w:szCs w:val="20"/>
                <w:lang w:val="ru-RU" w:eastAsia="ru-RU"/>
              </w:rPr>
              <w:t xml:space="preserve">B</w:t>
            </w:r>
            <w:r>
              <w:rPr>
                <w:sz w:val="20"/>
                <w:szCs w:val="20"/>
                <w:lang w:val="ru-RU" w:eastAsia="ru-RU"/>
              </w:rPr>
              <w:t xml:space="preserve">enzină, cifra octanică 95. Conform standardelor naționale în vigoare. Alimentarea vehiculelor la staţiile furnizorului, pe întreg teritoriu al Republicii Moldova, prin intermediul sistemului de carduri electronice emise de către furnizor pentru fiecare veh</w:t>
            </w:r>
            <w:r>
              <w:rPr>
                <w:sz w:val="20"/>
                <w:szCs w:val="20"/>
                <w:lang w:val="ru-RU" w:eastAsia="ru-RU"/>
              </w:rPr>
              <w:t xml:space="preserve">icul</w:t>
            </w:r>
            <w:r>
              <w:rPr>
                <w:sz w:val="20"/>
                <w:szCs w:val="20"/>
                <w:lang w:val="ro-RO"/>
              </w:rPr>
              <w:t xml:space="preserve">.</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109 083,00</w:t>
            </w:r>
            <w:r>
              <w:rPr>
                <w:b/>
                <w:bCs/>
                <w:sz w:val="20"/>
                <w:szCs w:val="20"/>
              </w:rPr>
            </w:r>
            <w:r>
              <w:rPr>
                <w:b/>
                <w:bCs/>
                <w:sz w:val="20"/>
                <w:szCs w:val="20"/>
              </w:rPr>
            </w:r>
          </w:p>
        </w:tc>
      </w:tr>
      <w:tr>
        <w:trPr>
          <w:trHeight w:val="3401"/>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2</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r>
            <w:r>
              <w:rPr>
                <w:sz w:val="18"/>
                <w:szCs w:val="18"/>
                <w:lang w:val="ru-RU" w:eastAsia="ru-RU"/>
              </w:rPr>
              <w:t xml:space="preserve">09134200-9</w:t>
            </w:r>
            <w:r>
              <w:rPr>
                <w:sz w:val="18"/>
                <w:szCs w:val="18"/>
                <w:lang w:val="ru-RU" w:eastAsia="ru-RU"/>
              </w:rPr>
            </w:r>
            <w:r>
              <w:rPr>
                <w:sz w:val="18"/>
                <w:szCs w:val="18"/>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pacing/>
              <w:ind/>
              <w:rPr>
                <w:sz w:val="22"/>
                <w:szCs w:val="22"/>
              </w:rPr>
            </w:pPr>
            <w:r>
              <w:rPr>
                <w:sz w:val="22"/>
                <w:szCs w:val="22"/>
              </w:rPr>
            </w:r>
            <w:r>
              <w:rPr>
                <w:sz w:val="22"/>
                <w:szCs w:val="22"/>
              </w:rPr>
              <w:t xml:space="preserve">Motorina Euro 5</w:t>
            </w:r>
            <w:r>
              <w:rPr>
                <w:sz w:val="22"/>
                <w:szCs w:val="22"/>
              </w:rPr>
            </w:r>
            <w:r>
              <w:rPr>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12 000,00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pPr>
            <w:r>
              <w:rPr>
                <w:sz w:val="20"/>
                <w:szCs w:val="20"/>
                <w:lang w:val="ru-RU" w:eastAsia="ru-RU"/>
              </w:rPr>
              <w:t xml:space="preserve">Motorină EURO 5.</w:t>
            </w:r>
            <w:r/>
          </w:p>
          <w:p>
            <w:pPr>
              <w:pBdr/>
              <w:shd w:val="clear" w:color="auto" w:fill="ffffff" w:themeFill="background1"/>
              <w:spacing w:before="120"/>
              <w:ind/>
              <w:jc w:val="center"/>
              <w:rPr/>
            </w:pPr>
            <w:r>
              <w:rPr>
                <w:sz w:val="20"/>
                <w:szCs w:val="20"/>
                <w:lang w:val="ru-RU" w:eastAsia="ru-RU"/>
              </w:rPr>
              <w:t xml:space="preserve">Conform standardelor naționale în vigoare.</w:t>
            </w:r>
            <w:r/>
          </w:p>
          <w:p>
            <w:pPr>
              <w:pBdr/>
              <w:shd w:val="clear" w:color="auto" w:fill="ffffff" w:themeFill="background1"/>
              <w:spacing w:before="120"/>
              <w:ind/>
              <w:jc w:val="center"/>
              <w:rPr>
                <w:sz w:val="20"/>
                <w:szCs w:val="20"/>
                <w:lang w:val="ru-RU" w:eastAsia="ru-RU"/>
              </w:rPr>
            </w:pPr>
            <w:r>
              <w:rPr>
                <w:sz w:val="20"/>
                <w:szCs w:val="20"/>
                <w:lang w:val="ru-RU" w:eastAsia="ru-RU"/>
              </w:rPr>
              <w:t xml:space="preserve">Alimentarea vehiculelor la staţiile furnizorului, pe întreg teritoriul Republicii Moldova, prin intermediul sistemului de carduri electronice emise de către furnizor pentru fiecare vehicul</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219 200,00</w:t>
            </w:r>
            <w:r>
              <w:rPr>
                <w:b/>
                <w:bCs/>
                <w:sz w:val="20"/>
                <w:szCs w:val="20"/>
              </w:rPr>
            </w:r>
            <w:r>
              <w:rPr>
                <w:b/>
                <w:bCs/>
                <w:sz w:val="20"/>
                <w:szCs w:val="20"/>
              </w:rPr>
            </w:r>
          </w:p>
        </w:tc>
      </w:tr>
      <w:tr>
        <w:trPr>
          <w:trHeight w:val="324"/>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3</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t xml:space="preserve">09133000-0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pBdr/>
              <w:spacing/>
              <w:ind/>
              <w:rPr>
                <w:sz w:val="22"/>
                <w:szCs w:val="22"/>
                <w14:ligatures w14:val="none"/>
              </w:rPr>
            </w:pPr>
            <w:r>
              <w:rPr>
                <w:sz w:val="22"/>
                <w:szCs w:val="22"/>
              </w:rPr>
              <w:t xml:space="preserve">Gaz lichefiat GPL</w:t>
            </w:r>
            <w:r>
              <w:rPr>
                <w:sz w:val="22"/>
                <w:szCs w:val="22"/>
                <w14:ligatures w14:val="none"/>
              </w:rPr>
            </w:r>
            <w:r>
              <w:rPr>
                <w:sz w:val="22"/>
                <w:szCs w:val="22"/>
                <w14:ligatures w14:val="none"/>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500,00</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highlight w:val="none"/>
                <w:lang w:val="ru-RU" w:eastAsia="ru-RU"/>
              </w:rPr>
            </w:pPr>
            <w:r>
              <w:rPr>
                <w:sz w:val="20"/>
                <w:szCs w:val="20"/>
                <w:lang w:val="ru-RU" w:eastAsia="ru-RU"/>
              </w:rPr>
            </w:r>
            <w:r>
              <w:rPr>
                <w:sz w:val="20"/>
                <w:szCs w:val="20"/>
                <w:lang w:val="ru-RU" w:eastAsia="ru-RU"/>
              </w:rPr>
              <w:t xml:space="preserve">Carduri valorice; GOST 20448-90 SM SR EN 589:2016</w:t>
            </w:r>
            <w:r>
              <w:rPr>
                <w:sz w:val="20"/>
                <w:szCs w:val="20"/>
                <w:highlight w:val="none"/>
                <w:lang w:val="ru-RU" w:eastAsia="ru-RU"/>
              </w:rPr>
            </w:r>
            <w:r>
              <w:rPr>
                <w:sz w:val="20"/>
                <w:szCs w:val="20"/>
                <w:highlight w:val="none"/>
                <w:lang w:val="ru-RU" w:eastAsia="ru-RU"/>
              </w:rPr>
            </w:r>
          </w:p>
          <w:p>
            <w:pPr>
              <w:pBdr/>
              <w:shd w:val="clear" w:color="auto" w:fill="ffffff" w:themeFill="background1"/>
              <w:spacing w:before="120"/>
              <w:ind/>
              <w:jc w:val="center"/>
              <w:rPr>
                <w:sz w:val="20"/>
                <w:szCs w:val="20"/>
                <w:lang w:val="ru-RU" w:eastAsia="ru-RU"/>
              </w:rPr>
            </w:pPr>
            <w:r>
              <w:rPr>
                <w:sz w:val="20"/>
                <w:szCs w:val="20"/>
                <w:highlight w:val="none"/>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5 417,00</w:t>
            </w:r>
            <w:r>
              <w:rPr>
                <w:b/>
                <w:bCs/>
                <w:sz w:val="20"/>
                <w:szCs w:val="20"/>
              </w:rPr>
            </w:r>
            <w:r>
              <w:rPr>
                <w:b/>
                <w:bCs/>
                <w:sz w:val="20"/>
                <w:szCs w:val="20"/>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333 700,00</w:t>
            </w:r>
            <w:r>
              <w:rPr>
                <w:b/>
                <w:bCs/>
                <w:sz w:val="20"/>
                <w:szCs w:val="20"/>
              </w:rPr>
            </w:r>
            <w:r>
              <w:rPr>
                <w:b/>
                <w:bCs/>
                <w:sz w:val="20"/>
                <w:szCs w:val="20"/>
              </w:rPr>
            </w:r>
          </w:p>
        </w:tc>
      </w:tr>
    </w:tbl>
    <w:p>
      <w:pPr>
        <w:numPr>
          <w:ilvl w:val="0"/>
          <w:numId w:val="10"/>
        </w:numPr>
        <w:pBdr/>
        <w:shd w:val="clear" w:color="auto" w:fill="ffffff" w:themeFill="background1"/>
        <w:tabs>
          <w:tab w:val="right" w:leader="none" w:pos="426"/>
        </w:tabs>
        <w:spacing w:before="120"/>
        <w:ind w:left="360"/>
        <w:rPr>
          <w:b/>
          <w:lang w:eastAsia="ru-RU"/>
        </w:rPr>
      </w:pPr>
      <w:r>
        <w:rPr>
          <w:b/>
          <w:lang w:eastAsia="ru-RU"/>
        </w:rPr>
        <w:t xml:space="preserve">În cazul procedurilor de preselecție se indică numărul minim al candidaţilor şi, dacă este cazul, numărul maxim al acestora.________________________________</w:t>
      </w:r>
      <w:r>
        <w:rPr>
          <w:b/>
          <w:lang w:eastAsia="ru-RU"/>
        </w:rPr>
      </w:r>
      <w:r>
        <w:rPr>
          <w:b/>
          <w:lang w:eastAsia="ru-RU"/>
        </w:rPr>
      </w:r>
    </w:p>
    <w:p>
      <w:pPr>
        <w:numPr>
          <w:ilvl w:val="0"/>
          <w:numId w:val="10"/>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numPr>
          <w:ilvl w:val="0"/>
          <w:numId w:val="11"/>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numPr>
          <w:ilvl w:val="0"/>
          <w:numId w:val="11"/>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lang w:val="ru-RU" w:eastAsia="ru-RU"/>
        </w:rPr>
      </w:r>
      <w:r>
        <w:rPr>
          <w:lang w:val="ru-RU" w:eastAsia="ru-RU"/>
        </w:rPr>
      </w:r>
    </w:p>
    <w:p>
      <w:pPr>
        <w:numPr>
          <w:ilvl w:val="0"/>
          <w:numId w:val="11"/>
        </w:numPr>
        <w:pBdr/>
        <w:shd w:val="clear" w:color="auto" w:fill="ffffff" w:themeFill="background1"/>
        <w:tabs>
          <w:tab w:val="right" w:leader="none" w:pos="426"/>
        </w:tabs>
        <w:spacing/>
        <w:ind/>
        <w:rPr>
          <w:b/>
          <w:bCs/>
          <w:u w:val="single"/>
        </w:rPr>
      </w:pPr>
      <w:r>
        <w:rPr>
          <w:b/>
          <w:bCs/>
          <w:u w:val="single"/>
          <w:lang w:val="ru-RU" w:eastAsia="ru-RU"/>
        </w:rPr>
        <w:t xml:space="preserve">Pentru</w:t>
      </w:r>
      <w:r>
        <w:rPr>
          <w:b/>
          <w:bCs/>
          <w:u w:val="single"/>
          <w:lang w:eastAsia="ru-RU"/>
        </w:rPr>
        <w:t xml:space="preserve"> </w:t>
      </w:r>
      <w:r>
        <w:rPr>
          <w:b/>
          <w:bCs/>
          <w:u w:val="single"/>
          <w:lang w:val="ru-RU" w:eastAsia="ru-RU"/>
        </w:rPr>
        <w:t xml:space="preserve">toate</w:t>
      </w:r>
      <w:r>
        <w:rPr>
          <w:b/>
          <w:bCs/>
          <w:u w:val="single"/>
          <w:lang w:eastAsia="ru-RU"/>
        </w:rPr>
        <w:t xml:space="preserve"> </w:t>
      </w:r>
      <w:r>
        <w:rPr>
          <w:b/>
          <w:bCs/>
          <w:u w:val="single"/>
          <w:lang w:val="ru-RU" w:eastAsia="ru-RU"/>
        </w:rPr>
        <w:t xml:space="preserve">loturile;</w:t>
      </w:r>
      <w:r>
        <w:rPr>
          <w:b/>
          <w:bCs/>
          <w:u w:val="single"/>
          <w:lang w:val="ru-RU" w:eastAsia="ru-RU"/>
        </w:rPr>
      </w:r>
      <w:r>
        <w:rPr>
          <w:b/>
          <w:bCs/>
          <w:u w:val="single"/>
        </w:rPr>
      </w:r>
    </w:p>
    <w:p>
      <w:pPr>
        <w:numPr>
          <w:ilvl w:val="0"/>
          <w:numId w:val="11"/>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ofertant_____</w:t>
      </w:r>
      <w:r>
        <w:rPr>
          <w:lang w:val="it-IT" w:eastAsia="ru-RU"/>
        </w:rPr>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r>
        <w:rPr>
          <w:lang w:val="it-IT" w:eastAsia="ru-RU"/>
        </w:rPr>
      </w:r>
    </w:p>
    <w:p>
      <w:pPr>
        <w:numPr>
          <w:ilvl w:val="0"/>
          <w:numId w:val="10"/>
        </w:numPr>
        <w:pBdr/>
        <w:shd w:val="clear" w:color="auto" w:fill="ffffff" w:themeFill="background1"/>
        <w:tabs>
          <w:tab w:val="right" w:leader="none" w:pos="426"/>
        </w:tabs>
        <w:spacing w:before="120"/>
        <w:ind w:firstLine="0" w:left="0"/>
        <w:rPr>
          <w:b/>
          <w:bCs/>
          <w:u w:val="single"/>
        </w:rPr>
      </w:pPr>
      <w:r>
        <w:rPr>
          <w:bCs/>
          <w:lang w:val="en-US" w:eastAsia="ru-RU"/>
        </w:rPr>
        <w:t xml:space="preserve">Admiterea sau interzicerea ofertelor alternative: </w:t>
      </w:r>
      <w:r>
        <w:rPr>
          <w:b/>
          <w:bCs/>
          <w:u w:val="single"/>
          <w:lang w:val="ro-RO"/>
        </w:rPr>
        <w:t xml:space="preserve">Nu se admite</w:t>
      </w:r>
      <w:r>
        <w:rPr>
          <w:b/>
          <w:bCs/>
          <w:u w:val="single"/>
          <w:lang w:val="en-US" w:eastAsia="ru-RU"/>
        </w:rPr>
      </w:r>
      <w:r>
        <w:rPr>
          <w:b/>
          <w:bCs/>
          <w:u w:val="single"/>
        </w:rPr>
      </w:r>
    </w:p>
    <w:p>
      <w:pPr>
        <w:pBdr/>
        <w:shd w:val="clear" w:color="auto" w:fill="ffffff" w:themeFill="background1"/>
        <w:tabs>
          <w:tab w:val="right" w:leader="none" w:pos="426"/>
        </w:tabs>
        <w:spacing/>
        <w:ind/>
        <w:rPr>
          <w:bCs/>
          <w:sz w:val="20"/>
          <w:lang w:val="en-US" w:eastAsia="ru-RU"/>
        </w:rPr>
      </w:pPr>
      <w:r>
        <w:rPr>
          <w:bCs/>
          <w:sz w:val="20"/>
          <w:lang w:val="en-US" w:eastAsia="ru-RU"/>
        </w:rPr>
        <w:t xml:space="preserve">                                                                                                               (indicați se admite sau nu se admite)</w:t>
      </w:r>
      <w:r>
        <w:rPr>
          <w:bCs/>
          <w:sz w:val="20"/>
          <w:lang w:val="en-US" w:eastAsia="ru-RU"/>
        </w:rPr>
      </w:r>
      <w:r>
        <w:rPr>
          <w:bCs/>
          <w:sz w:val="20"/>
          <w:lang w:val="en-US" w:eastAsia="ru-RU"/>
        </w:rPr>
      </w:r>
    </w:p>
    <w:p>
      <w:pPr>
        <w:numPr>
          <w:ilvl w:val="0"/>
          <w:numId w:val="10"/>
        </w:numPr>
        <w:pBdr/>
        <w:shd w:val="clear" w:color="auto" w:fill="ffffff" w:themeFill="background1"/>
        <w:tabs>
          <w:tab w:val="left" w:leader="none" w:pos="0"/>
          <w:tab w:val="left" w:leader="none" w:pos="284"/>
          <w:tab w:val="left" w:leader="none" w:pos="426"/>
        </w:tabs>
        <w:spacing w:before="120"/>
        <w:ind w:hanging="284" w:left="284"/>
        <w:rPr>
          <w:bCs/>
          <w:lang w:val="it-IT" w:eastAsia="ru-RU"/>
        </w:rPr>
      </w:pPr>
      <w:r>
        <w:rPr>
          <w:bCs/>
          <w:lang w:val="it-IT" w:eastAsia="ru-RU"/>
        </w:rPr>
        <w:t xml:space="preserve">Termenii și condițiile de livrare/prestare solicitați: </w:t>
      </w:r>
      <w:r>
        <w:rPr>
          <w:b/>
          <w:bCs/>
          <w:lang w:val="ro-RO"/>
        </w:rPr>
        <w:t xml:space="preserve">B</w:t>
      </w:r>
      <w:r>
        <w:rPr>
          <w:b/>
          <w:bCs/>
          <w:lang w:val="it-IT" w:eastAsia="ru-RU"/>
        </w:rPr>
        <w:t xml:space="preserve">unurile se livrează pe bază de carduri</w:t>
      </w:r>
      <w:r>
        <w:rPr>
          <w:b/>
          <w:bCs/>
          <w:lang w:val="ro-RO"/>
        </w:rPr>
        <w:t xml:space="preserve"> </w:t>
      </w:r>
      <w:r>
        <w:rPr>
          <w:b/>
          <w:bCs/>
          <w:lang w:val="it-IT" w:eastAsia="ru-RU"/>
        </w:rPr>
        <w:t xml:space="preserve">valorice, cu posibilitatea de a alimenta automobilele în toate staţiile ofertantului. Cardurile vor fi personalizate pe numele achizitorului, respectiv ”ATAS </w:t>
      </w:r>
      <w:r>
        <w:rPr>
          <w:b/>
          <w:bCs/>
          <w:lang w:val="ro-RO"/>
        </w:rPr>
        <w:t xml:space="preserve">Centru-Vest</w:t>
      </w:r>
      <w:r>
        <w:rPr>
          <w:b/>
          <w:bCs/>
          <w:lang w:val="it-IT" w:eastAsia="ru-RU"/>
        </w:rPr>
        <w:t xml:space="preserve">” şi pe numărul de înmatriculare al autoturismului, care vor conferi utilizatorului dreptul </w:t>
      </w:r>
      <w:r>
        <w:rPr>
          <w:b/>
          <w:bCs/>
          <w:lang w:val="it-IT" w:eastAsia="ru-RU"/>
        </w:rPr>
        <w:t xml:space="preserve">de alimentare numai pentru autovehicolul al cărui număr de înmatriculare este menţionat pe card. În decurs de 2 zile, conform necesităților</w:t>
      </w:r>
      <w:r>
        <w:rPr>
          <w:b/>
          <w:bCs/>
          <w:lang w:val="ro-RO"/>
        </w:rPr>
        <w:t xml:space="preserve"> </w:t>
      </w:r>
      <w:r>
        <w:rPr>
          <w:b/>
          <w:bCs/>
          <w:lang w:val="it-IT" w:eastAsia="ru-RU"/>
        </w:rPr>
        <w:t xml:space="preserve">reale ale cumpărătorului. Operatorul Economic trebuie sa aibă stații de alimentare în orașele </w:t>
      </w:r>
      <w:r>
        <w:rPr>
          <w:b/>
          <w:bCs/>
          <w:lang w:val="ro-RO"/>
        </w:rPr>
        <w:t xml:space="preserve">Ungheni</w:t>
      </w:r>
      <w:r>
        <w:rPr>
          <w:b/>
          <w:bCs/>
          <w:lang w:val="it-IT" w:eastAsia="ru-RU"/>
        </w:rPr>
        <w:t xml:space="preserve">, </w:t>
      </w:r>
      <w:r>
        <w:rPr>
          <w:b/>
          <w:bCs/>
          <w:lang w:val="ro-RO"/>
        </w:rPr>
        <w:t xml:space="preserve">Nisporeni</w:t>
      </w:r>
      <w:r>
        <w:rPr>
          <w:b/>
          <w:bCs/>
          <w:lang w:val="it-IT" w:eastAsia="ru-RU"/>
        </w:rPr>
        <w:t xml:space="preserve">, </w:t>
      </w:r>
      <w:r>
        <w:rPr>
          <w:b/>
          <w:bCs/>
          <w:lang w:val="ro-RO"/>
        </w:rPr>
        <w:t xml:space="preserve">Călărași </w:t>
      </w:r>
      <w:r>
        <w:rPr>
          <w:b/>
          <w:bCs/>
          <w:lang w:val="it-IT" w:eastAsia="ru-RU"/>
        </w:rPr>
        <w:t xml:space="preserve">și mun. Chișinău.</w:t>
      </w:r>
      <w:r>
        <w:rPr>
          <w:bCs/>
          <w:lang w:val="it-IT" w:eastAsia="ru-RU"/>
        </w:rPr>
      </w:r>
      <w:r>
        <w:rPr>
          <w:bCs/>
          <w:lang w:val="it-IT" w:eastAsia="ru-RU"/>
        </w:rPr>
      </w:r>
    </w:p>
    <w:p>
      <w:pPr>
        <w:numPr>
          <w:ilvl w:val="0"/>
          <w:numId w:val="10"/>
        </w:numPr>
        <w:pBdr/>
        <w:shd w:val="clear" w:color="auto" w:fill="ffffff" w:themeFill="background1"/>
        <w:tabs>
          <w:tab w:val="left" w:leader="none" w:pos="0"/>
          <w:tab w:val="left" w:leader="none" w:pos="284"/>
          <w:tab w:val="left" w:leader="none" w:pos="426"/>
        </w:tabs>
        <w:spacing w:before="120"/>
        <w:ind w:hanging="284" w:left="284"/>
        <w:rPr>
          <w:b/>
          <w:bCs/>
        </w:rPr>
      </w:pPr>
      <w:r>
        <w:rPr>
          <w:bCs/>
          <w:lang w:val="it-IT" w:eastAsia="ru-RU"/>
        </w:rPr>
        <w:t xml:space="preserve">Termenul de valabilitate a contractului:</w:t>
      </w:r>
      <w:r>
        <w:rPr>
          <w:b/>
          <w:bCs/>
          <w:lang w:val="ro-RO"/>
        </w:rPr>
        <w:t xml:space="preserve">31.12.2026</w:t>
      </w:r>
      <w:r>
        <w:rPr>
          <w:b/>
          <w:bCs/>
          <w:lang w:val="it-IT" w:eastAsia="ru-RU"/>
        </w:rPr>
      </w:r>
      <w:r>
        <w:rPr>
          <w:b/>
          <w:bCs/>
        </w:rPr>
      </w:r>
    </w:p>
    <w:p>
      <w:pPr>
        <w:numPr>
          <w:ilvl w:val="0"/>
          <w:numId w:val="10"/>
        </w:numPr>
        <w:pBdr/>
        <w:tabs>
          <w:tab w:val="right" w:leader="none" w:pos="426"/>
        </w:tabs>
        <w:spacing w:before="120"/>
        <w:ind w:left="360"/>
        <w:rPr>
          <w:bCs/>
          <w:lang w:val="it-IT" w:eastAsia="ru-RU"/>
        </w:rPr>
      </w:pPr>
      <w:r>
        <w:rPr>
          <w:bCs/>
          <w:lang w:val="it-IT" w:eastAsia="ru-RU"/>
        </w:rPr>
        <w:t xml:space="preserve">Contract de achiziție rezervat atelierelor protejate sau că acesta poate fi executat numai în cadrul unor programe de angajare protejată (după caz): </w:t>
      </w:r>
      <w:r>
        <w:rPr>
          <w:bCs/>
          <w:lang w:val="ro-RO"/>
        </w:rPr>
        <w:t xml:space="preserve">NU</w:t>
      </w:r>
      <w:r>
        <w:rPr>
          <w:bCs/>
          <w:lang w:val="it-IT" w:eastAsia="ru-RU"/>
        </w:rPr>
      </w:r>
      <w:r>
        <w:rPr>
          <w:bCs/>
          <w:lang w:val="it-IT" w:eastAsia="ru-RU"/>
        </w:rPr>
      </w:r>
    </w:p>
    <w:p>
      <w:pPr>
        <w:pBdr/>
        <w:shd w:val="clear" w:color="auto" w:fill="ffffff" w:themeFill="background1"/>
        <w:tabs>
          <w:tab w:val="right" w:leader="none" w:pos="426"/>
        </w:tabs>
        <w:spacing/>
        <w:ind w:hanging="630" w:left="7560"/>
        <w:contextualSpacing w:val="true"/>
        <w:rPr>
          <w:bCs/>
          <w:sz w:val="20"/>
          <w:lang w:val="ru-RU" w:eastAsia="ru-RU"/>
        </w:rPr>
      </w:pPr>
      <w:r>
        <w:rPr>
          <w:bCs/>
          <w:sz w:val="20"/>
          <w:lang w:eastAsia="ru-RU"/>
        </w:rPr>
        <w:t xml:space="preserve">     </w:t>
      </w:r>
      <w:r>
        <w:rPr>
          <w:bCs/>
          <w:sz w:val="20"/>
          <w:lang w:val="ru-RU" w:eastAsia="ru-RU"/>
        </w:rPr>
        <w:t xml:space="preserve">(indicați</w:t>
      </w:r>
      <w:r>
        <w:rPr>
          <w:bCs/>
          <w:sz w:val="20"/>
          <w:lang w:eastAsia="ru-RU"/>
        </w:rPr>
        <w:t xml:space="preserve"> </w:t>
      </w:r>
      <w:r>
        <w:rPr>
          <w:bCs/>
          <w:sz w:val="20"/>
          <w:lang w:val="ru-RU" w:eastAsia="ru-RU"/>
        </w:rPr>
        <w:t xml:space="preserve">da</w:t>
      </w:r>
      <w:r>
        <w:rPr>
          <w:bCs/>
          <w:sz w:val="20"/>
          <w:lang w:eastAsia="ru-RU"/>
        </w:rPr>
        <w:t xml:space="preserve"> </w:t>
      </w:r>
      <w:r>
        <w:rPr>
          <w:bCs/>
          <w:sz w:val="20"/>
          <w:lang w:val="ru-RU" w:eastAsia="ru-RU"/>
        </w:rPr>
        <w:t xml:space="preserve">sau</w:t>
      </w:r>
      <w:r>
        <w:rPr>
          <w:bCs/>
          <w:sz w:val="20"/>
          <w:lang w:eastAsia="ru-RU"/>
        </w:rPr>
        <w:t xml:space="preserve"> </w:t>
      </w:r>
      <w:r>
        <w:rPr>
          <w:bCs/>
          <w:sz w:val="20"/>
          <w:lang w:val="ru-RU" w:eastAsia="ru-RU"/>
        </w:rPr>
        <w:t xml:space="preserve">nu)</w:t>
      </w:r>
      <w:r>
        <w:rPr>
          <w:bCs/>
          <w:sz w:val="20"/>
          <w:lang w:val="ru-RU" w:eastAsia="ru-RU"/>
        </w:rPr>
      </w:r>
      <w:r>
        <w:rPr>
          <w:bCs/>
          <w:sz w:val="20"/>
          <w:lang w:val="ru-RU" w:eastAsia="ru-RU"/>
        </w:rPr>
      </w:r>
    </w:p>
    <w:p>
      <w:pPr>
        <w:numPr>
          <w:ilvl w:val="0"/>
          <w:numId w:val="10"/>
        </w:numPr>
        <w:pBdr/>
        <w:shd w:val="clear" w:color="auto" w:fill="ffffff" w:themeFill="background1"/>
        <w:tabs>
          <w:tab w:val="right" w:leader="none" w:pos="426"/>
        </w:tabs>
        <w:spacing w:before="120"/>
        <w:ind w:left="360"/>
        <w:rPr>
          <w:b/>
          <w:bCs/>
        </w:rPr>
      </w:pPr>
      <w:r>
        <w:rPr>
          <w:bCs/>
          <w:lang w:val="it-IT" w:eastAsia="ru-RU"/>
        </w:rPr>
        <w:tab/>
        <w:t xml:space="preserve">Prestarea serviciului este rezervată unei anumite profesii în temeiul unor legi sau al unor acte administrative (după caz): </w:t>
      </w:r>
      <w:r>
        <w:rPr>
          <w:b/>
          <w:bCs/>
          <w:lang w:val="ro-RO"/>
        </w:rPr>
        <w:t xml:space="preserve">Nu se aplică</w:t>
      </w:r>
      <w:r>
        <w:rPr>
          <w:b/>
          <w:bCs/>
          <w:lang w:val="it-IT" w:eastAsia="ru-RU"/>
        </w:rPr>
      </w:r>
      <w:r>
        <w:rPr>
          <w:b/>
          <w:bCs/>
        </w:rPr>
      </w:r>
    </w:p>
    <w:p>
      <w:pPr>
        <w:pBdr/>
        <w:shd w:val="clear" w:color="auto" w:fill="ffffff" w:themeFill="background1"/>
        <w:tabs>
          <w:tab w:val="right" w:leader="none" w:pos="426"/>
        </w:tabs>
        <w:spacing/>
        <w:ind/>
        <w:contextualSpacing w:val="true"/>
        <w:jc w:val="center"/>
        <w:rPr>
          <w:bCs/>
          <w:sz w:val="20"/>
          <w:lang w:val="en-US" w:eastAsia="ru-RU"/>
        </w:rPr>
      </w:pPr>
      <w:r>
        <w:rPr>
          <w:bCs/>
          <w:sz w:val="20"/>
          <w:lang w:val="en-US" w:eastAsia="ru-RU"/>
        </w:rPr>
        <w:t xml:space="preserve">(se menționează respectivele acte cu putere de lege și acte administrative)</w:t>
      </w:r>
      <w:r>
        <w:rPr>
          <w:bCs/>
          <w:sz w:val="20"/>
          <w:lang w:val="en-US" w:eastAsia="ru-RU"/>
        </w:rPr>
      </w:r>
      <w:r>
        <w:rPr>
          <w:bCs/>
          <w:sz w:val="20"/>
          <w:lang w:val="en-US" w:eastAsia="ru-RU"/>
        </w:rPr>
      </w:r>
    </w:p>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Scurta descriere a criteriilor privin</w:t>
      </w:r>
      <w:r>
        <w:rPr>
          <w:bCs/>
          <w:lang w:val="it-IT" w:eastAsia="ru-RU"/>
        </w:rPr>
        <w:t xml:space="preserve">d eligibilitatea operatorilor economici care pot determina eliminarea acestora și a criteriilor de selecție/de preselecție; nivelul minim (nivelurile minime) al (ale) cerințelor eventual impuse; se menționează informațiile solicitate (DUAE, documentație): </w:t>
      </w:r>
      <w:r>
        <w:rPr>
          <w:bCs/>
          <w:lang w:val="it-IT" w:eastAsia="ru-RU"/>
        </w:rPr>
      </w:r>
      <w:r>
        <w:rPr>
          <w:bCs/>
          <w:lang w:val="it-IT" w:eastAsia="ru-RU"/>
        </w:rPr>
      </w:r>
    </w:p>
    <w:tbl>
      <w:tblPr>
        <w:tblStyle w:val="1065"/>
        <w:tblW w:w="0" w:type="auto"/>
        <w:tblBorders/>
        <w:tblLook w:val="04A0" w:firstRow="1" w:lastRow="0" w:firstColumn="1" w:lastColumn="0" w:noHBand="0" w:noVBand="1"/>
      </w:tblPr>
      <w:tblGrid>
        <w:gridCol w:w="560"/>
        <w:gridCol w:w="3391"/>
        <w:gridCol w:w="3209"/>
        <w:gridCol w:w="1595"/>
      </w:tblGrid>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jc w:val="center"/>
              <w:rPr>
                <w:bCs/>
                <w:iCs/>
                <w:sz w:val="20"/>
                <w:szCs w:val="20"/>
                <w:lang w:eastAsia="ru-RU"/>
              </w:rPr>
            </w:pPr>
            <w:r>
              <w:rPr>
                <w:bCs/>
                <w:iCs/>
                <w:sz w:val="20"/>
                <w:szCs w:val="20"/>
                <w:lang w:eastAsia="ru-RU"/>
              </w:rPr>
              <w:t xml:space="preserve">Criteriile de calificare și de selecție</w:t>
            </w:r>
            <w:r>
              <w:rPr>
                <w:bCs/>
                <w:iCs/>
                <w:sz w:val="20"/>
                <w:szCs w:val="20"/>
                <w:lang w:eastAsia="ru-RU"/>
              </w:rPr>
            </w:r>
            <w:r>
              <w:rPr>
                <w:bCs/>
                <w:iCs/>
                <w:sz w:val="20"/>
                <w:szCs w:val="20"/>
                <w:lang w:eastAsia="ru-RU"/>
              </w:rPr>
            </w:r>
          </w:p>
          <w:p>
            <w:pPr>
              <w:pBdr/>
              <w:shd w:val="clear" w:color="auto" w:fill="ffffff" w:themeFill="background1"/>
              <w:tabs>
                <w:tab w:val="left" w:leader="none" w:pos="612"/>
              </w:tabs>
              <w:spacing w:after="120" w:before="120"/>
              <w:ind/>
              <w:jc w:val="center"/>
              <w:rPr>
                <w:bCs/>
                <w:iCs/>
                <w:sz w:val="20"/>
                <w:szCs w:val="20"/>
                <w:lang w:val="en-GB" w:eastAsia="ru-RU"/>
              </w:rPr>
            </w:pPr>
            <w:r>
              <w:rPr>
                <w:bCs/>
                <w:iCs/>
                <w:sz w:val="20"/>
                <w:szCs w:val="20"/>
                <w:lang w:val="en-GB" w:eastAsia="ru-RU"/>
              </w:rPr>
              <w:t xml:space="preserve">(Descrierea</w:t>
            </w:r>
            <w:r>
              <w:rPr>
                <w:bCs/>
                <w:iCs/>
                <w:sz w:val="20"/>
                <w:szCs w:val="20"/>
                <w:lang w:eastAsia="ru-RU"/>
              </w:rPr>
              <w:t xml:space="preserve"> </w:t>
            </w:r>
            <w:r>
              <w:rPr>
                <w:bCs/>
                <w:iCs/>
                <w:sz w:val="20"/>
                <w:szCs w:val="20"/>
                <w:lang w:val="en-GB" w:eastAsia="ru-RU"/>
              </w:rPr>
              <w:t xml:space="preserve">criteriului/cerinței)</w:t>
            </w:r>
            <w:r>
              <w:rPr>
                <w:bCs/>
                <w:iCs/>
                <w:sz w:val="20"/>
                <w:szCs w:val="20"/>
                <w:lang w:val="en-GB" w:eastAsia="ru-RU"/>
              </w:rPr>
            </w:r>
            <w:r>
              <w:rPr>
                <w:bCs/>
                <w:iCs/>
                <w:sz w:val="20"/>
                <w:szCs w:val="20"/>
                <w:lang w:val="en-GB"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jc w:val="center"/>
              <w:rPr>
                <w:bCs/>
                <w:iCs/>
                <w:sz w:val="20"/>
                <w:szCs w:val="20"/>
                <w:lang w:val="it-IT" w:eastAsia="ru-RU"/>
              </w:rPr>
            </w:pPr>
            <w:r>
              <w:rPr>
                <w:bCs/>
                <w:iCs/>
                <w:sz w:val="20"/>
                <w:szCs w:val="20"/>
                <w:lang w:val="it-IT" w:eastAsia="ru-RU"/>
              </w:rPr>
              <w:t xml:space="preserve">Mod de demonstrare a îndeplinirii criteriului/cerinței:</w:t>
            </w:r>
            <w:r>
              <w:rPr>
                <w:bCs/>
                <w:iCs/>
                <w:sz w:val="20"/>
                <w:szCs w:val="20"/>
                <w:lang w:val="it-IT" w:eastAsia="ru-RU"/>
              </w:rPr>
            </w:r>
            <w:r>
              <w:rPr>
                <w:bCs/>
                <w:iCs/>
                <w:sz w:val="20"/>
                <w:szCs w:val="20"/>
                <w:lang w:val="it-IT"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Nivelul</w:t>
            </w:r>
            <w:r>
              <w:rPr>
                <w:bCs/>
                <w:iCs/>
                <w:sz w:val="20"/>
                <w:szCs w:val="20"/>
                <w:lang w:eastAsia="ru-RU"/>
              </w:rPr>
              <w:t xml:space="preserve"> </w:t>
            </w:r>
            <w:r>
              <w:rPr>
                <w:bCs/>
                <w:iCs/>
                <w:sz w:val="20"/>
                <w:szCs w:val="20"/>
                <w:lang w:val="ru-RU" w:eastAsia="ru-RU"/>
              </w:rPr>
              <w:t xml:space="preserve">minim/</w:t>
            </w:r>
            <w:r>
              <w:rPr>
                <w:bCs/>
                <w:iCs/>
                <w:sz w:val="20"/>
                <w:szCs w:val="20"/>
                <w:lang w:val="ru-RU" w:eastAsia="ru-RU"/>
              </w:rPr>
              <w:br/>
              <w:t xml:space="preserve">Obligativitatea</w:t>
            </w:r>
            <w:r>
              <w:rPr>
                <w:bCs/>
                <w:iCs/>
                <w:sz w:val="20"/>
                <w:szCs w:val="20"/>
                <w:lang w:val="ru-RU" w:eastAsia="ru-RU"/>
              </w:rPr>
            </w:r>
            <w:r>
              <w:rPr>
                <w:bCs/>
                <w:iCs/>
                <w:sz w:val="20"/>
                <w:szCs w:val="20"/>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w:t>
            </w:r>
            <w:r>
              <w:rPr>
                <w:bCs/>
                <w:iCs/>
                <w:lang w:val="ru-RU" w:eastAsia="ru-RU"/>
              </w:rPr>
            </w:r>
            <w:r>
              <w:rPr>
                <w:bCs/>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Formularul DUAE</w:t>
            </w:r>
            <w:r>
              <w:rPr>
                <w:bCs/>
                <w:iCs/>
                <w:lang w:val="ru-RU" w:eastAsia="ru-RU"/>
              </w:rPr>
            </w:r>
            <w:r>
              <w:rPr>
                <w:bCs/>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Original, completat și confirmat prin aplicarea semnăturii electronice a participantului *(se va prezenta la</w:t>
            </w:r>
            <w:r>
              <w:rPr>
                <w:bCs/>
                <w:iCs/>
                <w:lang w:val="ro-RO"/>
              </w:rPr>
              <w:t xml:space="preserve"> </w:t>
            </w:r>
            <w:r>
              <w:rPr>
                <w:bCs/>
                <w:iCs/>
                <w:lang w:val="ru-RU" w:eastAsia="ru-RU"/>
              </w:rPr>
              <w:t xml:space="preserve">depunerea ofertei de către toți ofertanți)</w:t>
            </w:r>
            <w:r>
              <w:rPr>
                <w:bCs/>
                <w:iCs/>
                <w:lang w:val="ru-RU" w:eastAsia="ru-RU"/>
              </w:rPr>
            </w: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2</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tehnică</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nr.22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3</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de preț</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nr.23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4</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Cerere de participare la procedura de achiziție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nr.7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5</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Declaraţie privind confirmarea identității beneficiarilor efectivi și neîncadrarea acestora în</w:t>
            </w:r>
            <w:r>
              <w:rPr>
                <w:bCs/>
                <w:iCs/>
                <w:lang w:val="ro-RO"/>
              </w:rPr>
              <w:t xml:space="preserve"> </w:t>
            </w:r>
            <w:r>
              <w:rPr>
                <w:bCs/>
                <w:iCs/>
                <w:lang w:val="ru-RU" w:eastAsia="ru-RU"/>
              </w:rPr>
              <w:t xml:space="preserve">situația condamnării pentru participarea la activităţi ale unei organizaţii sau grupări</w:t>
            </w:r>
            <w:r>
              <w:rPr>
                <w:bCs/>
                <w:iCs/>
                <w:lang w:val="ro-RO"/>
              </w:rPr>
              <w:t xml:space="preserve"> </w:t>
            </w:r>
            <w:r>
              <w:rPr>
                <w:bCs/>
                <w:iCs/>
                <w:lang w:val="ru-RU" w:eastAsia="ru-RU"/>
              </w:rPr>
              <w:t xml:space="preserve">criminale, pentru corupţie, fraudă şi/sau spălare de bani.</w:t>
            </w:r>
            <w:r>
              <w:rPr>
                <w:bCs/>
                <w:iCs/>
                <w:lang w:val="ru-RU" w:eastAsia="ru-RU"/>
              </w:rPr>
            </w: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Conform Ordinul Ministrului Finanțelor nr. 145 din 24 noiembrie 2020. Completată și semnată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6</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Certificat de efectuare sistematică a plăților</w:t>
            </w:r>
            <w:r>
              <w:rPr>
                <w:bCs/>
                <w:iCs/>
                <w:lang w:val="ro-RO"/>
              </w:rPr>
              <w:t xml:space="preserve"> </w:t>
            </w:r>
            <w:r>
              <w:rPr>
                <w:bCs/>
                <w:iCs/>
                <w:lang w:val="ru-RU" w:eastAsia="ru-RU"/>
              </w:rPr>
              <w:t xml:space="preserve">impozitelor, contribuțiilor</w:t>
            </w:r>
            <w:r>
              <w:rPr>
                <w:bCs/>
                <w:iCs/>
                <w:lang w:val="ru-RU" w:eastAsia="ru-RU"/>
              </w:rPr>
            </w: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 – eliberat de Inspectoratul Fiscal (valabilitatea certificatului – 15 zile din data eliberării); confirmat prin semnatura electronică a participantului *</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o-RO"/>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7</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atribuire a contului bancar</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banca deținătoare de cont-semnat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8</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Extras din Registru de Stat a persoanei juridice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9</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Declarația privind valabilitatea ofertei</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nr.8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10</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conformitate ce confirmă calitatea bunurilor oferite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Organismul abilitat-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11</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Prezentarea actului ce atestă dreptul de a</w:t>
            </w:r>
            <w:r>
              <w:rPr>
                <w:bCs/>
                <w:iCs/>
                <w:lang w:val="ro-RO"/>
              </w:rPr>
              <w:t xml:space="preserve"> </w:t>
            </w:r>
            <w:r>
              <w:rPr>
                <w:bCs/>
                <w:iCs/>
                <w:lang w:val="ru-RU" w:eastAsia="ru-RU"/>
              </w:rPr>
              <w:t xml:space="preserve">comercializa benzină / motorină</w:t>
            </w:r>
            <w:r>
              <w:rPr>
                <w:bCs/>
                <w:iCs/>
                <w:lang w:val="ro-RO"/>
              </w:rPr>
              <w:t xml:space="preserve"> / gaz lichefiat GPL </w:t>
            </w:r>
            <w:r>
              <w:rPr>
                <w:bCs/>
                <w:iCs/>
                <w:lang w:val="ru-RU" w:eastAsia="ru-RU"/>
              </w:rPr>
            </w: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Copia Licenței de activitate și/sau Autorizația</w:t>
            </w:r>
            <w:r>
              <w:rPr>
                <w:bCs/>
                <w:iCs/>
                <w:lang w:val="ro-RO"/>
              </w:rPr>
              <w:t xml:space="preserve"> </w:t>
            </w:r>
            <w:r>
              <w:rPr>
                <w:bCs/>
                <w:iCs/>
                <w:lang w:val="ru-RU" w:eastAsia="ru-RU"/>
              </w:rPr>
              <w:t xml:space="preserve">de funcționare confirmat prin ștampilei și</w:t>
            </w:r>
            <w:r>
              <w:rPr>
                <w:bCs/>
                <w:iCs/>
                <w:lang w:val="ro-RO"/>
              </w:rPr>
              <w:t xml:space="preserve"> </w:t>
            </w:r>
            <w:r>
              <w:rPr>
                <w:bCs/>
                <w:iCs/>
                <w:lang w:val="ru-RU" w:eastAsia="ru-RU"/>
              </w:rPr>
              <w:t xml:space="preserve">semnăturii Participantului.</w:t>
            </w:r>
            <w:r>
              <w:rPr>
                <w:bCs/>
                <w:iCs/>
                <w:lang w:val="ru-RU" w:eastAsia="ru-RU"/>
              </w:rPr>
            </w: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12</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pPr>
            <w:r>
              <w:rPr>
                <w:bCs/>
                <w:iCs/>
                <w:lang w:val="ru-RU" w:eastAsia="ru-RU"/>
              </w:rPr>
              <w:t xml:space="preserve">Lista staţiilor de alimentare pentru care</w:t>
            </w:r>
            <w:r>
              <w:rPr>
                <w:bCs/>
                <w:iCs/>
                <w:lang w:val="ro-RO"/>
              </w:rPr>
              <w:t xml:space="preserve"> </w:t>
            </w:r>
            <w:r>
              <w:rPr>
                <w:bCs/>
                <w:iCs/>
                <w:lang w:val="ru-RU" w:eastAsia="ru-RU"/>
              </w:rPr>
              <w:t xml:space="preserve">este propusă oferta</w:t>
            </w:r>
            <w:r>
              <w:rPr>
                <w:bCs/>
                <w:iCs/>
                <w:lang w:val="ru-RU" w:eastAsia="ru-RU"/>
              </w:rPr>
            </w: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Original semnat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13</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Prezentarea de dovezi privind conformitatea produselor, identificată prin referire la specificaţii sau standarde relevante. </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Copia Certificatului de conformitate sau declarație de conformitate eliberat/eliberată de un organism de certificare acreditat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14</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NOTĂ:</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color w:val="5b9bd5" w:themeColor="accent1"/>
              </w:rPr>
            </w:pPr>
            <w:r>
              <w:rPr>
                <w:bCs/>
                <w:iCs/>
                <w:color w:val="5b9bd5" w:themeColor="accent1"/>
                <w:lang w:val="ru-RU" w:eastAsia="ru-RU"/>
              </w:rPr>
              <w:t xml:space="preserve">- Contractele vor fi perfectate de către operatorii economici în parte ce ține de datele de identitate ale</w:t>
            </w:r>
            <w:r>
              <w:rPr>
                <w:bCs/>
                <w:iCs/>
                <w:color w:val="5b9bd5" w:themeColor="accent1"/>
                <w:lang w:val="ro-RO"/>
              </w:rPr>
              <w:t xml:space="preserve"> </w:t>
            </w:r>
            <w:r>
              <w:rPr>
                <w:bCs/>
                <w:iCs/>
                <w:color w:val="5b9bd5" w:themeColor="accent1"/>
                <w:lang w:val="ru-RU" w:eastAsia="ru-RU"/>
              </w:rPr>
              <w:t xml:space="preserve">operatorului economic, rechizitele bancare, suma totală a contractului și specificațiile tehnice și de preț. Va fi completat modelul de contract remis de către autoritatea contractantă la expirarea termenului de așteptare</w:t>
            </w:r>
            <w:r>
              <w:rPr>
                <w:bCs/>
                <w:iCs/>
                <w:color w:val="5b9bd5" w:themeColor="accent1"/>
                <w:lang w:val="ro-RO"/>
              </w:rPr>
              <w:t xml:space="preserve">, cu specificarea faptului că plăți în avans nu se vor efectua, plățile fiind efectuate strict în baza facturilor și dovezilor de consum</w:t>
            </w:r>
            <w:r>
              <w:rPr>
                <w:bCs/>
                <w:iCs/>
                <w:color w:val="5b9bd5" w:themeColor="accent1"/>
                <w:lang w:val="ru-RU" w:eastAsia="ru-RU"/>
              </w:rPr>
              <w:t xml:space="preserve">.</w:t>
            </w:r>
            <w:r>
              <w:rPr>
                <w:bCs/>
                <w:iCs/>
                <w:color w:val="5b9bd5" w:themeColor="accent1"/>
                <w:lang w:val="ru-RU" w:eastAsia="ru-RU"/>
              </w:rPr>
            </w:r>
            <w:r>
              <w:rPr>
                <w:color w:val="5b9bd5" w:themeColor="accent1"/>
              </w:rPr>
            </w:r>
          </w:p>
          <w:p>
            <w:pPr>
              <w:pBdr/>
              <w:shd w:val="clear" w:color="auto" w:fill="ffffff" w:themeFill="background1"/>
              <w:tabs>
                <w:tab w:val="left" w:leader="none" w:pos="612"/>
              </w:tabs>
              <w:spacing w:after="120" w:before="120"/>
              <w:ind/>
              <w:rPr>
                <w:bCs/>
                <w:iCs/>
                <w:color w:val="5b9bd5" w:themeColor="accent1"/>
              </w:rPr>
            </w:pPr>
            <w:r>
              <w:rPr>
                <w:bCs/>
                <w:iCs/>
                <w:color w:val="5b9bd5" w:themeColor="accent1"/>
                <w:lang w:val="ru-RU" w:eastAsia="ru-RU"/>
              </w:rPr>
              <w:t xml:space="preserve">- Semnătura electronica se va aplica pe spațiu curat (alb) al documentului, astfel încât datele de pe semnătură și datele din document să fie vizibile. </w:t>
            </w:r>
            <w:r>
              <w:rPr>
                <w:bCs/>
                <w:iCs/>
                <w:color w:val="5b9bd5" w:themeColor="accent1"/>
                <w:lang w:val="ru-RU" w:eastAsia="ru-RU"/>
              </w:rPr>
            </w:r>
            <w:r>
              <w:rPr>
                <w:bCs/>
                <w:iCs/>
                <w:color w:val="5b9bd5" w:themeColor="accent1"/>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Garanția pentru ofertă, după caz________</w:t>
      </w:r>
      <w:r>
        <w:rPr>
          <w:bCs/>
          <w:lang w:val="ro-RO"/>
        </w:rPr>
        <w:t xml:space="preserve">-</w:t>
      </w:r>
      <w:r>
        <w:rPr>
          <w:bCs/>
          <w:lang w:val="it-IT" w:eastAsia="ru-RU"/>
        </w:rPr>
        <w:t xml:space="preserve">______</w:t>
      </w:r>
      <w:r>
        <w:rPr>
          <w:bCs/>
        </w:rPr>
        <w:t xml:space="preserve">, </w:t>
      </w:r>
      <w:r>
        <w:rPr>
          <w:bCs/>
          <w:lang w:val="it-IT" w:eastAsia="ru-RU"/>
        </w:rPr>
        <w:t xml:space="preserve">cuantumul_______</w:t>
      </w:r>
      <w:r>
        <w:rPr>
          <w:bCs/>
          <w:lang w:val="ro-RO"/>
        </w:rPr>
        <w:t xml:space="preserve">-</w:t>
      </w:r>
      <w:r>
        <w:rPr>
          <w:bCs/>
          <w:lang w:val="it-IT" w:eastAsia="ru-RU"/>
        </w:rPr>
        <w:t xml:space="preserve">__________.</w:t>
      </w:r>
      <w:r>
        <w:rPr>
          <w:bCs/>
          <w:lang w:val="it-IT" w:eastAsia="ru-RU"/>
        </w:rPr>
      </w:r>
      <w:r>
        <w:rPr>
          <w:bCs/>
          <w:lang w:val="it-IT" w:eastAsia="ru-RU"/>
        </w:rPr>
      </w:r>
    </w:p>
    <w:p>
      <w:pPr>
        <w:pStyle w:val="1000"/>
        <w:numPr>
          <w:ilvl w:val="0"/>
          <w:numId w:val="10"/>
        </w:numPr>
        <w:pBdr/>
        <w:spacing/>
        <w:ind w:hanging="426" w:left="426"/>
        <w:rPr>
          <w:bCs/>
          <w:lang w:val="it-IT" w:eastAsia="ru-RU"/>
        </w:rPr>
      </w:pPr>
      <w:r>
        <w:rPr>
          <w:bCs/>
          <w:lang w:val="it-IT" w:eastAsia="ru-RU"/>
        </w:rPr>
        <w:t xml:space="preserve">Garanția de bună execuție a contractului, după caz________</w:t>
      </w:r>
      <w:r>
        <w:rPr>
          <w:bCs/>
          <w:lang w:val="ro-RO"/>
        </w:rPr>
        <w:t xml:space="preserve">-</w:t>
      </w:r>
      <w:r>
        <w:rPr>
          <w:bCs/>
          <w:lang w:val="it-IT" w:eastAsia="ru-RU"/>
        </w:rPr>
        <w:t xml:space="preserve">______, cuantumul_.</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rPr>
          <w:bCs/>
          <w:lang w:val="it-IT" w:eastAsia="ru-RU"/>
        </w:rPr>
      </w:pPr>
      <w:r>
        <w:rPr>
          <w:bCs/>
          <w:lang w:val="it-IT" w:eastAsia="ru-RU"/>
        </w:rPr>
        <w:t xml:space="preserve">Motivul recurgerii la procedura accelerată (în cazul licitației deschise, restrânse și a procedurii negociate), după caz_______________________________________</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rPr>
          <w:b/>
          <w:bCs/>
        </w:rPr>
      </w:pPr>
      <w:r>
        <w:rPr>
          <w:bCs/>
          <w:lang w:val="it-IT" w:eastAsia="ru-RU"/>
        </w:rPr>
        <w:t xml:space="preserve">Tehnici și instrumente specifice de atribuire (dacă este cazul specificați dacă se va utiliza acordul-cadru, sistemul dinamic de achiziție sau licitația electronică):</w:t>
      </w:r>
      <w:r>
        <w:rPr>
          <w:bCs/>
          <w:lang w:val="ro-RO"/>
        </w:rPr>
        <w:t xml:space="preserve"> </w:t>
      </w:r>
      <w:r>
        <w:rPr>
          <w:b/>
          <w:bCs/>
          <w:lang w:val="ro-RO"/>
        </w:rPr>
        <w:t xml:space="preserve">Licitația electronică </w:t>
      </w:r>
      <w:r>
        <w:rPr>
          <w:b/>
          <w:bCs/>
          <w:lang w:val="ro-RO"/>
        </w:rPr>
        <w:t xml:space="preserve">pas minim 1%, runde - conform SIA RSAP, data - conform SIA RSAP</w:t>
      </w:r>
      <w:r>
        <w:rPr>
          <w:b/>
          <w:bCs/>
          <w:lang w:val="it-IT" w:eastAsia="ru-RU"/>
        </w:rPr>
      </w:r>
      <w:r>
        <w:rPr>
          <w:b/>
          <w:bCs/>
        </w:rPr>
      </w:r>
    </w:p>
    <w:p>
      <w:pPr>
        <w:numPr>
          <w:ilvl w:val="0"/>
          <w:numId w:val="10"/>
        </w:numPr>
        <w:pBdr/>
        <w:tabs>
          <w:tab w:val="right" w:leader="none" w:pos="426"/>
        </w:tabs>
        <w:spacing w:before="120"/>
        <w:ind w:firstLine="0" w:left="0"/>
        <w:rPr>
          <w:lang w:val="it-IT" w:eastAsia="ru-RU"/>
        </w:rPr>
      </w:pPr>
      <w:r>
        <w:rPr>
          <w:bCs/>
          <w:lang w:val="it-IT" w:eastAsia="ru-RU"/>
        </w:rPr>
        <w:t xml:space="preserve">Condiții speciale de care depinde îndeplinirea contractului (indicați după caz): </w:t>
      </w:r>
      <w:r>
        <w:rPr>
          <w:bCs/>
          <w:lang w:val="it-IT" w:eastAsia="ru-RU"/>
        </w:rPr>
      </w:r>
      <w:r>
        <w:rPr>
          <w:lang w:val="it-IT" w:eastAsia="ru-RU"/>
        </w:rPr>
      </w:r>
    </w:p>
    <w:p>
      <w:pPr>
        <w:pBdr/>
        <w:tabs>
          <w:tab w:val="right" w:leader="none" w:pos="426"/>
        </w:tabs>
        <w:spacing w:before="120"/>
        <w:ind w:firstLine="0" w:left="0"/>
        <w:rPr>
          <w:b/>
          <w:bCs/>
        </w:rPr>
      </w:pPr>
      <w:r>
        <w:rPr>
          <w:b/>
          <w:bCs/>
          <w:lang w:val="it-IT" w:eastAsia="ru-RU"/>
        </w:rPr>
        <w:t xml:space="preserve">Ofertele se vor prezenta în conformitate cu secțiunea a 3-a din Documentația Standard pentru realizarea achizițiilor</w:t>
      </w:r>
      <w:r>
        <w:rPr>
          <w:b/>
          <w:bCs/>
        </w:rPr>
        <w:t xml:space="preserve"> </w:t>
      </w:r>
      <w:r>
        <w:rPr>
          <w:b/>
          <w:bCs/>
          <w:lang w:val="it-IT" w:eastAsia="ru-RU"/>
        </w:rPr>
        <w:t xml:space="preserve">publice de bunuri și servicii aprobată prin ord.Ministerului Finanțelor nr.115 din 15.09.2021</w:t>
      </w:r>
      <w:r>
        <w:rPr>
          <w:b/>
          <w:bCs/>
        </w:rPr>
      </w:r>
      <w:r>
        <w:rPr>
          <w:b/>
          <w:bCs/>
        </w:rPr>
      </w:r>
    </w:p>
    <w:p>
      <w:pPr>
        <w:numPr>
          <w:ilvl w:val="0"/>
          <w:numId w:val="10"/>
        </w:numPr>
        <w:pBdr/>
        <w:tabs>
          <w:tab w:val="right" w:leader="none" w:pos="426"/>
        </w:tabs>
        <w:spacing w:before="120"/>
        <w:ind w:firstLine="0" w:left="0"/>
        <w:rPr>
          <w:bCs/>
          <w:lang w:val="it-IT" w:eastAsia="ru-RU"/>
        </w:rPr>
      </w:pPr>
      <w:r/>
      <w:r>
        <w:rPr>
          <w:bCs/>
          <w:lang w:val="it-IT" w:eastAsia="ru-RU"/>
        </w:rPr>
        <w:t xml:space="preserve">Ofertele se prezintă în valuta</w:t>
      </w:r>
      <w:r>
        <w:rPr>
          <w:bCs/>
          <w:lang w:val="ro-RO"/>
        </w:rPr>
        <w:t xml:space="preserve"> lei MDL.</w:t>
      </w:r>
      <w:r>
        <w:rPr>
          <w:bCs/>
          <w:lang w:val="it-IT" w:eastAsia="ru-RU"/>
        </w:rPr>
      </w:r>
      <w:r>
        <w:rPr>
          <w:bCs/>
          <w:lang w:val="it-IT" w:eastAsia="ru-RU"/>
        </w:rPr>
      </w:r>
    </w:p>
    <w:p>
      <w:pPr>
        <w:numPr>
          <w:ilvl w:val="0"/>
          <w:numId w:val="10"/>
        </w:numPr>
        <w:pBdr/>
        <w:tabs>
          <w:tab w:val="right" w:leader="none" w:pos="426"/>
        </w:tabs>
        <w:spacing w:before="120"/>
        <w:ind w:firstLine="0" w:left="0"/>
        <w:rPr>
          <w:b/>
          <w:bCs/>
        </w:rPr>
      </w:pPr>
      <w:r>
        <w:rPr>
          <w:bCs/>
          <w:lang w:val="it-IT" w:eastAsia="ru-RU"/>
        </w:rPr>
        <w:t xml:space="preserve">Criteriul de evaluare aplicat pentru atribuirea contractului: </w:t>
      </w:r>
      <w:r>
        <w:rPr>
          <w:bCs/>
          <w:lang w:val="it-IT" w:eastAsia="ru-RU"/>
        </w:rPr>
        <w:t xml:space="preserve">p</w:t>
      </w:r>
      <w:r>
        <w:rPr>
          <w:b/>
          <w:bCs/>
          <w:lang w:val="it-IT" w:eastAsia="ru-RU"/>
        </w:rPr>
        <w:t xml:space="preserve">rețul cel mai scăzut conform cerințelor solicitate</w:t>
      </w:r>
      <w:r>
        <w:rPr>
          <w:b/>
          <w:bCs/>
          <w:lang w:val="ro-RO"/>
        </w:rPr>
        <w:t xml:space="preserve"> (Ținînd cont de cel mai mare discount oferit de ofertant)</w:t>
      </w:r>
      <w:r>
        <w:rPr>
          <w:b/>
          <w:bCs/>
          <w:lang w:val="it-IT" w:eastAsia="ru-RU"/>
        </w:rPr>
      </w:r>
      <w:r>
        <w:rPr>
          <w:b/>
          <w:bCs/>
        </w:rPr>
      </w:r>
    </w:p>
    <w:p>
      <w:pPr>
        <w:numPr>
          <w:ilvl w:val="0"/>
          <w:numId w:val="10"/>
        </w:numPr>
        <w:pBdr/>
        <w:tabs>
          <w:tab w:val="right" w:leader="none" w:pos="426"/>
        </w:tabs>
        <w:spacing w:before="120"/>
        <w:ind w:firstLine="0" w:left="0"/>
        <w:jc w:val="both"/>
        <w:rPr>
          <w:bCs/>
          <w:lang w:val="it-IT" w:eastAsia="ru-RU"/>
        </w:rPr>
      </w:pPr>
      <w:r>
        <w:rPr>
          <w:bCs/>
          <w:lang w:val="it-IT" w:eastAsia="ru-RU"/>
        </w:rPr>
        <w:t xml:space="preserve">Factorii de evaluare a ofertei celei mai avantajoase din punct de vedere economic, precum și ponderile lor:</w:t>
      </w:r>
      <w:r>
        <w:rPr>
          <w:bCs/>
          <w:lang w:val="it-IT" w:eastAsia="ru-RU"/>
        </w:rPr>
      </w:r>
      <w:r>
        <w:rPr>
          <w:bCs/>
          <w:lang w:val="it-IT" w:eastAsia="ru-RU"/>
        </w:rPr>
      </w:r>
    </w:p>
    <w:p>
      <w:pPr>
        <w:pBdr/>
        <w:tabs>
          <w:tab w:val="right" w:leader="none" w:pos="426"/>
        </w:tabs>
        <w:spacing w:before="120"/>
        <w:ind w:left="360"/>
        <w:rPr>
          <w:bCs/>
          <w:lang w:val="it-IT" w:eastAsia="ru-RU"/>
        </w:rPr>
      </w:pPr>
      <w:r>
        <w:rPr>
          <w:bCs/>
          <w:lang w:val="it-IT" w:eastAsia="ru-RU"/>
        </w:rPr>
      </w:r>
      <w:r>
        <w:rPr>
          <w:bCs/>
          <w:lang w:val="it-IT" w:eastAsia="ru-RU"/>
        </w:rPr>
      </w:r>
      <w:r>
        <w:rPr>
          <w:bCs/>
          <w:lang w:val="it-IT" w:eastAsia="ru-RU"/>
        </w:rPr>
      </w:r>
    </w:p>
    <w:tbl>
      <w:tblPr>
        <w:tblStyle w:val="1065"/>
        <w:tblW w:w="0" w:type="auto"/>
        <w:tblBorders/>
        <w:tblLook w:val="04A0" w:firstRow="1" w:lastRow="0" w:firstColumn="1" w:lastColumn="0" w:noHBand="0" w:noVBand="1"/>
      </w:tblPr>
      <w:tblGrid>
        <w:gridCol w:w="565"/>
        <w:gridCol w:w="6475"/>
        <w:gridCol w:w="1715"/>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Denumirea</w:t>
            </w:r>
            <w:r>
              <w:rPr>
                <w:bCs/>
                <w:iCs/>
                <w:sz w:val="20"/>
                <w:szCs w:val="20"/>
                <w:lang w:eastAsia="ru-RU"/>
              </w:rPr>
              <w:t xml:space="preserve"> </w:t>
            </w:r>
            <w:r>
              <w:rPr>
                <w:bCs/>
                <w:iCs/>
                <w:sz w:val="20"/>
                <w:szCs w:val="20"/>
                <w:lang w:val="ru-RU" w:eastAsia="ru-RU"/>
              </w:rPr>
              <w:t xml:space="preserve">factorului</w:t>
            </w:r>
            <w:r>
              <w:rPr>
                <w:bCs/>
                <w:iCs/>
                <w:sz w:val="20"/>
                <w:szCs w:val="20"/>
                <w:lang w:eastAsia="ru-RU"/>
              </w:rPr>
              <w:t xml:space="preserve"> </w:t>
            </w:r>
            <w:r>
              <w:rPr>
                <w:bCs/>
                <w:iCs/>
                <w:sz w:val="20"/>
                <w:szCs w:val="20"/>
                <w:lang w:val="ru-RU" w:eastAsia="ru-RU"/>
              </w:rPr>
              <w:t xml:space="preserve">de</w:t>
            </w:r>
            <w:r>
              <w:rPr>
                <w:bCs/>
                <w:iCs/>
                <w:sz w:val="20"/>
                <w:szCs w:val="20"/>
                <w:lang w:eastAsia="ru-RU"/>
              </w:rPr>
              <w:t xml:space="preserve"> </w:t>
            </w:r>
            <w:r>
              <w:rPr>
                <w:bCs/>
                <w:iCs/>
                <w:sz w:val="20"/>
                <w:szCs w:val="20"/>
                <w:lang w:val="ru-RU" w:eastAsia="ru-RU"/>
              </w:rPr>
              <w:t xml:space="preserve">evaluare</w:t>
            </w:r>
            <w:r>
              <w:rPr>
                <w:bCs/>
                <w:iCs/>
                <w:sz w:val="20"/>
                <w:szCs w:val="20"/>
                <w:lang w:val="ru-RU" w:eastAsia="ru-RU"/>
              </w:rPr>
            </w:r>
            <w:r>
              <w:rPr>
                <w:bCs/>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Ponderea%</w:t>
            </w:r>
            <w:r>
              <w:rPr>
                <w:bCs/>
                <w:iCs/>
                <w:sz w:val="20"/>
                <w:szCs w:val="20"/>
                <w:lang w:val="ru-RU" w:eastAsia="ru-RU"/>
              </w:rPr>
            </w:r>
            <w:r>
              <w:rPr>
                <w:bCs/>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u w:val="single"/>
              </w:rPr>
            </w:pPr>
            <w:r>
              <w:rPr>
                <w:bCs/>
                <w:iCs/>
                <w:lang w:val="ro-RO"/>
              </w:rPr>
              <w:t xml:space="preserve">                                          </w:t>
            </w:r>
            <w:r>
              <w:rPr>
                <w:bCs/>
                <w:iCs/>
                <w:u w:val="single"/>
                <w:lang w:val="ro-RO"/>
              </w:rPr>
              <w:t xml:space="preserve"> Nu se aplică</w:t>
            </w:r>
            <w:r>
              <w:rPr>
                <w:bCs/>
                <w:iCs/>
                <w:u w:val="single"/>
                <w:lang w:val="ru-RU" w:eastAsia="ru-RU"/>
              </w:rPr>
            </w:r>
            <w:r>
              <w:rPr>
                <w:bCs/>
                <w:iCs/>
                <w:u w:val="single"/>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Termenul limită de depunere/deschidere a ofertelor:</w:t>
      </w:r>
      <w:r>
        <w:rPr>
          <w:bCs/>
          <w:lang w:val="it-IT" w:eastAsia="ru-RU"/>
        </w:rPr>
      </w:r>
      <w:r>
        <w:rPr>
          <w:bCs/>
          <w:lang w:val="it-IT" w:eastAsia="ru-RU"/>
        </w:rPr>
      </w:r>
    </w:p>
    <w:p>
      <w:pPr>
        <w:numPr>
          <w:ilvl w:val="0"/>
          <w:numId w:val="12"/>
        </w:numPr>
        <w:pBdr/>
        <w:shd w:val="clear" w:color="auto" w:fill="ffffff" w:themeFill="background1"/>
        <w:tabs>
          <w:tab w:val="right" w:leader="none" w:pos="426"/>
        </w:tabs>
        <w:spacing w:before="120"/>
        <w:ind/>
        <w:rPr>
          <w:bCs/>
          <w:lang w:val="en-US" w:eastAsia="ru-RU"/>
        </w:rPr>
      </w:pPr>
      <w:r>
        <w:rPr>
          <w:bCs/>
          <w:lang w:eastAsia="ru-RU"/>
        </w:rPr>
        <w:t xml:space="preserve">conform SIA RSAP /p</w:t>
      </w:r>
      <w:r>
        <w:rPr>
          <w:bCs/>
          <w:lang w:val="en-US" w:eastAsia="ru-RU"/>
        </w:rPr>
        <w:t xml:space="preserve">ână</w:t>
      </w:r>
      <w:r>
        <w:rPr>
          <w:bCs/>
          <w:lang w:eastAsia="ru-RU"/>
        </w:rPr>
        <w:t xml:space="preserve"> </w:t>
      </w:r>
      <w:r>
        <w:rPr>
          <w:bCs/>
          <w:lang w:val="en-US" w:eastAsia="ru-RU"/>
        </w:rPr>
        <w:t xml:space="preserve">la: </w:t>
      </w:r>
      <w:r>
        <w:rPr>
          <w:bCs/>
          <w:i/>
          <w:lang w:val="en-US" w:eastAsia="ru-RU"/>
        </w:rPr>
        <w:t xml:space="preserve">[ora</w:t>
      </w:r>
      <w:r>
        <w:rPr>
          <w:bCs/>
          <w:i/>
          <w:lang w:eastAsia="ru-RU"/>
        </w:rPr>
        <w:t xml:space="preserve"> </w:t>
      </w:r>
      <w:r>
        <w:rPr>
          <w:bCs/>
          <w:i/>
          <w:lang w:val="en-US" w:eastAsia="ru-RU"/>
        </w:rPr>
        <w:t xml:space="preserve">exactă]</w:t>
      </w:r>
      <w:r>
        <w:rPr>
          <w:bCs/>
          <w:i/>
          <w:lang w:val="en-US" w:eastAsia="ru-RU"/>
        </w:rPr>
        <w:t xml:space="preserve">Conform informației din SIA RSAP „MTender”</w:t>
      </w:r>
      <w:r>
        <w:rPr>
          <w:bCs/>
          <w:lang w:val="en-US" w:eastAsia="ru-RU"/>
        </w:rPr>
      </w:r>
      <w:r>
        <w:rPr>
          <w:bCs/>
          <w:lang w:val="en-US" w:eastAsia="ru-RU"/>
        </w:rPr>
      </w:r>
    </w:p>
    <w:p>
      <w:pPr>
        <w:numPr>
          <w:ilvl w:val="0"/>
          <w:numId w:val="12"/>
        </w:numPr>
        <w:pBdr/>
        <w:shd w:val="clear" w:color="auto" w:fill="ffffff" w:themeFill="background1"/>
        <w:tabs>
          <w:tab w:val="right" w:leader="none" w:pos="426"/>
        </w:tabs>
        <w:spacing w:before="120"/>
        <w:ind/>
        <w:rPr>
          <w:b/>
          <w:lang w:val="ru-RU" w:eastAsia="ru-RU"/>
        </w:rPr>
      </w:pPr>
      <w:r>
        <w:rPr>
          <w:bCs/>
          <w:lang w:val="ru-RU" w:eastAsia="ru-RU"/>
        </w:rPr>
        <w:t xml:space="preserve">pe: </w:t>
      </w:r>
      <w:r>
        <w:rPr>
          <w:bCs/>
          <w:i/>
          <w:lang w:val="ru-RU" w:eastAsia="ru-RU"/>
        </w:rPr>
        <w:t xml:space="preserve">[data]</w:t>
      </w:r>
      <w:r>
        <w:rPr>
          <w:bCs/>
          <w:i/>
          <w:lang w:val="ru-RU" w:eastAsia="ru-RU"/>
        </w:rPr>
        <w:t xml:space="preserve">Conform informației din SIA RSAP „MTender”</w:t>
      </w:r>
      <w:r>
        <w:rPr>
          <w:b/>
          <w:lang w:val="ru-RU" w:eastAsia="ru-RU"/>
        </w:rPr>
      </w:r>
      <w:r>
        <w:rPr>
          <w:b/>
          <w:lang w:val="ru-RU" w:eastAsia="ru-RU"/>
        </w:rPr>
      </w:r>
    </w:p>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Adresa la care trebuie transmise ofertele sau cererile de participare: </w:t>
      </w:r>
      <w:r>
        <w:rPr>
          <w:bCs/>
          <w:lang w:val="it-IT" w:eastAsia="ru-RU"/>
        </w:rPr>
      </w:r>
      <w:r>
        <w:rPr>
          <w:bCs/>
          <w:lang w:val="it-IT" w:eastAsia="ru-RU"/>
        </w:rPr>
      </w:r>
    </w:p>
    <w:p>
      <w:pPr>
        <w:pBdr/>
        <w:shd w:val="clear" w:color="auto" w:fill="ffffff" w:themeFill="background1"/>
        <w:tabs>
          <w:tab w:val="right" w:leader="none" w:pos="426"/>
        </w:tabs>
        <w:spacing w:before="120"/>
        <w:ind w:left="450"/>
        <w:jc w:val="both"/>
        <w:rPr>
          <w:bCs/>
          <w:lang w:val="it-IT" w:eastAsia="ru-RU"/>
        </w:rPr>
      </w:pPr>
      <w:r>
        <w:rPr>
          <w:bCs/>
          <w:i/>
          <w:lang w:val="it-IT" w:eastAsia="ru-RU"/>
        </w:rPr>
        <w:t xml:space="preserve">Ofertele sau cererile de participare vor fi depuse electronic prin intermediul SIA RSAP</w:t>
      </w:r>
      <w:r>
        <w:rPr>
          <w:bCs/>
          <w:lang w:val="it-IT" w:eastAsia="ru-RU"/>
        </w:rPr>
      </w:r>
      <w:r>
        <w:rPr>
          <w:bCs/>
          <w:lang w:val="it-IT" w:eastAsia="ru-RU"/>
        </w:rPr>
      </w:r>
    </w:p>
    <w:p>
      <w:pPr>
        <w:numPr>
          <w:ilvl w:val="0"/>
          <w:numId w:val="10"/>
        </w:numPr>
        <w:pBdr/>
        <w:tabs>
          <w:tab w:val="right" w:leader="none" w:pos="426"/>
        </w:tabs>
        <w:spacing w:before="120"/>
        <w:ind w:firstLine="0" w:left="0"/>
        <w:rPr>
          <w:bCs/>
          <w:lang w:val="it-IT" w:eastAsia="ru-RU"/>
        </w:rPr>
      </w:pPr>
      <w:r>
        <w:rPr>
          <w:bCs/>
          <w:lang w:val="it-IT" w:eastAsia="ru-RU"/>
        </w:rPr>
        <w:t xml:space="preserve">Termenul de valabilitate a ofertelor: </w:t>
      </w:r>
      <w:r>
        <w:rPr>
          <w:bCs/>
          <w:lang w:val="it-IT" w:eastAsia="ru-RU"/>
        </w:rPr>
        <w:t xml:space="preserve">60 zile</w:t>
      </w:r>
      <w:r>
        <w:rPr>
          <w:bCs/>
          <w:lang w:val="it-IT" w:eastAsia="ru-RU"/>
        </w:rPr>
      </w:r>
      <w:r>
        <w:rPr>
          <w:bCs/>
          <w:lang w:val="it-IT" w:eastAsia="ru-RU"/>
        </w:rPr>
      </w:r>
    </w:p>
    <w:p>
      <w:pPr>
        <w:numPr>
          <w:ilvl w:val="0"/>
          <w:numId w:val="10"/>
        </w:numPr>
        <w:pBdr/>
        <w:tabs>
          <w:tab w:val="right" w:leader="none" w:pos="426"/>
        </w:tabs>
        <w:spacing w:before="120"/>
        <w:ind w:firstLine="0" w:left="0"/>
        <w:rPr>
          <w:bCs/>
          <w:u w:val="single"/>
        </w:rPr>
      </w:pPr>
      <w:r>
        <w:rPr>
          <w:bCs/>
          <w:lang w:val="ru-RU" w:eastAsia="ru-RU"/>
        </w:rPr>
        <w:t xml:space="preserve">Locul</w:t>
      </w:r>
      <w:r>
        <w:rPr>
          <w:bCs/>
          <w:lang w:eastAsia="ru-RU"/>
        </w:rPr>
        <w:t xml:space="preserve"> </w:t>
      </w:r>
      <w:r>
        <w:rPr>
          <w:bCs/>
          <w:lang w:val="ru-RU" w:eastAsia="ru-RU"/>
        </w:rPr>
        <w:t xml:space="preserve">deschiderii</w:t>
      </w:r>
      <w:r>
        <w:rPr>
          <w:bCs/>
          <w:lang w:eastAsia="ru-RU"/>
        </w:rPr>
        <w:t xml:space="preserve"> </w:t>
      </w:r>
      <w:r>
        <w:rPr>
          <w:bCs/>
          <w:lang w:val="ru-RU" w:eastAsia="ru-RU"/>
        </w:rPr>
        <w:t xml:space="preserve">ofertelor: </w:t>
      </w:r>
      <w:r>
        <w:rPr>
          <w:bCs/>
          <w:u w:val="single"/>
          <w:lang w:val="ru-RU" w:eastAsia="ru-RU"/>
        </w:rPr>
        <w:t xml:space="preserve">SIA RSAP „MTender”</w:t>
      </w:r>
      <w:r>
        <w:rPr>
          <w:bCs/>
          <w:u w:val="single"/>
          <w:lang w:val="ru-RU" w:eastAsia="ru-RU"/>
        </w:rPr>
      </w:r>
      <w:r>
        <w:rPr>
          <w:bCs/>
          <w:u w:val="single"/>
        </w:rPr>
      </w:r>
    </w:p>
    <w:p>
      <w:pPr>
        <w:pBdr/>
        <w:shd w:val="clear" w:color="auto" w:fill="ffffff" w:themeFill="background1"/>
        <w:tabs>
          <w:tab w:val="right" w:leader="none" w:pos="426"/>
        </w:tabs>
        <w:spacing/>
        <w:ind/>
        <w:contextualSpacing w:val="true"/>
        <w:rPr>
          <w:bCs/>
          <w:sz w:val="20"/>
          <w:lang w:val="it-IT" w:eastAsia="ru-RU"/>
        </w:rPr>
      </w:pPr>
      <w:r>
        <w:rPr>
          <w:bCs/>
          <w:sz w:val="20"/>
          <w:lang w:val="it-IT" w:eastAsia="ru-RU"/>
        </w:rPr>
        <w:t xml:space="preserve">                                                            (SIA RSAP sau adresa deschiderii)</w:t>
      </w:r>
      <w:r>
        <w:rPr>
          <w:bCs/>
          <w:sz w:val="20"/>
          <w:lang w:val="it-IT" w:eastAsia="ru-RU"/>
        </w:rPr>
      </w:r>
      <w:r>
        <w:rPr>
          <w:bCs/>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Cs/>
          <w:i/>
          <w:lang w:val="it-IT" w:eastAsia="ru-RU"/>
        </w:rPr>
      </w:pPr>
      <w:r>
        <w:rPr>
          <w:bCs/>
          <w:i/>
          <w:lang w:val="it-IT" w:eastAsia="ru-RU"/>
        </w:rPr>
        <w:t xml:space="preserve">Ofertele întârziate vor fi respinse. </w:t>
      </w:r>
      <w:r>
        <w:rPr>
          <w:bCs/>
          <w:i/>
          <w:lang w:val="it-IT" w:eastAsia="ru-RU"/>
        </w:rPr>
      </w:r>
      <w:r>
        <w:rPr>
          <w:bCs/>
          <w:i/>
          <w:lang w:val="it-IT" w:eastAsia="ru-RU"/>
        </w:rPr>
      </w:r>
    </w:p>
    <w:p>
      <w:pPr>
        <w:numPr>
          <w:ilvl w:val="0"/>
          <w:numId w:val="10"/>
        </w:numPr>
        <w:pBdr/>
        <w:shd w:val="clear" w:color="auto" w:fill="ffffff" w:themeFill="background1"/>
        <w:tabs>
          <w:tab w:val="right" w:leader="none" w:pos="426"/>
        </w:tabs>
        <w:spacing w:before="120"/>
        <w:ind w:hanging="450" w:left="450"/>
        <w:rPr>
          <w:bCs/>
          <w:lang w:val="it-IT" w:eastAsia="ru-RU"/>
        </w:rPr>
      </w:pPr>
      <w:r>
        <w:rPr>
          <w:bCs/>
          <w:lang w:val="it-IT" w:eastAsia="ru-RU"/>
        </w:rPr>
        <w:t xml:space="preserve">Persoanele autorizate să asiste la deschiderea ofertelor: </w:t>
      </w:r>
      <w:r>
        <w:rPr>
          <w:bCs/>
          <w:i/>
          <w:lang w:val="it-IT" w:eastAsia="ru-RU"/>
        </w:rPr>
        <w:t xml:space="preserve">Ofertanții sau reprezentanții acestora au dreptul să participe la deschiderea ofertelor, cu excepția cazului cînd ofertele au fost depuse prin SIA RSAP</w:t>
      </w:r>
      <w:r>
        <w:rPr>
          <w:bCs/>
          <w:lang w:val="it-IT" w:eastAsia="ru-RU"/>
        </w:rPr>
        <w:t xml:space="preserve">.</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hanging="450" w:left="450"/>
        <w:rPr>
          <w:lang w:val="it-IT" w:eastAsia="ru-RU"/>
        </w:rPr>
      </w:pPr>
      <w:r>
        <w:rPr>
          <w:bCs/>
          <w:lang w:val="it-IT" w:eastAsia="ru-RU"/>
        </w:rPr>
        <w:t xml:space="preserve">Limba sau limbile în care trebuie redactate ofertele sau cererile de participare:</w:t>
      </w:r>
      <w:r>
        <w:rPr>
          <w:bCs/>
          <w:lang w:val="it-IT" w:eastAsia="ru-RU"/>
        </w:rPr>
      </w:r>
      <w:r>
        <w:rPr>
          <w:lang w:val="it-IT" w:eastAsia="ru-RU"/>
        </w:rPr>
      </w:r>
    </w:p>
    <w:p>
      <w:pPr>
        <w:pBdr/>
        <w:shd w:val="clear" w:color="auto" w:fill="ffffff" w:themeFill="background1"/>
        <w:tabs>
          <w:tab w:val="right" w:leader="none" w:pos="426"/>
        </w:tabs>
        <w:spacing w:before="120"/>
        <w:ind w:firstLine="0" w:left="450"/>
        <w:rPr>
          <w:b/>
          <w:bCs/>
        </w:rPr>
      </w:pPr>
      <w:r>
        <w:rPr>
          <w:b/>
          <w:bCs/>
          <w:lang w:val="ro-RO"/>
        </w:rPr>
        <w:t xml:space="preserve">L</w:t>
      </w:r>
      <w:r>
        <w:rPr>
          <w:b/>
          <w:bCs/>
          <w:lang w:val="it-IT" w:eastAsia="ru-RU"/>
        </w:rPr>
        <w:t xml:space="preserve">imba română</w:t>
      </w:r>
      <w:r>
        <w:rPr>
          <w:b/>
          <w:bCs/>
        </w:rPr>
      </w:r>
      <w:r>
        <w:rPr>
          <w:b/>
          <w:bCs/>
        </w:rPr>
      </w:r>
    </w:p>
    <w:p>
      <w:pPr>
        <w:numPr>
          <w:ilvl w:val="0"/>
          <w:numId w:val="10"/>
        </w:numPr>
        <w:pBdr/>
        <w:shd w:val="clear" w:color="auto" w:fill="ffffff" w:themeFill="background1"/>
        <w:tabs>
          <w:tab w:val="right" w:leader="none" w:pos="426"/>
        </w:tabs>
        <w:spacing w:before="120"/>
        <w:ind w:left="360"/>
        <w:rPr>
          <w:bCs/>
          <w:lang w:val="it-IT" w:eastAsia="ru-RU"/>
        </w:rPr>
      </w:pPr>
      <w:r>
        <w:rPr>
          <w:bCs/>
          <w:lang w:val="it-IT" w:eastAsia="ru-RU"/>
        </w:rPr>
        <w:t xml:space="preserve">Respectivul contract se referă la un proiect și/sau program finanțat din fonduri ale Uniunii Europene: </w:t>
      </w:r>
      <w:r>
        <w:rPr>
          <w:bCs/>
          <w:lang w:val="ro-RO"/>
        </w:rPr>
        <w:t xml:space="preserve">Nu</w:t>
      </w:r>
      <w:r>
        <w:rPr>
          <w:bCs/>
          <w:lang w:val="it-IT" w:eastAsia="ru-RU"/>
        </w:rPr>
      </w:r>
      <w:r>
        <w:rPr>
          <w:bCs/>
          <w:lang w:val="it-IT" w:eastAsia="ru-RU"/>
        </w:rPr>
      </w:r>
    </w:p>
    <w:p>
      <w:pPr>
        <w:pBdr/>
        <w:shd w:val="clear" w:color="auto" w:fill="ffffff" w:themeFill="background1"/>
        <w:tabs>
          <w:tab w:val="right" w:leader="none" w:pos="426"/>
        </w:tabs>
        <w:spacing/>
        <w:ind w:left="1980"/>
        <w:contextualSpacing w:val="true"/>
        <w:jc w:val="left"/>
        <w:rPr>
          <w:sz w:val="20"/>
          <w:lang w:val="it-IT" w:eastAsia="ru-RU"/>
        </w:rPr>
      </w:pPr>
      <w:r>
        <w:rPr>
          <w:sz w:val="20"/>
          <w:lang w:val="it-IT" w:eastAsia="ru-RU"/>
        </w:rPr>
        <w:t xml:space="preserve">(se specifică denumirea proiectului și/sau programului)</w:t>
      </w:r>
      <w:r>
        <w:rPr>
          <w:sz w:val="20"/>
          <w:lang w:val="it-IT" w:eastAsia="ru-RU"/>
        </w:rPr>
      </w:r>
      <w:r>
        <w:rPr>
          <w:sz w:val="20"/>
          <w:lang w:val="it-IT" w:eastAsia="ru-RU"/>
        </w:rPr>
      </w:r>
    </w:p>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Denumirea și adresa organismului competent de soluționare a contestațiilor: </w:t>
      </w:r>
      <w:r>
        <w:rPr>
          <w:bCs/>
          <w:lang w:val="it-IT" w:eastAsia="ru-RU"/>
        </w:rPr>
      </w:r>
      <w:r>
        <w:rPr>
          <w:bCs/>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Agenția Națională pentru Soluționarea Contestațiilor</w:t>
      </w:r>
      <w:r>
        <w:rPr>
          <w:bCs/>
          <w:i/>
          <w:lang w:val="it-IT" w:eastAsia="ru-RU"/>
        </w:rPr>
      </w:r>
      <w:r>
        <w:rPr>
          <w:bCs/>
          <w:i/>
          <w:lang w:val="it-IT" w:eastAsia="ru-RU"/>
        </w:rPr>
      </w:r>
    </w:p>
    <w:p>
      <w:pPr>
        <w:pBdr/>
        <w:shd w:val="clear" w:color="auto" w:fill="ffffff" w:themeFill="background1"/>
        <w:tabs>
          <w:tab w:val="right" w:leader="none" w:pos="426"/>
        </w:tabs>
        <w:spacing/>
        <w:ind w:left="450"/>
        <w:rPr>
          <w:bCs/>
          <w:i/>
          <w:lang w:val="it-IT" w:eastAsia="ru-RU"/>
        </w:rPr>
      </w:pPr>
      <w:r>
        <w:rPr>
          <w:bCs/>
          <w:i/>
          <w:lang w:val="it-IT" w:eastAsia="ru-RU"/>
        </w:rPr>
        <w:t xml:space="preserve">Adresa: mun. Chișinău, bd. Ștefan cel Mare și Sfânt nr.124 (et.4), MD 2001;</w:t>
      </w:r>
      <w:r>
        <w:rPr>
          <w:bCs/>
          <w:i/>
          <w:lang w:val="it-IT" w:eastAsia="ru-RU"/>
        </w:rPr>
      </w:r>
      <w:r>
        <w:rPr>
          <w:bCs/>
          <w:i/>
          <w:lang w:val="it-IT" w:eastAsia="ru-RU"/>
        </w:rPr>
      </w:r>
    </w:p>
    <w:p>
      <w:pPr>
        <w:pBdr/>
        <w:shd w:val="clear" w:color="auto" w:fill="ffffff" w:themeFill="background1"/>
        <w:tabs>
          <w:tab w:val="right" w:leader="none" w:pos="426"/>
        </w:tabs>
        <w:spacing/>
        <w:ind w:left="450"/>
        <w:rPr>
          <w:bCs/>
          <w:i/>
          <w:lang w:val="en-US" w:eastAsia="ru-RU"/>
        </w:rPr>
      </w:pPr>
      <w:r>
        <w:rPr>
          <w:bCs/>
          <w:i/>
          <w:lang w:val="en-US" w:eastAsia="ru-RU"/>
        </w:rPr>
        <w:t xml:space="preserve">Tel/Fax/email:022-820 652, 022 820-651, contestatii@ansc.md</w:t>
      </w:r>
      <w:r>
        <w:rPr>
          <w:bCs/>
          <w:i/>
          <w:lang w:val="en-US" w:eastAsia="ru-RU"/>
        </w:rPr>
      </w:r>
      <w:r>
        <w:rPr>
          <w:bCs/>
          <w:i/>
          <w:lang w:val="en-US" w:eastAsia="ru-RU"/>
        </w:rPr>
      </w:r>
    </w:p>
    <w:p>
      <w:pPr>
        <w:numPr>
          <w:ilvl w:val="0"/>
          <w:numId w:val="10"/>
        </w:numPr>
        <w:pBdr/>
        <w:shd w:val="clear" w:color="auto" w:fill="ffffff" w:themeFill="background1"/>
        <w:tabs>
          <w:tab w:val="right" w:leader="none" w:pos="426"/>
        </w:tabs>
        <w:spacing w:before="120"/>
        <w:ind w:left="360"/>
        <w:rPr>
          <w:bCs/>
          <w:lang w:val="it-IT" w:eastAsia="ru-RU"/>
        </w:rPr>
      </w:pPr>
      <w:r>
        <w:rPr>
          <w:bCs/>
          <w:lang w:val="it-IT" w:eastAsia="ru-RU"/>
        </w:rPr>
        <w:t xml:space="preserve">Data (datele) și referința (referințele) publicărilor anterioare în Jurnalul Oficial al Uniunii Europene privind contractul (contractele) la care se referă anunțul respectiv (dacă este cazul):</w:t>
      </w:r>
      <w:r>
        <w:rPr>
          <w:bCs/>
          <w:lang w:val="ro-RO"/>
        </w:rPr>
        <w:t xml:space="preserve">NU</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În cazul achizițiilor periodice, calendarul estimat pentru publicarea anunțurilor viitoare</w:t>
      </w:r>
      <w:r>
        <w:rPr>
          <w:bCs/>
          <w:shd w:val="clear" w:color="auto" w:fill="ffffff" w:themeFill="background1"/>
          <w:lang w:val="it-IT" w:eastAsia="ru-RU"/>
        </w:rPr>
        <w:t xml:space="preserve">:______________________________________________________________</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left="360"/>
        <w:jc w:val="both"/>
        <w:rPr>
          <w:bCs/>
          <w:lang w:val="it-IT" w:eastAsia="ru-RU"/>
        </w:rPr>
      </w:pPr>
      <w:r>
        <w:rPr>
          <w:bCs/>
          <w:lang w:val="it-IT" w:eastAsia="ru-RU"/>
        </w:rPr>
        <w:t xml:space="preserve">Data publicării anunțului de intenție sau, după caz, precizarea că nu a fost publicat un astfel de </w:t>
      </w:r>
      <w:r>
        <w:rPr>
          <w:bCs/>
          <w:shd w:val="clear" w:color="auto" w:fill="ffffff" w:themeFill="background1"/>
          <w:lang w:val="it-IT" w:eastAsia="ru-RU"/>
        </w:rPr>
        <w:t xml:space="preserve">anunţ:</w:t>
      </w:r>
      <w:r>
        <w:rPr>
          <w:bCs/>
          <w:shd w:val="clear" w:color="auto" w:fill="ffffff" w:themeFill="background1"/>
          <w:lang w:val="ro-RO"/>
        </w:rPr>
        <w:t xml:space="preserve">NU a fost publicat</w:t>
      </w:r>
      <w:r>
        <w:rPr>
          <w:bCs/>
          <w:lang w:val="it-IT" w:eastAsia="ru-RU"/>
        </w:rPr>
      </w:r>
      <w:r>
        <w:rPr>
          <w:bCs/>
          <w:lang w:val="it-IT" w:eastAsia="ru-RU"/>
        </w:rPr>
      </w:r>
    </w:p>
    <w:p>
      <w:pPr>
        <w:numPr>
          <w:ilvl w:val="0"/>
          <w:numId w:val="10"/>
        </w:numPr>
        <w:pBdr/>
        <w:shd w:val="clear" w:color="auto" w:fill="ffffff" w:themeFill="background1"/>
        <w:tabs>
          <w:tab w:val="right" w:leader="none" w:pos="426"/>
        </w:tabs>
        <w:spacing w:before="120"/>
        <w:ind w:firstLine="0" w:left="0"/>
        <w:rPr>
          <w:bCs/>
          <w:i/>
        </w:rPr>
      </w:pPr>
      <w:r>
        <w:rPr>
          <w:bCs/>
          <w:lang w:val="it-IT" w:eastAsia="ru-RU"/>
        </w:rPr>
        <w:t xml:space="preserve">Data transmiterii spre publicare a anunțului de participar</w:t>
      </w:r>
      <w:r>
        <w:rPr>
          <w:bCs/>
          <w:shd w:val="clear" w:color="auto" w:fill="ffffff" w:themeFill="background1"/>
          <w:lang w:val="it-IT" w:eastAsia="ru-RU"/>
        </w:rPr>
        <w:t xml:space="preserve">e:</w:t>
      </w:r>
      <w:r>
        <w:rPr>
          <w:bCs/>
          <w:shd w:val="clear" w:color="auto" w:fill="ffffff" w:themeFill="background1"/>
          <w:lang w:val="ro-RO"/>
        </w:rPr>
        <w:t xml:space="preserve"> </w:t>
      </w:r>
      <w:r>
        <w:rPr>
          <w:bCs/>
          <w:i/>
          <w:iCs/>
          <w:shd w:val="clear" w:color="auto" w:fill="ffffff" w:themeFill="background1"/>
          <w:lang w:val="ro-RO"/>
        </w:rPr>
        <w:t xml:space="preserve">Conform informației </w:t>
      </w:r>
      <w:r>
        <w:rPr>
          <w:bCs/>
          <w:i/>
          <w:iCs/>
          <w:lang w:val="it-IT" w:eastAsia="ru-RU"/>
        </w:rPr>
        <w:t xml:space="preserve">din SIA RSAP „MTender”</w:t>
      </w:r>
      <w:r>
        <w:rPr>
          <w:bCs/>
          <w:i/>
          <w:iCs/>
          <w:lang w:val="it-IT" w:eastAsia="ru-RU"/>
        </w:rPr>
      </w:r>
      <w:r>
        <w:rPr>
          <w:bCs/>
          <w:i/>
        </w:rPr>
      </w:r>
    </w:p>
    <w:p>
      <w:pPr>
        <w:numPr>
          <w:ilvl w:val="0"/>
          <w:numId w:val="10"/>
        </w:numPr>
        <w:pBdr/>
        <w:shd w:val="clear" w:color="auto" w:fill="ffffff" w:themeFill="background1"/>
        <w:tabs>
          <w:tab w:val="right" w:leader="none" w:pos="426"/>
        </w:tabs>
        <w:spacing w:before="120"/>
        <w:ind w:firstLine="0" w:left="0"/>
        <w:rPr>
          <w:bCs/>
          <w:lang w:val="it-IT" w:eastAsia="ru-RU"/>
        </w:rPr>
      </w:pPr>
      <w:r>
        <w:rPr>
          <w:bCs/>
          <w:lang w:val="it-IT" w:eastAsia="ru-RU"/>
        </w:rPr>
        <w:t xml:space="preserve">În cadrul procedurii de achiziție publică se va utiliza/accepta:</w:t>
      </w:r>
      <w:r>
        <w:rPr>
          <w:bCs/>
          <w:lang w:val="it-IT" w:eastAsia="ru-RU"/>
        </w:rPr>
      </w:r>
      <w:r>
        <w:rPr>
          <w:bCs/>
          <w:lang w:val="it-IT" w:eastAsia="ru-RU"/>
        </w:rPr>
      </w:r>
    </w:p>
    <w:tbl>
      <w:tblPr>
        <w:tblStyle w:val="1065"/>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Depunerea electronică a ofertelor sau a cererilor de participare</w:t>
            </w:r>
            <w:r>
              <w:rPr>
                <w:lang w:val="en-US" w:eastAsia="ru-RU"/>
              </w:rPr>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ro-RO"/>
              </w:rPr>
              <w:t xml:space="preserve">DA</w:t>
            </w: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NU</w:t>
            </w: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Facturarea</w:t>
            </w:r>
            <w:r>
              <w:rPr>
                <w:lang w:eastAsia="ru-RU"/>
              </w:rPr>
              <w:t xml:space="preserve"> </w:t>
            </w:r>
            <w:r>
              <w:rPr>
                <w:lang w:val="ru-RU" w:eastAsia="ru-RU"/>
              </w:rPr>
              <w:t xml:space="preserve">electronică</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DA</w:t>
            </w: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Plățile</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DA</w:t>
            </w:r>
            <w:r>
              <w:rPr>
                <w:lang w:val="ru-RU" w:eastAsia="ru-RU"/>
              </w:rPr>
            </w:r>
            <w:r>
              <w:rPr>
                <w:lang w:val="ru-RU" w:eastAsia="ru-RU"/>
              </w:rPr>
            </w:r>
          </w:p>
        </w:tc>
      </w:tr>
    </w:tbl>
    <w:p>
      <w:pPr>
        <w:numPr>
          <w:ilvl w:val="0"/>
          <w:numId w:val="10"/>
        </w:numPr>
        <w:pBdr/>
        <w:shd w:val="clear" w:color="auto" w:fill="ffffff" w:themeFill="background1"/>
        <w:tabs>
          <w:tab w:val="right" w:leader="none" w:pos="426"/>
        </w:tabs>
        <w:spacing w:before="120"/>
        <w:ind w:left="360"/>
        <w:rPr>
          <w:bCs/>
          <w:lang w:eastAsia="ru-RU"/>
        </w:rPr>
      </w:pPr>
      <w:r>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Pr>
          <w:bCs/>
          <w:shd w:val="clear" w:color="auto" w:fill="ffffff" w:themeFill="background1"/>
          <w:lang w:eastAsia="ru-RU"/>
        </w:rPr>
        <w:t xml:space="preserve">_______________Nu_______________________________________________________</w:t>
      </w:r>
      <w:r>
        <w:rPr>
          <w:bCs/>
          <w:lang w:eastAsia="ru-RU"/>
        </w:rPr>
      </w:r>
      <w:r>
        <w:rPr>
          <w:bCs/>
          <w:lang w:eastAsia="ru-RU"/>
        </w:rPr>
      </w:r>
    </w:p>
    <w:p>
      <w:pPr>
        <w:pBdr/>
        <w:shd w:val="clear" w:color="auto" w:fill="ffffff" w:themeFill="background1"/>
        <w:tabs>
          <w:tab w:val="right" w:leader="none" w:pos="426"/>
        </w:tabs>
        <w:spacing/>
        <w:ind w:left="3960"/>
        <w:contextualSpacing w:val="true"/>
        <w:jc w:val="center"/>
        <w:rPr>
          <w:bCs/>
          <w:sz w:val="20"/>
          <w:lang w:val="it-IT" w:eastAsia="ru-RU"/>
        </w:rPr>
      </w:pPr>
      <w:r>
        <w:rPr>
          <w:bCs/>
          <w:sz w:val="20"/>
          <w:lang w:val="it-IT" w:eastAsia="ru-RU"/>
        </w:rPr>
        <w:t xml:space="preserve">(se specifică da sau nu)</w:t>
      </w:r>
      <w:r>
        <w:rPr>
          <w:bCs/>
          <w:sz w:val="20"/>
          <w:lang w:val="it-IT" w:eastAsia="ru-RU"/>
        </w:rPr>
      </w:r>
      <w:r>
        <w:rPr>
          <w:bCs/>
          <w:sz w:val="20"/>
          <w:lang w:val="it-IT" w:eastAsia="ru-RU"/>
        </w:rPr>
      </w:r>
    </w:p>
    <w:p>
      <w:pPr>
        <w:numPr>
          <w:ilvl w:val="0"/>
          <w:numId w:val="10"/>
        </w:numPr>
        <w:pBdr/>
        <w:shd w:val="clear" w:color="auto" w:fill="ffffff" w:themeFill="background1"/>
        <w:tabs>
          <w:tab w:val="right" w:leader="none" w:pos="426"/>
        </w:tabs>
        <w:spacing w:before="120"/>
        <w:ind w:firstLine="0" w:left="0"/>
        <w:rPr>
          <w:bCs/>
          <w:lang w:val="ru-RU" w:eastAsia="ru-RU"/>
        </w:rPr>
      </w:pPr>
      <w:r>
        <w:rPr>
          <w:bCs/>
          <w:lang w:val="ru-RU" w:eastAsia="ru-RU"/>
        </w:rPr>
        <w:t xml:space="preserve">Alte</w:t>
      </w:r>
      <w:r>
        <w:rPr>
          <w:bCs/>
          <w:lang w:eastAsia="ru-RU"/>
        </w:rPr>
        <w:t xml:space="preserve"> </w:t>
      </w:r>
      <w:r>
        <w:rPr>
          <w:bCs/>
          <w:lang w:val="ru-RU" w:eastAsia="ru-RU"/>
        </w:rPr>
        <w:t xml:space="preserve">informații</w:t>
      </w:r>
      <w:r>
        <w:rPr>
          <w:bCs/>
          <w:lang w:eastAsia="ru-RU"/>
        </w:rPr>
        <w:t xml:space="preserve"> </w:t>
      </w:r>
      <w:r>
        <w:rPr>
          <w:bCs/>
          <w:lang w:val="ru-RU" w:eastAsia="ru-RU"/>
        </w:rPr>
        <w:t xml:space="preserve">relevante: </w:t>
      </w:r>
      <w:r>
        <w:rPr>
          <w:bCs/>
          <w:shd w:val="clear" w:color="auto" w:fill="ffffff" w:themeFill="background1"/>
          <w:lang w:val="ru-RU" w:eastAsia="ru-RU"/>
        </w:rPr>
        <w:t xml:space="preserve">_______________________________________________</w:t>
      </w:r>
      <w:r>
        <w:rPr>
          <w:bCs/>
          <w:lang w:val="ru-RU" w:eastAsia="ru-RU"/>
        </w:rPr>
      </w:r>
      <w:r>
        <w:rPr>
          <w:bCs/>
          <w:lang w:val="ru-RU" w:eastAsia="ru-RU"/>
        </w:rPr>
      </w:r>
    </w:p>
    <w:p>
      <w:pPr>
        <w:pBdr/>
        <w:shd w:val="clear" w:color="auto" w:fill="ffffff" w:themeFill="background1"/>
        <w:spacing w:after="120" w:before="120"/>
        <w:ind/>
        <w:rPr>
          <w:bCs/>
          <w:lang w:val="ru-RU" w:eastAsia="ru-RU"/>
        </w:rPr>
      </w:pPr>
      <w:r>
        <w:rPr>
          <w:bCs/>
          <w:lang w:val="ru-RU" w:eastAsia="ru-RU"/>
        </w:rPr>
      </w:r>
      <w:r>
        <w:rPr>
          <w:bCs/>
          <w:lang w:val="ru-RU" w:eastAsia="ru-RU"/>
        </w:rPr>
      </w:r>
      <w:r>
        <w:rPr>
          <w:bCs/>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Cs/>
          <w:color w:val="000000"/>
        </w:rPr>
      </w:pPr>
      <w:r>
        <w:rPr>
          <w:bCs/>
          <w:lang w:val="it-IT" w:eastAsia="ru-RU"/>
        </w:rPr>
        <w:t xml:space="preserve">Conducătorul grupului de lucru:  </w:t>
      </w:r>
      <w:r>
        <w:rPr>
          <w:bCs/>
          <w:shd w:val="clear" w:color="auto" w:fill="ffffff" w:themeFill="background1"/>
          <w:lang w:val="it-IT" w:eastAsia="ru-RU"/>
        </w:rPr>
        <w:t xml:space="preserve">______________________________  </w:t>
      </w:r>
      <w:r>
        <w:rPr>
          <w:bCs/>
        </w:rPr>
        <w:t xml:space="preserve"> Lupu Vasile</w:t>
      </w:r>
      <w:r>
        <w:rPr>
          <w:bCs/>
          <w:color w:val="000000"/>
        </w:rPr>
      </w:r>
      <w:r>
        <w:rPr>
          <w:bCs/>
          <w:color w:val="000000"/>
        </w:rPr>
      </w:r>
    </w:p>
    <w:p>
      <w:pPr>
        <w:pBdr/>
        <w:tabs>
          <w:tab w:val="decimal" w:leader="none" w:pos="8364"/>
        </w:tabs>
        <w:spacing w:line="276" w:lineRule="auto"/>
        <w:ind w:right="-144"/>
        <w:jc w:val="center"/>
        <w:rPr>
          <w:bCs/>
          <w:color w:val="000000"/>
        </w:rPr>
      </w:pPr>
      <w:r>
        <w:rPr>
          <w:bCs/>
          <w:color w:val="000000"/>
        </w:rPr>
      </w:r>
      <w:r>
        <w:rPr>
          <w:bCs/>
          <w:color w:val="000000"/>
        </w:rPr>
      </w:r>
      <w:r>
        <w:rPr>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lef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3</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INVITAȚIE DE PARTICIPARE LA ETAPELE DE PRESELECȚIE/LA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achiziție_________________________________________________</w:t>
      </w:r>
      <w:r>
        <w:rPr>
          <w:b/>
          <w:lang w:val="it-IT" w:eastAsia="ru-RU"/>
        </w:rPr>
        <w:br/>
      </w:r>
      <w:r>
        <w:rPr>
          <w:sz w:val="20"/>
          <w:lang w:val="it-IT" w:eastAsia="ru-RU"/>
        </w:rPr>
        <w:t xml:space="preserve">                                                                                               (tipul procedurii de achiziție)</w:t>
      </w:r>
      <w:r>
        <w:rPr>
          <w:b/>
          <w:lang w:val="it-IT" w:eastAsia="ru-RU"/>
        </w:rPr>
      </w:r>
      <w:r>
        <w:rPr>
          <w:b/>
          <w:lang w:val="it-IT"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1000"/>
        <w:numPr>
          <w:ilvl w:val="0"/>
          <w:numId w:val="15"/>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 xml:space="preserve">documentația de atribuire este anexată în cadrul procedurii în SIA RSAP (după caz)</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 Nr._________, Data publicării____________, Link______</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candidații selectați ________________, să participe la procedura de achiziție privind livrarea/prestarea următoarelor bunuri/servicii:</w:t>
      </w:r>
      <w:r>
        <w:rPr>
          <w:b/>
          <w:lang w:val="it-IT" w:eastAsia="ru-RU"/>
        </w:rPr>
      </w:r>
      <w:r>
        <w:rPr>
          <w:b/>
          <w:lang w:val="it-IT" w:eastAsia="ru-RU"/>
        </w:rPr>
      </w:r>
    </w:p>
    <w:p>
      <w:pPr>
        <w:numPr>
          <w:ilvl w:val="0"/>
          <w:numId w:val="15"/>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Documen</w:t>
      </w:r>
      <w:r>
        <w:rPr>
          <w:b/>
          <w:lang w:val="it-IT" w:eastAsia="ru-RU"/>
        </w:rPr>
        <w:t xml:space="preserve">tele suplimentare pe care operatorii economici trebuie să le prezinte în scopul verificării declaraţiilor sau completării documentelor prezentate în prima etapă pentru demonstrarea capacităţii tehnice și/sau profesionale şi a celei economice și financiare:</w:t>
      </w:r>
      <w:r>
        <w:rPr>
          <w:b/>
          <w:lang w:val="it-IT" w:eastAsia="ru-RU"/>
        </w:rPr>
      </w:r>
      <w:r>
        <w:rPr>
          <w:b/>
          <w:lang w:val="it-IT" w:eastAsia="ru-RU"/>
        </w:rPr>
      </w:r>
    </w:p>
    <w:tbl>
      <w:tblPr>
        <w:tblStyle w:val="1065"/>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prezentare a documentului:</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5"/>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 cuantumul___________.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valuta____________________________________________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__________________________________________________________</w:t>
      </w:r>
      <w:r>
        <w:rPr>
          <w:b/>
          <w:lang w:val="ru-RU" w:eastAsia="ru-RU"/>
        </w:rPr>
      </w:r>
      <w:r>
        <w:rPr>
          <w:b/>
          <w:lang w:val="ru-RU" w:eastAsia="ru-RU"/>
        </w:rPr>
      </w:r>
    </w:p>
    <w:p>
      <w:pPr>
        <w:numPr>
          <w:ilvl w:val="0"/>
          <w:numId w:val="15"/>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 (după caz)</w:t>
      </w:r>
      <w:r>
        <w:rPr>
          <w:b/>
          <w:lang w:val="it-IT" w:eastAsia="ru-RU"/>
        </w:rPr>
      </w:r>
      <w:r>
        <w:rPr>
          <w:b/>
          <w:lang w:val="it-IT" w:eastAsia="ru-RU"/>
        </w:rPr>
      </w:r>
    </w:p>
    <w:p>
      <w:pPr>
        <w:numPr>
          <w:ilvl w:val="0"/>
          <w:numId w:val="15"/>
        </w:numPr>
        <w:pBdr/>
        <w:tabs>
          <w:tab w:val="right" w:leader="none" w:pos="426"/>
        </w:tabs>
        <w:spacing w:before="120"/>
        <w:ind w:firstLine="0" w:left="0"/>
        <w:rPr>
          <w:b/>
          <w:lang w:val="it-IT" w:eastAsia="ru-RU"/>
        </w:rPr>
      </w:pPr>
      <w:r>
        <w:rPr>
          <w:b/>
          <w:lang w:val="it-IT" w:eastAsia="ru-RU"/>
        </w:rPr>
        <w:t xml:space="preserve">Termenul de valabilitate a ofertelor: _____________________________________</w:t>
      </w:r>
      <w:r>
        <w:rPr>
          <w:b/>
          <w:lang w:val="it-IT" w:eastAsia="ru-RU"/>
        </w:rPr>
      </w:r>
      <w:r>
        <w:rPr>
          <w:b/>
          <w:lang w:val="it-IT" w:eastAsia="ru-RU"/>
        </w:rPr>
      </w:r>
    </w:p>
    <w:p>
      <w:pPr>
        <w:numPr>
          <w:ilvl w:val="0"/>
          <w:numId w:val="15"/>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_____________________________________________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5"/>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_____________________________________________________________________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 proiectului și/sau programului)</w:t>
      </w:r>
      <w:r>
        <w:rPr>
          <w:sz w:val="20"/>
          <w:lang w:val="it-IT" w:eastAsia="ru-RU"/>
        </w:rPr>
      </w:r>
      <w:r>
        <w:rPr>
          <w:sz w:val="20"/>
          <w:lang w:val="it-IT" w:eastAsia="ru-RU"/>
        </w:rPr>
      </w:r>
    </w:p>
    <w:p>
      <w:pPr>
        <w:numPr>
          <w:ilvl w:val="0"/>
          <w:numId w:val="15"/>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cazul):_______________________________________________</w:t>
      </w:r>
      <w:r>
        <w:rPr>
          <w:b/>
          <w:lang w:val="it-IT" w:eastAsia="ru-RU"/>
        </w:rPr>
      </w:r>
      <w:r>
        <w:rPr>
          <w:b/>
          <w:lang w:val="it-IT" w:eastAsia="ru-RU"/>
        </w:rPr>
      </w:r>
    </w:p>
    <w:p>
      <w:pPr>
        <w:numPr>
          <w:ilvl w:val="0"/>
          <w:numId w:val="15"/>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nr.4</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44"/>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 PRESELECȚIEI CANDIDAȚILOR</w:t>
      </w:r>
      <w:bookmarkEnd w:id="74"/>
      <w:r>
        <w:rPr>
          <w:rFonts w:eastAsia="PMingLiU"/>
          <w:sz w:val="28"/>
          <w:szCs w:val="28"/>
          <w:lang w:val="it-IT" w:eastAsia="zh-CN"/>
        </w:rPr>
      </w:r>
      <w:r>
        <w:rPr>
          <w:rFonts w:eastAsia="PMingLiU"/>
          <w:sz w:val="28"/>
          <w:szCs w:val="28"/>
          <w:lang w:val="it-IT" w:eastAsia="zh-CN"/>
        </w:rPr>
      </w:r>
    </w:p>
    <w:p>
      <w:pPr>
        <w:pStyle w:val="104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44"/>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____________ , aprobat la ___________</w:t>
      </w:r>
      <w:r>
        <w:rPr>
          <w:rFonts w:eastAsia="PMingLiU"/>
          <w:b w:val="0"/>
          <w:lang w:val="it-IT" w:eastAsia="zh-CN"/>
        </w:rPr>
      </w:r>
      <w:r>
        <w:rPr>
          <w:rFonts w:eastAsia="PMingLiU"/>
          <w:b w:val="0"/>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___________link:___________________________________________________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4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44"/>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 xml:space="preserve">nr._____din__________________a ___________________având următoarea componenţă:</w:t>
      </w:r>
      <w:r>
        <w:rPr>
          <w:rFonts w:eastAsia="PMingLiU"/>
          <w:b w:val="0"/>
          <w:lang w:val="ro-RO" w:eastAsia="zh-CN"/>
        </w:rPr>
      </w:r>
      <w:r>
        <w:rPr>
          <w:rFonts w:eastAsia="PMingLiU"/>
          <w:b w:val="0"/>
          <w:lang w:val="ro-RO" w:eastAsia="zh-CN"/>
        </w:rPr>
      </w:r>
    </w:p>
    <w:p>
      <w:pPr>
        <w:pStyle w:val="104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preşedinte ____________________________</w:t>
      </w:r>
      <w:r>
        <w:rPr>
          <w:rFonts w:eastAsia="PMingLiU"/>
          <w:b w:val="0"/>
          <w:lang w:val="ro-RO" w:eastAsia="zh-CN"/>
        </w:rPr>
      </w:r>
      <w:r>
        <w:rPr>
          <w:rFonts w:eastAsia="PMingLiU"/>
          <w:b w:val="0"/>
          <w:lang w:val="ro-RO" w:eastAsia="zh-CN"/>
        </w:rPr>
      </w:r>
    </w:p>
    <w:p>
      <w:pPr>
        <w:pStyle w:val="1044"/>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_________________________membru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4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4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4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44"/>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44"/>
        <w:pBdr/>
        <w:tabs>
          <w:tab w:val="left" w:leader="none" w:pos="567"/>
        </w:tabs>
        <w:spacing/>
        <w:ind w:firstLine="0" w:left="0"/>
        <w:rPr>
          <w:rFonts w:eastAsia="PMingLiU"/>
          <w:b w:val="0"/>
          <w:lang w:val="ro-RO" w:eastAsia="zh-CN"/>
        </w:rPr>
      </w:pPr>
      <w:r>
        <w:rPr>
          <w:rFonts w:eastAsia="PMingLiU"/>
          <w:b w:val="0"/>
          <w:lang w:val="ro-RO" w:eastAsia="zh-CN"/>
        </w:rPr>
        <w:t xml:space="preserve">Până la data limită de depunere a ofertelor s-au depus la sediul organizatorului concursului/SIA RSAP oferte, după cum urmează:</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întrunirea condițiilor de calificare și de selecție a candidaților:</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 respinși/descalificaţi:</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respinși din cauza neprezentării/necorespunderii documentelor de calificare și selecție:_______________________________________________________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 preselecției:____________________________________________________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autoritatea contractantă va informa ceilalți candidați neselectați despre rezultatele preselecției.</w:t>
      </w:r>
      <w:r>
        <w:rPr>
          <w:rFonts w:eastAsia="PMingLiU"/>
          <w:b w:val="0"/>
          <w:lang w:val="it-IT" w:eastAsia="zh-CN"/>
        </w:rPr>
      </w:r>
      <w:r>
        <w:rPr>
          <w:rFonts w:eastAsia="PMingLiU"/>
          <w:b w:val="0"/>
          <w:lang w:val="it-IT" w:eastAsia="zh-CN"/>
        </w:rPr>
      </w:r>
    </w:p>
    <w:p>
      <w:pPr>
        <w:pStyle w:val="1044"/>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preselectați:</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 de preselecție de achiziţie publică va anunţa şi va invita în scris/prin mijloace electronice candidații selectați:</w:t>
      </w:r>
      <w:r>
        <w:rPr>
          <w:rFonts w:eastAsia="PMingLiU"/>
          <w:lang w:val="it-IT" w:eastAsia="zh-CN"/>
        </w:rPr>
      </w:r>
      <w:r>
        <w:rPr>
          <w:rFonts w:eastAsia="PMingLiU"/>
          <w:lang w:val="it-IT" w:eastAsia="zh-CN"/>
        </w:rPr>
      </w:r>
    </w:p>
    <w:p>
      <w:pPr>
        <w:pStyle w:val="104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w:t>
      </w:r>
      <w:r>
        <w:rPr>
          <w:rFonts w:eastAsia="PMingLiU"/>
          <w:b w:val="0"/>
          <w:i/>
          <w:lang w:val="ro-RO" w:eastAsia="zh-CN"/>
        </w:rPr>
        <w:t xml:space="preserve">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4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__________________________________________________________________________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44"/>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rPr>
          <w:lang w:val="it-IT"/>
        </w:rPr>
      </w:pPr>
      <w:r>
        <w:rPr>
          <w:lang w:val="it-IT"/>
        </w:rPr>
      </w:r>
      <w:r>
        <w:rPr>
          <w:lang w:val="it-IT"/>
        </w:rPr>
      </w:r>
      <w:r>
        <w:rPr>
          <w:lang w:val="it-IT"/>
        </w:rPr>
      </w:r>
    </w:p>
    <w:p>
      <w:pPr>
        <w:pBdr/>
        <w:spacing/>
        <w:ind/>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5</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4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 din___________</w:t>
      </w:r>
      <w:r>
        <w:rPr>
          <w:rFonts w:eastAsia="Calibri"/>
          <w:u w:val="single"/>
        </w:rPr>
      </w:r>
      <w:r>
        <w:rPr>
          <w:rFonts w:eastAsia="Calibri"/>
          <w:u w:val="single"/>
        </w:rPr>
      </w:r>
    </w:p>
    <w:p>
      <w:pPr>
        <w:numPr>
          <w:ilvl w:val="0"/>
          <w:numId w:val="13"/>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66"/>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3"/>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67"/>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 □  </w:t>
            </w:r>
            <w:r>
              <w:rPr>
                <w:lang w:eastAsia="ro-RO"/>
              </w:rPr>
            </w:r>
            <w:r>
              <w:rPr>
                <w:lang w:eastAsia="ro-RO"/>
              </w:rPr>
            </w:r>
          </w:p>
          <w:p>
            <w:pPr>
              <w:pBdr/>
              <w:spacing w:after="160" w:line="259" w:lineRule="auto"/>
              <w:ind w:right="-1"/>
              <w:jc w:val="both"/>
              <w:rPr>
                <w:lang w:eastAsia="ro-RO"/>
              </w:rPr>
            </w:pPr>
            <w:r>
              <w:rPr>
                <w:lang w:eastAsia="ro-RO"/>
              </w:rPr>
              <w:t xml:space="preserve">Servicii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3"/>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2025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66"/>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66"/>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 bunurilor/serviciilor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3"/>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66"/>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12"/>
          <w:szCs w:val="12"/>
          <w:shd w:val="clear" w:color="auto" w:fill="ffffff"/>
        </w:rPr>
      </w:pPr>
      <w:r>
        <w:rPr>
          <w:rFonts w:eastAsia="Calibri"/>
          <w:b/>
          <w:i/>
          <w:color w:val="ff0000"/>
          <w:sz w:val="12"/>
          <w:szCs w:val="12"/>
        </w:rPr>
        <w:t xml:space="preserve">Notă: </w:t>
      </w:r>
      <w:r>
        <w:rPr>
          <w:rFonts w:eastAsia="Calibri"/>
          <w:i/>
          <w:sz w:val="12"/>
          <w:szCs w:val="12"/>
        </w:rPr>
        <w:t xml:space="preserve">A</w:t>
      </w:r>
      <w:r>
        <w:rPr>
          <w:rFonts w:eastAsia="Calibri"/>
          <w:i/>
          <w:sz w:val="12"/>
          <w:szCs w:val="12"/>
          <w:shd w:val="clear" w:color="auto" w:fill="ffffff"/>
        </w:rPr>
        <w:t xml:space="preserve">nunțurile de atribuire se publică în Buletinul achiziţiilor publice în cel mult 30 de zile de la data la care se va remite informația cu privire la </w:t>
      </w:r>
      <w:r>
        <w:rPr>
          <w:i/>
          <w:sz w:val="12"/>
          <w:szCs w:val="12"/>
        </w:rPr>
        <w:t xml:space="preserve">finalizarea procedurii de achiziție </w:t>
      </w:r>
      <w:r>
        <w:rPr>
          <w:i/>
          <w:sz w:val="12"/>
          <w:szCs w:val="12"/>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12"/>
          <w:szCs w:val="12"/>
          <w:shd w:val="clear" w:color="auto" w:fill="ffffff"/>
        </w:rPr>
        <w:t xml:space="preserve"> (art.30 al Legii nr.131/2015 privind achizițiile publice).</w:t>
      </w:r>
      <w:r>
        <w:rPr>
          <w:rFonts w:eastAsia="Calibri"/>
          <w:i/>
          <w:sz w:val="12"/>
          <w:szCs w:val="12"/>
          <w:shd w:val="clear" w:color="auto" w:fill="ffffff"/>
        </w:rPr>
      </w:r>
      <w:r>
        <w:rPr>
          <w:rFonts w:eastAsia="Calibri"/>
          <w:i/>
          <w:sz w:val="12"/>
          <w:szCs w:val="12"/>
          <w:shd w:val="clear" w:color="auto" w:fill="ffffff"/>
        </w:rPr>
      </w:r>
    </w:p>
    <w:p>
      <w:pPr>
        <w:pBdr/>
        <w:spacing/>
        <w:ind/>
        <w:jc w:val="right"/>
        <w:rPr>
          <w:sz w:val="22"/>
          <w:szCs w:val="22"/>
          <w:lang w:val="it-IT"/>
        </w:rPr>
      </w:pPr>
      <w:r>
        <w:rPr>
          <w:lang w:val="it-IT"/>
        </w:rPr>
        <w:t xml:space="preserve">Anexa nr. 6</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68"/>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68"/>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3"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68"/>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 □      Servicii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FAOAM □ </w:t>
            </w:r>
            <w:r>
              <w:rPr>
                <w:lang w:eastAsia="ro-RO"/>
              </w:rPr>
            </w:r>
            <w:r>
              <w:rPr>
                <w:lang w:eastAsia="ro-RO"/>
              </w:rPr>
            </w:r>
          </w:p>
          <w:p>
            <w:pPr>
              <w:pBdr/>
              <w:spacing/>
              <w:ind/>
              <w:jc w:val="both"/>
              <w:rPr>
                <w:lang w:eastAsia="ro-RO"/>
              </w:rPr>
            </w:pPr>
            <w:r>
              <w:rPr>
                <w:lang w:eastAsia="ro-RO"/>
              </w:rPr>
              <w:t xml:space="preserve">BASS□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4"/>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68"/>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termenului de livrare/prestare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 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4"/>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natura și cantitatea sau valoarea bunurilor, natura și amploarea serviciilor)</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4"/>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4"/>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______________________________________________________________________________</w:t>
      </w:r>
      <w:r>
        <w:rPr>
          <w:sz w:val="22"/>
          <w:szCs w:val="22"/>
        </w:rPr>
      </w:r>
      <w:r>
        <w:rPr>
          <w:sz w:val="22"/>
          <w:szCs w:val="22"/>
        </w:rPr>
      </w:r>
    </w:p>
    <w:tbl>
      <w:tblPr>
        <w:tblStyle w:val="1068"/>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lang w:val="it-IT"/>
        </w:rPr>
      </w:pPr>
      <w:r/>
      <w:bookmarkStart w:id="77" w:name="_Toc449692095"/>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7</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01"/>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1001"/>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1001"/>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100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preselecție</w:t>
      </w:r>
      <w:r>
        <w:rPr>
          <w:rFonts w:ascii="Times New Roman" w:hAnsi="Times New Roman"/>
          <w:szCs w:val="24"/>
        </w:rPr>
        <w:t xml:space="preserve"> apărut în Buletinul achizițiilor publice și/sau Jurnalul Oficial al Uniunii Europene,  nr. . . . . din . . . . . . . . . . . . . . (ziua/luna/anul),  </w:t>
      </w:r>
      <w:r>
        <w:rPr>
          <w:rFonts w:ascii="Times New Roman" w:hAnsi="Times New Roman"/>
          <w:szCs w:val="24"/>
        </w:rPr>
        <w:t xml:space="preserve">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 8</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33"/>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1001"/>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bookmarkEnd w:id="80"/>
      <w:r>
        <w:rPr>
          <w:rFonts w:ascii="Times New Roman" w:hAnsi="Times New Roman"/>
          <w:b/>
          <w:szCs w:val="24"/>
        </w:rPr>
      </w:r>
      <w:r>
        <w:rPr>
          <w:rFonts w:ascii="Times New Roman" w:hAnsi="Times New Roman"/>
          <w:b/>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142"/>
        </w:tabs>
        <w:spacing w:before="240"/>
        <w:ind/>
        <w:jc w:val="center"/>
        <w:rPr>
          <w:rFonts w:ascii="Times New Roman" w:hAnsi="Times New Roman"/>
          <w:szCs w:val="24"/>
        </w:rPr>
      </w:pPr>
      <w:r>
        <w:rPr>
          <w:rFonts w:ascii="Times New Roman" w:hAnsi="Times New Roman"/>
          <w:szCs w:val="24"/>
        </w:rPr>
        <w:t xml:space="preserve">Către_</w:t>
      </w:r>
      <w:r>
        <w:rPr>
          <w:rFonts w:ascii="Times New Roman" w:hAnsi="Times New Roman"/>
          <w:b/>
          <w:bCs/>
          <w:szCs w:val="24"/>
          <w:u w:val="single"/>
        </w:rPr>
        <w:t xml:space="preserve">Agenția Teritorială de Asistență Socială Centru</w:t>
      </w:r>
      <w:r>
        <w:rPr>
          <w:rFonts w:ascii="Times New Roman" w:hAnsi="Times New Roman"/>
          <w:szCs w:val="24"/>
          <w:u w:val="single"/>
        </w:rPr>
        <w:t xml:space="preserve">_________</w:t>
      </w:r>
      <w:r>
        <w:rPr>
          <w:rFonts w:ascii="Times New Roman" w:hAnsi="Times New Roman"/>
          <w:szCs w:val="24"/>
        </w:rPr>
        <w:t xml:space="preserve">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achiziție_____________________________________,</w:t>
      </w:r>
      <w:r>
        <w:rPr>
          <w:b/>
          <w:lang w:val="it-IT" w:eastAsia="ru-RU"/>
        </w:rPr>
        <w:br/>
      </w:r>
      <w:r>
        <w:rPr>
          <w:sz w:val="20"/>
          <w:lang w:val="it-IT" w:eastAsia="ru-RU"/>
        </w:rPr>
        <w:t xml:space="preserve">                                                                (tipul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r>
        <w:rPr>
          <w:rFonts w:eastAsia="Calibri"/>
        </w:rPr>
      </w:r>
      <w:r>
        <w:rPr>
          <w:rFonts w:eastAsia="Calibri"/>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 9</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100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01"/>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100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01"/>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1001"/>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1001"/>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1001"/>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Înregistrat la______________________________________________________________,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1001"/>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1001"/>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1001"/>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1001"/>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01"/>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începînd cu data-limită pentru depunerea ofertei, în conformitate cu Anexa nr.2 Anunțul de Participare, și rămâne obligatorie şi poate fi acceptată în orice moment până la expirarea acestei perioade;</w:t>
      </w:r>
      <w:r>
        <w:rPr>
          <w:rFonts w:ascii="Times New Roman" w:hAnsi="Times New Roman"/>
          <w:szCs w:val="24"/>
        </w:rPr>
      </w:r>
      <w:r>
        <w:rPr>
          <w:rFonts w:ascii="Times New Roman" w:hAnsi="Times New Roman"/>
          <w:szCs w:val="24"/>
        </w:rPr>
      </w:r>
    </w:p>
    <w:p>
      <w:pPr>
        <w:pStyle w:val="100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rPr>
          <w:rFonts w:ascii="Times New Roman" w:hAnsi="Times New Roman"/>
          <w:i/>
          <w:iCs/>
          <w:sz w:val="20"/>
        </w:rPr>
      </w:pPr>
      <w:r>
        <w:rPr>
          <w:rFonts w:ascii="Times New Roman" w:hAnsi="Times New Roman"/>
          <w:i/>
          <w:iCs/>
          <w:sz w:val="20"/>
        </w:rPr>
        <w:t xml:space="preserve">                                                                                                           (denumirea ofertantului)</w:t>
      </w:r>
      <w:r>
        <w:rPr>
          <w:rFonts w:ascii="Times New Roman" w:hAnsi="Times New Roman"/>
          <w:i/>
          <w:iCs/>
          <w:sz w:val="20"/>
        </w:rPr>
      </w:r>
      <w:r>
        <w:rPr>
          <w:rFonts w:ascii="Times New Roman" w:hAnsi="Times New Roman"/>
          <w:i/>
          <w:iCs/>
          <w:sz w:val="20"/>
        </w:rPr>
      </w:r>
    </w:p>
    <w:p>
      <w:pPr>
        <w:pStyle w:val="1001"/>
        <w:pBdr/>
        <w:tabs>
          <w:tab w:val="left" w:leader="none" w:pos="567"/>
        </w:tabs>
        <w:spacing/>
        <w:ind w:hanging="349"/>
        <w:rPr>
          <w:rFonts w:ascii="Times New Roman" w:hAnsi="Times New Roman"/>
          <w:szCs w:val="24"/>
        </w:rPr>
      </w:pPr>
      <w:r>
        <w:rPr>
          <w:rFonts w:ascii="Times New Roman" w:hAnsi="Times New Roman"/>
          <w:szCs w:val="24"/>
        </w:rPr>
        <w:t xml:space="preserve">       nu a constituit garanţia de bună execuție;</w:t>
      </w:r>
      <w:r>
        <w:rPr>
          <w:rFonts w:ascii="Times New Roman" w:hAnsi="Times New Roman"/>
          <w:szCs w:val="24"/>
        </w:rPr>
      </w:r>
      <w:r>
        <w:rPr>
          <w:rFonts w:ascii="Times New Roman" w:hAnsi="Times New Roman"/>
          <w:szCs w:val="24"/>
        </w:rPr>
      </w:r>
    </w:p>
    <w:p>
      <w:pPr>
        <w:pStyle w:val="100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01"/>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bunuri/servicii;</w:t>
      </w:r>
      <w:r>
        <w:rPr>
          <w:rFonts w:ascii="Times New Roman" w:hAnsi="Times New Roman"/>
          <w:szCs w:val="24"/>
        </w:rPr>
      </w:r>
      <w:r>
        <w:rPr>
          <w:rFonts w:ascii="Times New Roman" w:hAnsi="Times New Roman"/>
          <w:szCs w:val="24"/>
        </w:rPr>
      </w:r>
    </w:p>
    <w:p>
      <w:pPr>
        <w:pStyle w:val="1001"/>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documenația de atribuire înainte de semnarea contractului de achiziţie publică de bunuri/servicii.</w:t>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până la data de __________________________________</w:t>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 ziua___luna____anul_______  </w:t>
      </w:r>
      <w:r>
        <w:rPr>
          <w:rFonts w:ascii="Times New Roman" w:hAnsi="Times New Roman"/>
          <w:szCs w:val="24"/>
        </w:rPr>
      </w:r>
      <w:r>
        <w:rPr>
          <w:rFonts w:ascii="Times New Roman" w:hAnsi="Times New Roman"/>
          <w:szCs w:val="24"/>
        </w:rPr>
      </w:r>
    </w:p>
    <w:p>
      <w:pPr>
        <w:pStyle w:val="1001"/>
        <w:pBdr/>
        <w:tabs>
          <w:tab w:val="left" w:leader="none" w:pos="567"/>
        </w:tabs>
        <w:spacing/>
        <w:ind/>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3"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 10</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sz w:val="22"/>
                <w:szCs w:val="22"/>
              </w:rPr>
            </w:pPr>
            <w:r>
              <w:rPr>
                <w:i/>
                <w:iCs/>
                <w:sz w:val="22"/>
                <w:szCs w:val="22"/>
              </w:rPr>
              <w:t xml:space="preserve">[Banca comercială, la cererea ofertantului cîştigător, va completa acest formular pe foaie cu antet, în conformitate cu instrucţiunile de mai jos.]</w:t>
            </w:r>
            <w:r>
              <w:rPr>
                <w:i/>
                <w:iCs/>
                <w:sz w:val="22"/>
                <w:szCs w:val="22"/>
              </w:rPr>
            </w:r>
            <w:r>
              <w:rPr>
                <w:i/>
                <w:iCs/>
                <w:sz w:val="22"/>
                <w:szCs w:val="22"/>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anunțului/invitaţiei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documentației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sz w:val="20"/>
                <w:szCs w:val="20"/>
              </w:rPr>
            </w:pPr>
            <w:r>
              <w:rPr>
                <w:i/>
                <w:iCs/>
                <w:sz w:val="20"/>
                <w:szCs w:val="20"/>
              </w:rPr>
            </w:r>
            <w:r>
              <w:rPr>
                <w:i/>
                <w:iCs/>
                <w:sz w:val="20"/>
                <w:szCs w:val="20"/>
              </w:rPr>
            </w:r>
            <w:r>
              <w:rPr>
                <w:i/>
                <w:iCs/>
                <w:sz w:val="20"/>
                <w:szCs w:val="20"/>
              </w:rPr>
            </w:r>
          </w:p>
          <w:p>
            <w:pPr>
              <w:pBdr/>
              <w:tabs>
                <w:tab w:val="left" w:leader="none" w:pos="3175"/>
              </w:tabs>
              <w:spacing/>
              <w:ind/>
              <w:jc w:val="both"/>
              <w:rPr>
                <w:i/>
                <w:sz w:val="20"/>
                <w:szCs w:val="20"/>
              </w:rPr>
            </w:pPr>
            <w:r>
              <w:rPr>
                <w:i/>
                <w:sz w:val="20"/>
                <w:szCs w:val="20"/>
              </w:rPr>
              <w:t xml:space="preserve">[semnăturile reprezentanţilor autorizaţi ai băncii şi ai Furnizorului/Prestatorului]</w:t>
            </w:r>
            <w:r>
              <w:rPr>
                <w:i/>
                <w:sz w:val="20"/>
                <w:szCs w:val="20"/>
              </w:rPr>
            </w:r>
            <w:r>
              <w:rPr>
                <w:i/>
                <w:sz w:val="20"/>
                <w:szCs w:val="20"/>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lang w:val="it-IT"/>
        </w:rPr>
      </w:pPr>
      <w:r/>
      <w:bookmarkStart w:id="85" w:name="_Toc449692108"/>
      <w:r/>
      <w:bookmarkEnd w:id="83"/>
      <w:r>
        <w:rPr>
          <w:lang w:val="it-IT"/>
        </w:rPr>
      </w:r>
      <w:r>
        <w:rPr>
          <w:lang w:val="it-IT"/>
        </w:rPr>
      </w:r>
    </w:p>
    <w:p>
      <w:pPr>
        <w:pBdr/>
        <w:spacing/>
        <w:ind/>
        <w:jc w:val="right"/>
        <w:rPr>
          <w:sz w:val="22"/>
          <w:szCs w:val="22"/>
          <w:lang w:val="it-IT"/>
        </w:rPr>
      </w:pPr>
      <w:r>
        <w:rPr>
          <w:lang w:val="it-IT"/>
        </w:rPr>
        <w:t xml:space="preserve">Anexa nr. 11</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1001"/>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1001"/>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100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0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0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1001"/>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97"/>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bunurilor livrate/serviciilor prestate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 supus licita</w:t>
      </w:r>
      <w:r>
        <w:rPr>
          <w:rFonts w:hint="eastAsia"/>
        </w:rPr>
        <w:t xml:space="preserve">ţ</w:t>
      </w:r>
      <w:r>
        <w:t xml:space="preserve">iei__________________________________________________</w:t>
      </w:r>
      <w:r/>
    </w:p>
    <w:p>
      <w:pPr>
        <w:pBdr/>
        <w:tabs>
          <w:tab w:val="left" w:leader="none" w:pos="567"/>
        </w:tabs>
        <w:spacing/>
        <w:ind/>
        <w:jc w:val="both"/>
        <w:rPr/>
      </w:pPr>
      <w:r>
        <w:t xml:space="preserve">j) 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secund: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 12</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livrari/prestări efectuate în ultimii 3 ani 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Obiectul contractului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Denumirea/numele beneficiarului/Adresa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Furnizorului/Prestatorului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 contractului/ valoarea bunurilor/serviciilor 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livrare/prestare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13</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Cs/>
              </w:rPr>
            </w:pPr>
            <w:r>
              <w:rPr>
                <w:bCs/>
              </w:rPr>
              <w:t xml:space="preserve">Denumirea principalelor utilaje, echipamente, mijloace de transport, baze de produc</w:t>
            </w:r>
            <w:r>
              <w:rPr>
                <w:rFonts w:hint="eastAsia"/>
                <w:bCs/>
              </w:rPr>
              <w:t xml:space="preserve">ţ</w:t>
            </w:r>
            <w:r>
              <w:rPr>
                <w:bCs/>
              </w:rPr>
              <w:t xml:space="preserve">ie (ateliere, depozite, spa</w:t>
            </w:r>
            <w:r>
              <w:rPr>
                <w:rFonts w:hint="eastAsia"/>
                <w:bCs/>
              </w:rPr>
              <w:t xml:space="preserve">ţ</w:t>
            </w:r>
            <w:r>
              <w:rPr>
                <w:bCs/>
              </w:rPr>
              <w:t xml:space="preserve">ii de cazare) </w:t>
            </w:r>
            <w:r>
              <w:rPr>
                <w:rFonts w:hint="eastAsia"/>
                <w:bCs/>
              </w:rPr>
              <w:t xml:space="preserve">ş</w:t>
            </w:r>
            <w:r>
              <w:rPr>
                <w:bCs/>
              </w:rPr>
              <w:t xml:space="preserve">i laboratoare propuse de ofertant ca necesare pentru prestarea serviciilor, rezultate </w:t>
            </w:r>
            <w:r>
              <w:rPr>
                <w:rFonts w:hint="eastAsia"/>
                <w:bCs/>
              </w:rPr>
              <w:t xml:space="preserve">î</w:t>
            </w:r>
            <w:r>
              <w:rPr>
                <w:bCs/>
              </w:rPr>
              <w:t xml:space="preserve">n baza tehnologiilor pe care el urmeaz</w:t>
            </w:r>
            <w:r>
              <w:rPr>
                <w:rFonts w:hint="eastAsia"/>
                <w:bCs/>
              </w:rPr>
              <w:t xml:space="preserve">ă</w:t>
            </w:r>
            <w:r>
              <w:rPr>
                <w:bCs/>
              </w:rPr>
              <w:t xml:space="preserve"> s</w:t>
            </w:r>
            <w:r>
              <w:rPr>
                <w:rFonts w:hint="eastAsia"/>
                <w:bCs/>
              </w:rPr>
              <w:t xml:space="preserve">ă</w:t>
            </w:r>
            <w:r>
              <w:rPr>
                <w:bCs/>
              </w:rPr>
              <w:t xml:space="preserve"> le adopte</w:t>
            </w:r>
            <w:r>
              <w:rPr>
                <w:bCs/>
              </w:rPr>
            </w:r>
            <w:r>
              <w:rPr>
                <w:bCs/>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14</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832"/>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bunurilor/serviciilor similare livrate/prestate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data 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nr.15</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9"/>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nr.16</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832"/>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a 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 susţinător financiar)</w:t>
      </w:r>
      <w:r>
        <w:t xml:space="preserve">, ne obligăm, în mod ferm, necondiţionat şi irevocabil, să punem la dispoziţia ................ (</w:t>
      </w:r>
      <w:r>
        <w:rPr>
          <w:i/>
        </w:rPr>
        <w:t xml:space="preserve">denumirea 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 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denumirea ofertantului)</w:t>
      </w:r>
      <w:r>
        <w:t xml:space="preserve">, în baza contractului de achiziţie publică şi pentru care ...... (</w:t>
      </w:r>
      <w:r>
        <w:rPr>
          <w:i/>
        </w:rPr>
        <w:t xml:space="preserve">denumirea 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denumirea ofertantului/candidatului),</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nr.131/2015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(semnătură autorizată)</w:t>
      </w:r>
      <w:r>
        <w:rPr>
          <w:i/>
          <w:spacing w:val="-1"/>
        </w:rPr>
      </w:r>
      <w:r>
        <w:rPr>
          <w:i/>
          <w:spacing w:val="-1"/>
        </w:rPr>
      </w:r>
    </w:p>
    <w:p>
      <w:pPr>
        <w:pBdr/>
        <w:spacing/>
        <w:ind/>
        <w:jc w:val="right"/>
        <w:rPr>
          <w:sz w:val="22"/>
          <w:szCs w:val="22"/>
          <w:lang w:val="it-IT"/>
        </w:rPr>
      </w:pPr>
      <w:r>
        <w:rPr>
          <w:lang w:val="it-IT"/>
        </w:rPr>
        <w:t xml:space="preserve">Anexa nr. 17</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FINANCIAR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financiar),</w:t>
      </w:r>
      <w:r>
        <w:rPr>
          <w:rFonts w:eastAsia="Calibri"/>
        </w:rPr>
        <w:t xml:space="preserve"> declar pe propria răspundere, </w:t>
      </w:r>
      <w:r>
        <w:rPr>
          <w:rFonts w:eastAsia="Calibri"/>
        </w:rPr>
        <w:t xml:space="preserve">sub sancţiunile aplicabile faptei de fals în acte publice, că 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18</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832"/>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832"/>
        <w:numPr>
          <w:ilvl w:val="0"/>
          <w:numId w:val="0"/>
        </w:numPr>
        <w:pBdr/>
        <w:spacing/>
        <w:ind w:left="720"/>
        <w:rPr>
          <w:lang w:val="it-IT"/>
        </w:rPr>
      </w:pPr>
      <w:r/>
      <w:bookmarkStart w:id="102" w:name="_Hlk77771292"/>
      <w:r>
        <w:rPr>
          <w:lang w:val="it-IT"/>
        </w:rPr>
        <w:t xml:space="preserve">ANGAJAMENT PRIVIND SUSŢINEREA TEHNICĂ ȘI PROFESIONALĂ A OFERTANTULUI/GRUPULUI DE OPERATORI ECONOMICI</w:t>
      </w:r>
      <w:bookmarkEnd w:id="102"/>
      <w:r>
        <w:rPr>
          <w:lang w:val="it-IT"/>
        </w:rPr>
      </w:r>
      <w:r>
        <w:rPr>
          <w:lang w:val="it-IT"/>
        </w:rPr>
      </w:r>
    </w:p>
    <w:p>
      <w:pPr>
        <w:pBdr/>
        <w:spacing/>
        <w:ind w:firstLine="720" w:left="5040"/>
        <w:jc w:val="both"/>
        <w:rPr>
          <w:rStyle w:val="1076"/>
          <w:rFonts w:eastAsiaTheme="majorEastAsia"/>
          <w:sz w:val="24"/>
          <w:szCs w:val="24"/>
          <w:lang w:val="it-IT"/>
        </w:rPr>
      </w:pPr>
      <w:r>
        <w:rPr>
          <w:rFonts w:eastAsiaTheme="majorEastAsia"/>
          <w:sz w:val="24"/>
          <w:szCs w:val="24"/>
          <w:lang w:val="it-IT"/>
        </w:rPr>
      </w:r>
      <w:r>
        <w:rPr>
          <w:rStyle w:val="1076"/>
          <w:rFonts w:eastAsiaTheme="majorEastAsia"/>
          <w:sz w:val="24"/>
          <w:szCs w:val="24"/>
          <w:lang w:val="it-IT"/>
        </w:rPr>
      </w:r>
      <w:r>
        <w:rPr>
          <w:rStyle w:val="1076"/>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tehnică și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 ofertantului/candidatului) </w:t>
      </w:r>
      <w:r>
        <w:t xml:space="preserve">re</w:t>
      </w:r>
      <w:r>
        <w:t xml:space="preserve">sursele tehnice şi/sau profesionale de ................................................ ..................................................................necesare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 profesional),</w:t>
      </w:r>
      <w:r>
        <w:t xml:space="preserve"> declarăm că înţelegem să răspundem, în mod necondiţionat, faţă de autoritatea contractantă pentru neexecutarea oricărei obligaţii asumate de ....................... </w:t>
      </w:r>
      <w:r>
        <w:rPr>
          <w:i/>
        </w:rPr>
        <w:t xml:space="preserve">(denumire ofertantului/candidatului)</w:t>
      </w:r>
      <w:r>
        <w:t xml:space="preserve">, în baza contractului de achiziţie publică, şi pentru care ................ </w:t>
      </w:r>
      <w:r>
        <w:rPr>
          <w:i/>
        </w:rPr>
        <w:t xml:space="preserve">(denumirea operatorului/candidatului)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art.22 alin.(6) al Legii nr.131/2015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 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(semnătură autorizată)</w:t>
      </w:r>
      <w:r>
        <w:rPr>
          <w:i/>
          <w:spacing w:val="-1"/>
        </w:rPr>
      </w:r>
      <w:r>
        <w:rPr>
          <w:i/>
          <w:spacing w:val="-1"/>
        </w:rPr>
      </w:r>
    </w:p>
    <w:p>
      <w:pPr>
        <w:pBdr/>
        <w:spacing/>
        <w:ind/>
        <w:jc w:val="right"/>
        <w:rPr>
          <w:sz w:val="22"/>
          <w:szCs w:val="22"/>
          <w:lang w:val="it-IT"/>
        </w:rPr>
      </w:pPr>
      <w:r>
        <w:rPr>
          <w:lang w:val="it-IT"/>
        </w:rPr>
        <w:t xml:space="preserve">Anexa nr. 19</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și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 oferită...........................................(</w:t>
      </w:r>
      <w:r>
        <w:rPr>
          <w:rFonts w:eastAsia="Calibri"/>
          <w:i/>
        </w:rPr>
        <w:t xml:space="preserve">denumirea 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4"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bookmarkEnd w:id="104"/>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 20</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pBdr/>
        <w:spacing w:after="60" w:before="240"/>
        <w:ind w:hanging="432" w:left="432"/>
        <w:jc w:val="center"/>
        <w:outlineLvl w:val="0"/>
        <w:rPr>
          <w:b/>
          <w:bCs/>
          <w:highlight w:val="none"/>
        </w:rPr>
      </w:pPr>
      <w:r/>
      <w:bookmarkStart w:id="105" w:name="_Hlk77771330"/>
      <w:r>
        <w:rPr>
          <w:b/>
          <w:bCs/>
        </w:rPr>
        <w:t xml:space="preserve">DECLARAŢIE TERŢ SUSŢINĂTOR PROFESIONAL</w:t>
      </w:r>
      <w:bookmarkEnd w:id="105"/>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publice, că </w:t>
      </w:r>
      <w:r>
        <w:rPr>
          <w:rFonts w:eastAsia="Calibri"/>
        </w:rPr>
        <w:t xml:space="preserve">datele prezentate în tabelul anexat privind efectivul mediu anual al personalului de specialitate angajat care urmează a fi efectiv alocat pentru îndeplinirea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keepNext w:val="true"/>
        <w:keepLines w:val="true"/>
        <w:pBdr/>
        <w:spacing/>
        <w:ind/>
        <w:jc w:val="center"/>
        <w:outlineLvl w:val="1"/>
        <w:rPr>
          <w:rFonts w:eastAsiaTheme="majorEastAsia"/>
          <w:b/>
          <w:bCs/>
          <w:highlight w:val="none"/>
        </w:rPr>
      </w:pPr>
      <w:r>
        <w:rPr>
          <w:rFonts w:eastAsiaTheme="majorEastAsia"/>
          <w:b/>
          <w:bCs/>
          <w:highlight w:val="none"/>
        </w:rPr>
      </w:r>
      <w:r>
        <w:rPr>
          <w:rFonts w:eastAsiaTheme="majorEastAsia"/>
          <w:b/>
          <w:bCs/>
          <w:highlight w:val="none"/>
        </w:rPr>
      </w:r>
    </w:p>
    <w:p>
      <w:pPr>
        <w:keepNext w:val="true"/>
        <w:keepLines w:val="true"/>
        <w:pBdr/>
        <w:spacing/>
        <w:ind/>
        <w:jc w:val="center"/>
        <w:outlineLvl w:val="1"/>
        <w:rPr>
          <w:rFonts w:eastAsiaTheme="majorEastAsia"/>
          <w:b/>
          <w:bCs/>
          <w:highlight w:val="none"/>
        </w:rPr>
      </w:pPr>
      <w:r/>
      <w:bookmarkStart w:id="108" w:name="_Hlk77771358"/>
      <w:r>
        <w:rPr>
          <w:rFonts w:eastAsiaTheme="majorEastAsia"/>
          <w:b/>
        </w:rPr>
        <w:t xml:space="preserve">CAIET DE SARCINI</w:t>
      </w:r>
      <w:bookmarkEnd w:id="107"/>
      <w:r/>
      <w:bookmarkEnd w:id="108"/>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Bunuri/Servicii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u w:val="single"/>
        </w:rPr>
      </w:pPr>
      <w:r>
        <w:rPr>
          <w:bCs/>
        </w:rPr>
        <w:t xml:space="preserve">Obiectul   </w:t>
      </w:r>
      <w:r>
        <w:rPr>
          <w:rFonts w:eastAsia="Times New Roman" w:cs="Times New Roman"/>
          <w:b/>
          <w:iCs w:val="0"/>
          <w:u w:val="single"/>
          <w:lang w:eastAsia="en-US"/>
        </w:rPr>
        <w:t xml:space="preserve">Produse petroliere pentru anul 202</w:t>
      </w:r>
      <w:r>
        <w:rPr>
          <w:rFonts w:eastAsia="Times New Roman" w:cs="Times New Roman"/>
          <w:b/>
          <w:bCs/>
          <w:u w:val="single"/>
          <w:lang w:val="ro-RO" w:eastAsia="en-US"/>
        </w:rPr>
        <w:t xml:space="preserve">6</w:t>
      </w:r>
      <w:r>
        <w:rPr>
          <w:rFonts w:eastAsia="Times New Roman" w:cs="Times New Roman"/>
          <w:b/>
          <w:bCs/>
          <w:u w:val="single"/>
          <w:lang w:val="en-US" w:eastAsia="en-US"/>
        </w:rPr>
        <w:t xml:space="preserve"> </w:t>
      </w:r>
      <w:r>
        <w:rPr>
          <w:bCs/>
          <w:u w:val="single"/>
        </w:rPr>
      </w:r>
      <w:r>
        <w:rPr>
          <w:bCs/>
          <w:u w:val="single"/>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pBdr/>
        <w:spacing/>
        <w:ind/>
        <w:jc w:val="both"/>
        <w:rPr>
          <w:b/>
          <w:bCs/>
          <w:u w:val="single"/>
        </w:rPr>
      </w:pPr>
      <w:r>
        <w:rPr>
          <w:bCs/>
        </w:rPr>
        <w:t xml:space="preserve">Autoritatea contractantă </w:t>
      </w:r>
      <w:r>
        <w:rPr>
          <w:b/>
          <w:bCs/>
          <w:u w:val="single"/>
          <w:lang w:val="ru-RU" w:eastAsia="ru-RU"/>
        </w:rPr>
        <w:t xml:space="preserve">Agenția Teritorială de Asistență Socială</w:t>
      </w:r>
      <w:r>
        <w:rPr>
          <w:b/>
          <w:bCs/>
          <w:u w:val="single"/>
          <w:lang w:val="ro-RO"/>
        </w:rPr>
        <w:t xml:space="preserve"> </w:t>
      </w:r>
      <w:r>
        <w:rPr>
          <w:b/>
          <w:bCs/>
          <w:u w:val="single"/>
          <w:lang w:val="ru-RU" w:eastAsia="ru-RU"/>
        </w:rPr>
        <w:t xml:space="preserve">Centru-Vest Ungheni</w:t>
      </w:r>
      <w:r>
        <w:rPr>
          <w:b/>
          <w:bCs/>
          <w:u w:val="single"/>
        </w:rPr>
      </w:r>
      <w:r>
        <w:rPr>
          <w:b/>
          <w:bCs/>
          <w:u w:val="single"/>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Descriere generală. Informaţii</w:t>
      </w:r>
      <w:r>
        <w:rPr>
          <w:b/>
        </w:rPr>
      </w:r>
      <w:r>
        <w:rPr>
          <w:b/>
        </w:rPr>
      </w:r>
    </w:p>
    <w:tbl>
      <w:tblPr>
        <w:tblW w:w="10075" w:type="dxa"/>
        <w:tblInd w:w="-455" w:type="dxa"/>
        <w:tblBorders/>
        <w:tblLayout w:type="fixed"/>
        <w:tblLook w:val="04A0" w:firstRow="1" w:lastRow="0" w:firstColumn="1" w:lastColumn="0" w:noHBand="0" w:noVBand="1"/>
      </w:tblPr>
      <w:tblGrid>
        <w:gridCol w:w="597"/>
        <w:gridCol w:w="1276"/>
        <w:gridCol w:w="2083"/>
        <w:gridCol w:w="990"/>
        <w:gridCol w:w="1170"/>
        <w:gridCol w:w="1980"/>
        <w:gridCol w:w="1980"/>
      </w:tblGrid>
      <w:tr>
        <w:trPr>
          <w:trHeight w:val="567"/>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bunurilor/ serviciilor</w:t>
            </w:r>
            <w:r>
              <w:rPr>
                <w:b/>
                <w:sz w:val="20"/>
                <w:szCs w:val="20"/>
                <w:lang w:val="it-IT" w:eastAsia="ru-RU"/>
              </w:rPr>
            </w:r>
            <w:r>
              <w:rPr>
                <w:b/>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t xml:space="preserve">09100000-0</w:t>
            </w:r>
            <w:r>
              <w:rPr>
                <w:sz w:val="20"/>
                <w:szCs w:val="20"/>
                <w:lang w:val="it-IT" w:eastAsia="ru-RU"/>
              </w:rPr>
            </w:r>
            <w:r>
              <w:rPr>
                <w:sz w:val="20"/>
                <w:szCs w:val="20"/>
                <w:lang w:val="it-IT"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hd w:val="clear" w:color="auto" w:fill="ffffff" w:themeFill="background1"/>
              <w:spacing/>
              <w:ind/>
              <w:jc w:val="center"/>
              <w:rPr>
                <w:b/>
                <w:bCs/>
                <w:sz w:val="20"/>
                <w:szCs w:val="20"/>
                <w:lang w:val="ro-RO"/>
              </w:rPr>
            </w:pPr>
            <w:r>
              <w:rPr>
                <w:b/>
                <w:sz w:val="20"/>
                <w:szCs w:val="20"/>
                <w:lang w:val="ru-RU" w:eastAsia="ru-RU"/>
              </w:rPr>
              <w:t xml:space="preserve">Lotul 1</w:t>
            </w:r>
            <w:r>
              <w:rPr>
                <w:b/>
                <w:sz w:val="20"/>
                <w:szCs w:val="20"/>
                <w:lang w:val="ro-RO"/>
              </w:rPr>
              <w:t xml:space="preserve">-</w:t>
            </w:r>
            <w:r>
              <w:rPr>
                <w:b/>
                <w:bCs/>
                <w:sz w:val="20"/>
                <w:szCs w:val="20"/>
                <w:lang w:val="ro-RO"/>
              </w:rPr>
            </w:r>
            <w:r>
              <w:rPr>
                <w:b/>
                <w:bCs/>
                <w:sz w:val="20"/>
                <w:szCs w:val="20"/>
                <w:lang w:val="ro-RO"/>
              </w:rPr>
            </w:r>
          </w:p>
          <w:p>
            <w:pPr>
              <w:pBdr/>
              <w:shd w:val="clear" w:color="auto" w:fill="ffffff" w:themeFill="background1"/>
              <w:spacing/>
              <w:ind/>
              <w:jc w:val="center"/>
              <w:rPr>
                <w:sz w:val="20"/>
                <w:szCs w:val="20"/>
                <w:lang w:val="ru-RU" w:eastAsia="ru-RU"/>
              </w:rPr>
            </w:pPr>
            <w:r>
              <w:rPr>
                <w:b/>
                <w:sz w:val="20"/>
                <w:szCs w:val="20"/>
                <w:lang w:val="ro-RO"/>
              </w:rPr>
              <w:t xml:space="preserve">Produse petroliere</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t xml:space="preserve">09132000-3</w:t>
            </w:r>
            <w:r>
              <w:rPr>
                <w:sz w:val="18"/>
                <w:szCs w:val="18"/>
                <w:lang w:val="ru-RU" w:eastAsia="ru-RU"/>
              </w:rPr>
            </w:r>
            <w:r>
              <w:rPr>
                <w:sz w:val="18"/>
                <w:szCs w:val="18"/>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pacing/>
              <w:ind/>
              <w:rPr>
                <w:sz w:val="22"/>
                <w:szCs w:val="22"/>
                <w:lang w:val="ru-RU" w:eastAsia="ru-RU"/>
                <w14:ligatures w14:val="none"/>
              </w:rPr>
            </w:pPr>
            <w:r>
              <w:rPr>
                <w:i/>
                <w:sz w:val="22"/>
                <w:szCs w:val="22"/>
                <w:lang w:val="ru-RU" w:eastAsia="ru-RU"/>
              </w:rPr>
            </w:r>
            <w:r>
              <w:rPr>
                <w:sz w:val="22"/>
                <w:szCs w:val="22"/>
                <w:lang w:val="ru-RU" w:eastAsia="ru-RU"/>
              </w:rPr>
              <w:t xml:space="preserve">Benzina Premium </w:t>
            </w:r>
            <w:r>
              <w:rPr>
                <w:sz w:val="22"/>
                <w:szCs w:val="22"/>
                <w:lang w:val="ru-RU" w:eastAsia="ru-RU"/>
                <w14:ligatures w14:val="none"/>
              </w:rPr>
            </w:r>
            <w:r>
              <w:rPr>
                <w:sz w:val="22"/>
                <w:szCs w:val="22"/>
                <w:lang w:val="ru-RU" w:eastAsia="ru-RU"/>
                <w14:ligatures w14:val="none"/>
              </w:rPr>
            </w:r>
          </w:p>
          <w:p>
            <w:pPr>
              <w:pBdr/>
              <w:spacing/>
              <w:ind/>
              <w:rPr>
                <w:sz w:val="22"/>
                <w:szCs w:val="22"/>
                <w14:ligatures w14:val="none"/>
              </w:rPr>
            </w:pPr>
            <w:r>
              <w:rPr>
                <w:sz w:val="22"/>
                <w:szCs w:val="22"/>
                <w:lang w:val="ru-RU" w:eastAsia="ru-RU"/>
              </w:rPr>
              <w:t xml:space="preserve">A 95</w:t>
            </w:r>
            <w:r>
              <w:rPr>
                <w:sz w:val="22"/>
                <w:szCs w:val="22"/>
                <w14:ligatures w14:val="none"/>
              </w:rPr>
            </w:r>
            <w:r>
              <w:rPr>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7 000,00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left"/>
              <w:rPr>
                <w:sz w:val="20"/>
                <w:szCs w:val="20"/>
                <w:lang w:val="ru-RU" w:eastAsia="ru-RU"/>
              </w:rPr>
            </w:pPr>
            <w:r>
              <w:rPr>
                <w:sz w:val="20"/>
                <w:szCs w:val="20"/>
                <w:lang w:val="ru-RU" w:eastAsia="ru-RU"/>
              </w:rPr>
            </w:r>
            <w:r>
              <w:rPr>
                <w:sz w:val="20"/>
                <w:szCs w:val="20"/>
                <w:lang w:val="ru-RU" w:eastAsia="ru-RU"/>
              </w:rPr>
              <w:t xml:space="preserve">B</w:t>
            </w:r>
            <w:r>
              <w:rPr>
                <w:sz w:val="20"/>
                <w:szCs w:val="20"/>
                <w:lang w:val="ru-RU" w:eastAsia="ru-RU"/>
              </w:rPr>
              <w:t xml:space="preserve">enzină, cifra octanică 95. Conform standardelor naționale în vigoare. Alimentarea vehiculelor la staţiile furnizorului, pe întreg teritoriu al Republicii Moldova, prin intermediul sistemului de carduri electronice emise de către furnizor pentru fiecare veh</w:t>
            </w:r>
            <w:r>
              <w:rPr>
                <w:sz w:val="20"/>
                <w:szCs w:val="20"/>
                <w:lang w:val="ru-RU" w:eastAsia="ru-RU"/>
              </w:rPr>
              <w:t xml:space="preserve">icul</w:t>
            </w:r>
            <w:r>
              <w:rPr>
                <w:sz w:val="20"/>
                <w:szCs w:val="20"/>
                <w:lang w:val="ro-RO"/>
              </w:rPr>
              <w:t xml:space="preserve">.</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109 083,00</w:t>
            </w:r>
            <w:r>
              <w:rPr>
                <w:b/>
                <w:bCs/>
                <w:sz w:val="20"/>
                <w:szCs w:val="20"/>
              </w:rPr>
            </w:r>
            <w:r>
              <w:rPr>
                <w:b/>
                <w:bCs/>
                <w:sz w:val="20"/>
                <w:szCs w:val="20"/>
              </w:rPr>
            </w:r>
          </w:p>
        </w:tc>
      </w:tr>
      <w:tr>
        <w:trPr>
          <w:trHeight w:val="3401"/>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2</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18"/>
                <w:szCs w:val="18"/>
                <w:lang w:val="ru-RU" w:eastAsia="ru-RU"/>
              </w:rPr>
            </w:pPr>
            <w:r>
              <w:rPr>
                <w:sz w:val="18"/>
                <w:szCs w:val="18"/>
                <w:lang w:val="ru-RU" w:eastAsia="ru-RU"/>
              </w:rPr>
            </w:r>
            <w:r>
              <w:rPr>
                <w:sz w:val="18"/>
                <w:szCs w:val="18"/>
                <w:lang w:val="ru-RU" w:eastAsia="ru-RU"/>
              </w:rPr>
              <w:t xml:space="preserve">09134200-9</w:t>
            </w:r>
            <w:r>
              <w:rPr>
                <w:sz w:val="18"/>
                <w:szCs w:val="18"/>
                <w:lang w:val="ru-RU" w:eastAsia="ru-RU"/>
              </w:rPr>
            </w:r>
            <w:r>
              <w:rPr>
                <w:sz w:val="18"/>
                <w:szCs w:val="18"/>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pacing/>
              <w:ind/>
              <w:rPr>
                <w:sz w:val="22"/>
                <w:szCs w:val="22"/>
              </w:rPr>
            </w:pPr>
            <w:r>
              <w:rPr>
                <w:sz w:val="22"/>
                <w:szCs w:val="22"/>
              </w:rPr>
            </w:r>
            <w:r>
              <w:rPr>
                <w:sz w:val="22"/>
                <w:szCs w:val="22"/>
              </w:rPr>
              <w:t xml:space="preserve">Motorina Euro 5</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12 000,00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pPr>
            <w:r>
              <w:rPr>
                <w:sz w:val="20"/>
                <w:szCs w:val="20"/>
                <w:lang w:val="ru-RU" w:eastAsia="ru-RU"/>
              </w:rPr>
              <w:t xml:space="preserve">Motorină EURO 5.</w:t>
            </w:r>
            <w:r/>
          </w:p>
          <w:p>
            <w:pPr>
              <w:pBdr/>
              <w:shd w:val="clear" w:color="auto" w:fill="ffffff" w:themeFill="background1"/>
              <w:spacing w:before="120"/>
              <w:ind/>
              <w:jc w:val="center"/>
              <w:rPr/>
            </w:pPr>
            <w:r>
              <w:rPr>
                <w:sz w:val="20"/>
                <w:szCs w:val="20"/>
                <w:lang w:val="ru-RU" w:eastAsia="ru-RU"/>
              </w:rPr>
              <w:t xml:space="preserve">Conform standardelor naționale în vigoare.</w:t>
            </w:r>
            <w:r/>
          </w:p>
          <w:p>
            <w:pPr>
              <w:pBdr/>
              <w:shd w:val="clear" w:color="auto" w:fill="ffffff" w:themeFill="background1"/>
              <w:spacing w:before="120"/>
              <w:ind/>
              <w:jc w:val="center"/>
              <w:rPr>
                <w:sz w:val="20"/>
                <w:szCs w:val="20"/>
                <w:lang w:val="ru-RU" w:eastAsia="ru-RU"/>
              </w:rPr>
            </w:pPr>
            <w:r>
              <w:rPr>
                <w:sz w:val="20"/>
                <w:szCs w:val="20"/>
                <w:lang w:val="ru-RU" w:eastAsia="ru-RU"/>
              </w:rPr>
              <w:t xml:space="preserve">Alimentarea vehiculelor la staţiile furnizorului, pe întreg teritoriul Republicii Moldova, prin intermediul sistemului de carduri electronice emise de către furnizor pentru fiecare vehicul</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219 200,00</w:t>
            </w:r>
            <w:r>
              <w:rPr>
                <w:b/>
                <w:bCs/>
                <w:sz w:val="20"/>
                <w:szCs w:val="20"/>
              </w:rPr>
            </w:r>
            <w:r>
              <w:rPr>
                <w:b/>
                <w:bCs/>
                <w:sz w:val="20"/>
                <w:szCs w:val="20"/>
              </w:rPr>
            </w:r>
          </w:p>
        </w:tc>
      </w:tr>
      <w:tr>
        <w:trPr>
          <w:trHeight w:val="324"/>
        </w:trPr>
        <w:tc>
          <w:tcPr>
            <w:shd w:val="clear" w:color="ffffff" w:fill="ffffff"/>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3</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t xml:space="preserve">09133000-0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Bdr/>
              <w:spacing/>
              <w:ind/>
              <w:rPr>
                <w:sz w:val="22"/>
                <w:szCs w:val="22"/>
                <w14:ligatures w14:val="none"/>
              </w:rPr>
            </w:pPr>
            <w:r>
              <w:rPr>
                <w:sz w:val="22"/>
                <w:szCs w:val="22"/>
              </w:rPr>
              <w:t xml:space="preserve">Gaz lichefiat GPL</w:t>
            </w:r>
            <w:r>
              <w:rPr>
                <w:sz w:val="22"/>
                <w:szCs w:val="22"/>
                <w14:ligatures w14:val="none"/>
              </w:rPr>
            </w:r>
            <w:r>
              <w:rPr>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litru</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o-RO"/>
              </w:rPr>
              <w:t xml:space="preserve">500,00</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Bdr/>
              <w:shd w:val="clear" w:color="auto" w:fill="ffffff" w:themeFill="background1"/>
              <w:spacing w:before="120"/>
              <w:ind/>
              <w:jc w:val="center"/>
              <w:rPr>
                <w:sz w:val="20"/>
                <w:szCs w:val="20"/>
                <w:highlight w:val="none"/>
                <w:lang w:val="ru-RU" w:eastAsia="ru-RU"/>
              </w:rPr>
            </w:pPr>
            <w:r>
              <w:rPr>
                <w:sz w:val="20"/>
                <w:szCs w:val="20"/>
                <w:lang w:val="ru-RU" w:eastAsia="ru-RU"/>
              </w:rPr>
            </w:r>
            <w:r>
              <w:rPr>
                <w:sz w:val="20"/>
                <w:szCs w:val="20"/>
                <w:lang w:val="ru-RU" w:eastAsia="ru-RU"/>
              </w:rPr>
              <w:t xml:space="preserve">Carduri valorice; GOST 20448-90 SM SR EN 589:2016</w:t>
            </w:r>
            <w:r>
              <w:rPr>
                <w:sz w:val="20"/>
                <w:szCs w:val="20"/>
                <w:highlight w:val="none"/>
                <w:lang w:val="ru-RU" w:eastAsia="ru-RU"/>
              </w:rPr>
            </w:r>
            <w:r>
              <w:rPr>
                <w:sz w:val="20"/>
                <w:szCs w:val="20"/>
                <w:highlight w:val="none"/>
                <w:lang w:val="ru-RU" w:eastAsia="ru-RU"/>
              </w:rPr>
            </w:r>
          </w:p>
          <w:p>
            <w:pPr>
              <w:pBdr/>
              <w:shd w:val="clear" w:color="auto" w:fill="ffffff" w:themeFill="background1"/>
              <w:spacing w:before="120"/>
              <w:ind/>
              <w:jc w:val="center"/>
              <w:rPr>
                <w:sz w:val="20"/>
                <w:szCs w:val="20"/>
                <w:lang w:val="ru-RU" w:eastAsia="ru-RU"/>
              </w:rPr>
            </w:pPr>
            <w:r>
              <w:rPr>
                <w:sz w:val="20"/>
                <w:szCs w:val="20"/>
                <w:highlight w:val="none"/>
                <w:lang w:val="ru-RU" w:eastAsia="ru-RU"/>
              </w:rPr>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5 417,00</w:t>
            </w:r>
            <w:r>
              <w:rPr>
                <w:b/>
                <w:bCs/>
                <w:sz w:val="20"/>
                <w:szCs w:val="20"/>
              </w:rPr>
            </w:r>
            <w:r>
              <w:rPr>
                <w:b/>
                <w:bCs/>
                <w:sz w:val="20"/>
                <w:szCs w:val="20"/>
              </w:rPr>
            </w:r>
          </w:p>
        </w:tc>
      </w:tr>
      <w:tr>
        <w:trPr>
          <w:trHeight w:val="397"/>
        </w:trPr>
        <w:tc>
          <w:tcPr>
            <w:gridSpan w:val="6"/>
            <w:shd w:val="clear" w:color="ffffff" w:fill="ffffff"/>
            <w:tcBorders>
              <w:top w:val="single" w:color="000000" w:sz="4" w:space="0"/>
              <w:left w:val="single" w:color="000000" w:sz="4" w:space="0"/>
              <w:bottom w:val="single" w:color="000000" w:sz="4" w:space="0"/>
              <w:right w:val="single" w:color="000000"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lang w:val="ro-RO"/>
              </w:rPr>
              <w:t xml:space="preserve">333 700,00</w:t>
            </w:r>
            <w:r>
              <w:rPr>
                <w:b/>
                <w:bCs/>
                <w:sz w:val="20"/>
                <w:szCs w:val="20"/>
              </w:rPr>
            </w:r>
            <w:r>
              <w:rPr>
                <w:b/>
                <w:bCs/>
                <w:sz w:val="20"/>
                <w:szCs w:val="20"/>
              </w:rPr>
            </w:r>
          </w:p>
        </w:tc>
      </w:tr>
    </w:tbl>
    <w:p>
      <w:pPr>
        <w:pBdr/>
        <w:spacing/>
        <w:ind w:firstLine="709"/>
        <w:jc w:val="both"/>
        <w:rPr>
          <w:bCs/>
        </w:rPr>
      </w:pPr>
      <w:r>
        <w:rPr>
          <w:bCs/>
        </w:rPr>
      </w:r>
      <w:r>
        <w:rPr>
          <w:bCs/>
        </w:rPr>
      </w:r>
    </w:p>
    <w:p>
      <w:pPr>
        <w:pBdr/>
        <w:spacing/>
        <w:ind w:firstLine="709"/>
        <w:jc w:val="both"/>
        <w:rPr>
          <w:rFonts w:eastAsia="Times New Roman" w:cs="Times New Roman"/>
          <w:b/>
          <w:bCs w:val="0"/>
          <w:iCs w:val="0"/>
          <w:lang w:eastAsia="en-US"/>
        </w:rPr>
      </w:pPr>
      <w:r>
        <w:rPr>
          <w:rFonts w:eastAsia="Times New Roman" w:cs="Times New Roman"/>
          <w:b/>
          <w:bCs w:val="0"/>
          <w:iCs w:val="0"/>
          <w:lang w:eastAsia="en-US"/>
        </w:rPr>
        <w:t xml:space="preserve">2.  Utilizarea, păstrarea, protecţia, calitatea produselor/serviciilor</w:t>
      </w:r>
      <w:r>
        <w:rPr>
          <w:rFonts w:eastAsia="Times New Roman" w:cs="Times New Roman"/>
          <w:b/>
          <w:bCs w:val="0"/>
          <w:iCs w:val="0"/>
          <w:lang w:eastAsia="en-US"/>
        </w:rPr>
      </w:r>
      <w:r>
        <w:rPr>
          <w:rFonts w:eastAsia="Times New Roman" w:cs="Times New Roman"/>
          <w:b/>
          <w:bCs w:val="0"/>
          <w:iCs w:val="0"/>
          <w:lang w:eastAsia="en-US"/>
        </w:rPr>
      </w:r>
    </w:p>
    <w:p>
      <w:pPr>
        <w:pBdr/>
        <w:spacing/>
        <w:ind w:firstLine="709"/>
        <w:jc w:val="both"/>
        <w:rPr>
          <w:rFonts w:eastAsia="Times New Roman" w:cs="Times New Roman"/>
          <w:b/>
          <w:bCs w:val="0"/>
          <w:iCs w:val="0"/>
          <w:lang w:eastAsia="en-US"/>
        </w:rPr>
      </w:pPr>
      <w:r>
        <w:rPr>
          <w:rFonts w:eastAsia="Times New Roman" w:cs="Times New Roman"/>
          <w:b/>
          <w:bCs w:val="0"/>
          <w:iCs w:val="0"/>
          <w:lang w:eastAsia="en-US"/>
        </w:rPr>
      </w:r>
      <w:r>
        <w:rPr>
          <w:rFonts w:eastAsia="Times New Roman" w:cs="Times New Roman"/>
          <w:b/>
          <w:bCs w:val="0"/>
          <w:iCs w:val="0"/>
          <w:lang w:eastAsia="en-US"/>
        </w:rPr>
      </w:r>
      <w:r>
        <w:rPr>
          <w:rFonts w:eastAsia="Times New Roman" w:cs="Times New Roman"/>
          <w:b/>
          <w:bCs w:val="0"/>
          <w:iCs w:val="0"/>
          <w:lang w:eastAsia="en-US"/>
        </w:rPr>
      </w:r>
    </w:p>
    <w:p>
      <w:pPr>
        <w:pBdr/>
        <w:spacing/>
        <w:ind w:firstLine="709"/>
        <w:jc w:val="both"/>
        <w:rPr>
          <w:rFonts w:eastAsia="Times New Roman" w:cs="Times New Roman"/>
          <w:iCs w:val="0"/>
          <w:lang w:eastAsia="en-US"/>
        </w:rPr>
      </w:pPr>
      <w:r>
        <w:rPr>
          <w:rFonts w:eastAsia="Times New Roman" w:cs="Times New Roman"/>
          <w:b/>
          <w:bCs w:val="0"/>
          <w:iCs w:val="0"/>
          <w:lang w:eastAsia="en-US"/>
        </w:rPr>
        <w:t xml:space="preserve">Detalii privind utilizarea bunurilor:</w:t>
      </w:r>
      <w:r>
        <w:rPr>
          <w:rFonts w:eastAsia="Times New Roman" w:cs="Times New Roman"/>
          <w:iCs w:val="0"/>
          <w:lang w:eastAsia="en-US"/>
        </w:rPr>
        <w:t xml:space="preserve"> </w:t>
      </w:r>
      <w:r>
        <w:rPr>
          <w:rFonts w:eastAsia="Times New Roman" w:cs="Times New Roman"/>
          <w:i/>
          <w:lang w:eastAsia="en-US"/>
        </w:rPr>
        <w:t xml:space="preserve">Aprovizionarea cu combustibil a unităților  aflate  în  gestiunea  ATAS Centru-Vest Ungheni  și din cadrul STAS-urilor.</w:t>
      </w:r>
      <w:r>
        <w:rPr>
          <w:rFonts w:eastAsia="Times New Roman" w:cs="Times New Roman"/>
          <w:iCs w:val="0"/>
          <w:lang w:eastAsia="en-US"/>
        </w:rPr>
      </w:r>
      <w:r>
        <w:rPr>
          <w:rFonts w:eastAsia="Times New Roman" w:cs="Times New Roman"/>
          <w:iCs w:val="0"/>
          <w:lang w:eastAsia="en-US"/>
        </w:rPr>
      </w:r>
    </w:p>
    <w:p>
      <w:pPr>
        <w:pBdr/>
        <w:spacing/>
        <w:ind w:firstLine="709"/>
        <w:jc w:val="both"/>
        <w:rPr>
          <w:rFonts w:eastAsia="Times New Roman" w:cs="Times New Roman"/>
          <w:i/>
          <w:lang w:val="it-IT" w:eastAsia="en-US"/>
        </w:rPr>
      </w:pPr>
      <w:r>
        <w:rPr>
          <w:rFonts w:eastAsia="Times New Roman" w:cs="Times New Roman"/>
          <w:b/>
          <w:bCs w:val="0"/>
          <w:iCs w:val="0"/>
          <w:lang w:eastAsia="en-US"/>
        </w:rPr>
        <w:t xml:space="preserve">Termenii și condițiile de livrare/prestare/executare solicitați: </w:t>
      </w:r>
      <w:r>
        <w:rPr>
          <w:rFonts w:eastAsia="Times New Roman" w:cs="Times New Roman"/>
          <w:i/>
          <w:lang w:val="en-US" w:eastAsia="en-US"/>
        </w:rPr>
        <w:t xml:space="preserve">la stațiile de alimentare ale Vânzătorului situate pe teritoriul Republicii Moldova</w:t>
      </w:r>
      <w:r>
        <w:rPr>
          <w:rFonts w:eastAsia="Times New Roman" w:cs="Times New Roman"/>
          <w:i/>
          <w:lang w:val="it-IT" w:eastAsia="en-US"/>
        </w:rPr>
      </w:r>
      <w:r>
        <w:rPr>
          <w:rFonts w:eastAsia="Times New Roman" w:cs="Times New Roman"/>
          <w:i/>
          <w:lang w:val="it-IT" w:eastAsia="en-US"/>
        </w:rPr>
      </w:r>
    </w:p>
    <w:p>
      <w:pPr>
        <w:pBdr/>
        <w:spacing/>
        <w:ind w:firstLine="709"/>
        <w:jc w:val="both"/>
        <w:rPr>
          <w:rFonts w:eastAsia="Times New Roman" w:cs="Times New Roman"/>
          <w:bCs w:val="0"/>
          <w:i/>
          <w:iCs w:val="0"/>
          <w:lang w:val="it-IT" w:eastAsia="en-US"/>
        </w:rPr>
      </w:pPr>
      <w:r>
        <w:rPr>
          <w:rFonts w:eastAsia="Times New Roman" w:cs="Times New Roman"/>
          <w:bCs w:val="0"/>
          <w:i/>
          <w:iCs w:val="0"/>
          <w:lang w:val="it-IT" w:eastAsia="en-US"/>
        </w:rPr>
      </w:r>
      <w:r>
        <w:rPr>
          <w:rFonts w:eastAsia="Times New Roman" w:cs="Times New Roman"/>
          <w:bCs w:val="0"/>
          <w:i/>
          <w:iCs w:val="0"/>
          <w:lang w:val="it-IT" w:eastAsia="en-US"/>
        </w:rPr>
      </w:r>
      <w:r>
        <w:rPr>
          <w:rFonts w:eastAsia="Times New Roman" w:cs="Times New Roman"/>
          <w:bCs w:val="0"/>
          <w:i/>
          <w:iCs w:val="0"/>
          <w:lang w:val="it-IT" w:eastAsia="en-US"/>
        </w:rPr>
      </w:r>
    </w:p>
    <w:p>
      <w:pPr>
        <w:numPr>
          <w:ilvl w:val="0"/>
          <w:numId w:val="26"/>
        </w:numPr>
        <w:pBdr/>
        <w:tabs>
          <w:tab w:val="left" w:leader="none" w:pos="1134"/>
        </w:tabs>
        <w:spacing w:after="160" w:line="259" w:lineRule="auto"/>
        <w:ind/>
        <w:jc w:val="both"/>
        <w:rPr>
          <w:rFonts w:eastAsia="Times New Roman" w:cs="Times New Roman"/>
          <w:b/>
          <w:bCs w:val="0"/>
          <w:iCs w:val="0"/>
          <w:lang w:val="en-US" w:eastAsia="en-US"/>
        </w:rPr>
      </w:pPr>
      <w:r>
        <w:rPr>
          <w:rFonts w:eastAsia="Times New Roman" w:cs="Times New Roman"/>
          <w:b/>
          <w:bCs w:val="0"/>
          <w:iCs w:val="0"/>
          <w:lang w:val="en-US" w:eastAsia="en-US"/>
        </w:rPr>
        <w:t xml:space="preserve">Materiale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compatibilităţi</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reglementări</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tehnice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şi</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standarde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utilizate</w:t>
      </w:r>
      <w:r>
        <w:rPr>
          <w:rFonts w:eastAsia="Times New Roman" w:cs="Times New Roman"/>
          <w:b/>
          <w:bCs w:val="0"/>
          <w:iCs w:val="0"/>
          <w:lang w:val="en-US" w:eastAsia="en-US"/>
        </w:rPr>
      </w:r>
      <w:r>
        <w:rPr>
          <w:rFonts w:eastAsia="Times New Roman" w:cs="Times New Roman"/>
          <w:b/>
          <w:bCs w:val="0"/>
          <w:iCs w:val="0"/>
          <w:lang w:val="en-US" w:eastAsia="en-US"/>
        </w:rPr>
      </w:r>
    </w:p>
    <w:p>
      <w:pPr>
        <w:pBdr/>
        <w:spacing/>
        <w:ind w:firstLine="709"/>
        <w:jc w:val="both"/>
        <w:rPr>
          <w:rFonts w:eastAsia="Times New Roman" w:cs="Times New Roman"/>
          <w:bCs w:val="0"/>
          <w:i/>
          <w:lang w:eastAsia="en-US"/>
        </w:rPr>
      </w:pPr>
      <w:r>
        <w:rPr>
          <w:rFonts w:eastAsia="Times New Roman" w:cs="Times New Roman"/>
          <w:b/>
          <w:iCs w:val="0"/>
          <w:lang w:eastAsia="en-US"/>
        </w:rPr>
        <w:t xml:space="preserve">Benzină</w:t>
      </w:r>
      <w:r>
        <w:rPr>
          <w:rFonts w:eastAsia="Times New Roman" w:cs="Times New Roman"/>
          <w:bCs w:val="0"/>
          <w:iCs w:val="0"/>
          <w:lang w:eastAsia="en-US"/>
        </w:rPr>
        <w:t xml:space="preserve"> - </w:t>
      </w:r>
      <w:r>
        <w:rPr>
          <w:rFonts w:eastAsia="Times New Roman" w:cs="Times New Roman"/>
          <w:bCs w:val="0"/>
          <w:i/>
          <w:iCs w:val="0"/>
          <w:lang w:eastAsia="en-US"/>
        </w:rPr>
        <w:t xml:space="preserve">Cifra octanică: COR – minim 95, </w:t>
      </w:r>
      <w:r>
        <w:rPr>
          <w:rFonts w:eastAsia="Times New Roman" w:cs="Times New Roman"/>
          <w:bCs w:val="0"/>
          <w:i/>
          <w:lang w:eastAsia="en-US"/>
        </w:rPr>
        <w:t xml:space="preserve">Standard de referinţă: SM SR EN 228+A1:2017 „Carburanți pentru automobile. Benzină fără plumb. Cerințe și metode de încercare”</w:t>
      </w:r>
      <w:r>
        <w:rPr>
          <w:rFonts w:eastAsia="Times New Roman" w:cs="Times New Roman"/>
          <w:bCs w:val="0"/>
          <w:i/>
          <w:lang w:eastAsia="en-US"/>
        </w:rPr>
      </w:r>
      <w:r>
        <w:rPr>
          <w:rFonts w:eastAsia="Times New Roman" w:cs="Times New Roman"/>
          <w:bCs w:val="0"/>
          <w:i/>
          <w:lang w:eastAsia="en-US"/>
        </w:rPr>
      </w:r>
    </w:p>
    <w:p>
      <w:pPr>
        <w:pBdr/>
        <w:spacing/>
        <w:ind w:firstLine="709"/>
        <w:jc w:val="both"/>
        <w:rPr>
          <w:rFonts w:eastAsia="Times New Roman" w:cs="Times New Roman"/>
          <w:bCs w:val="0"/>
          <w:i/>
          <w:lang w:eastAsia="en-US"/>
        </w:rPr>
      </w:pPr>
      <w:r>
        <w:rPr>
          <w:rFonts w:eastAsia="Times New Roman" w:cs="Times New Roman"/>
          <w:b/>
          <w:lang w:eastAsia="en-US"/>
        </w:rPr>
        <w:t xml:space="preserve">Motorină</w:t>
      </w:r>
      <w:r>
        <w:rPr>
          <w:rFonts w:eastAsia="Times New Roman" w:cs="Times New Roman"/>
          <w:bCs w:val="0"/>
          <w:i/>
          <w:iCs w:val="0"/>
          <w:lang w:eastAsia="en-US"/>
        </w:rPr>
        <w:t xml:space="preserve"> - Motorină euro 5, </w:t>
      </w:r>
      <w:r>
        <w:rPr>
          <w:rFonts w:eastAsia="Times New Roman" w:cs="Times New Roman"/>
          <w:bCs w:val="0"/>
          <w:i/>
          <w:lang w:eastAsia="en-US"/>
        </w:rPr>
        <w:t xml:space="preserve">Standard de referinţă: SM EN 590+A1:2017 „Carburanți pentru automobile. Motorină. Cerințe și metode de încercare”</w:t>
      </w:r>
      <w:r>
        <w:rPr>
          <w:rFonts w:eastAsia="Times New Roman" w:cs="Times New Roman"/>
          <w:bCs w:val="0"/>
          <w:i/>
          <w:lang w:eastAsia="en-US"/>
        </w:rPr>
      </w:r>
      <w:r>
        <w:rPr>
          <w:rFonts w:eastAsia="Times New Roman" w:cs="Times New Roman"/>
          <w:bCs w:val="0"/>
          <w:i/>
          <w:lang w:eastAsia="en-US"/>
        </w:rPr>
      </w:r>
    </w:p>
    <w:p>
      <w:pPr>
        <w:pBdr/>
        <w:spacing/>
        <w:ind w:firstLine="709"/>
        <w:jc w:val="both"/>
        <w:rPr>
          <w:rFonts w:eastAsia="Times New Roman" w:cs="Times New Roman"/>
          <w:bCs w:val="0"/>
          <w:i/>
          <w:lang w:eastAsia="en-US"/>
        </w:rPr>
      </w:pPr>
      <w:r>
        <w:rPr>
          <w:rFonts w:eastAsia="Times New Roman"/>
          <w:b/>
          <w:lang w:eastAsia="en-US"/>
        </w:rPr>
        <w:t xml:space="preserve">Gaz lichefiat</w:t>
      </w:r>
      <w:r>
        <w:rPr>
          <w:rFonts w:eastAsia="MS Mincho"/>
          <w:lang w:eastAsia="ja-JP"/>
        </w:rPr>
        <w:t xml:space="preserve">:</w:t>
      </w:r>
      <w:r>
        <w:t xml:space="preserve"> </w:t>
      </w:r>
      <w:r>
        <w:rPr>
          <w:i/>
        </w:rPr>
        <w:t xml:space="preserve">GPL, Standard de referință: SM SR EN 589+A1:2016 ,,Carburanți pentru automobile. GPL. Cerință și metode de încercare”</w:t>
      </w:r>
      <w:r>
        <w:rPr>
          <w:rFonts w:eastAsia="Times New Roman" w:cs="Times New Roman"/>
          <w:bCs w:val="0"/>
          <w:i/>
          <w:lang w:eastAsia="en-US"/>
        </w:rPr>
      </w:r>
      <w:r>
        <w:rPr>
          <w:rFonts w:eastAsia="Times New Roman" w:cs="Times New Roman"/>
          <w:bCs w:val="0"/>
          <w:i/>
          <w:lang w:eastAsia="en-US"/>
        </w:rPr>
      </w:r>
    </w:p>
    <w:p>
      <w:pPr>
        <w:pBdr/>
        <w:spacing/>
        <w:ind w:firstLine="709"/>
        <w:jc w:val="both"/>
        <w:rPr>
          <w:rFonts w:eastAsia="Times New Roman" w:cs="Times New Roman"/>
          <w:bCs w:val="0"/>
          <w:iCs w:val="0"/>
          <w:lang w:eastAsia="en-US"/>
        </w:rPr>
      </w:pPr>
      <w:r>
        <w:rPr>
          <w:rFonts w:eastAsia="Times New Roman" w:cs="Times New Roman"/>
          <w:bCs w:val="0"/>
          <w:iCs w:val="0"/>
          <w:lang w:eastAsia="en-US"/>
        </w:rPr>
      </w:r>
      <w:r>
        <w:rPr>
          <w:rFonts w:eastAsia="Times New Roman" w:cs="Times New Roman"/>
          <w:bCs w:val="0"/>
          <w:iCs w:val="0"/>
          <w:lang w:eastAsia="en-US"/>
        </w:rPr>
      </w:r>
      <w:r>
        <w:rPr>
          <w:rFonts w:eastAsia="Times New Roman" w:cs="Times New Roman"/>
          <w:bCs w:val="0"/>
          <w:iCs w:val="0"/>
          <w:lang w:eastAsia="en-US"/>
        </w:rPr>
      </w:r>
    </w:p>
    <w:p>
      <w:pPr>
        <w:numPr>
          <w:ilvl w:val="0"/>
          <w:numId w:val="26"/>
        </w:numPr>
        <w:pBdr/>
        <w:tabs>
          <w:tab w:val="left" w:leader="none" w:pos="1134"/>
        </w:tabs>
        <w:spacing w:after="160" w:line="259" w:lineRule="auto"/>
        <w:ind/>
        <w:jc w:val="both"/>
        <w:rPr>
          <w:rFonts w:eastAsia="Times New Roman" w:cs="Times New Roman"/>
          <w:b/>
          <w:bCs w:val="0"/>
          <w:iCs w:val="0"/>
          <w:lang w:val="en-US" w:eastAsia="en-US"/>
        </w:rPr>
      </w:pPr>
      <w:r>
        <w:rPr>
          <w:rFonts w:eastAsia="Times New Roman" w:cs="Times New Roman"/>
          <w:b/>
          <w:bCs w:val="0"/>
          <w:iCs w:val="0"/>
          <w:lang w:val="en-US" w:eastAsia="en-US"/>
        </w:rPr>
        <w:t xml:space="preserve">Cerinţe</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privind</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calculul</w:t>
      </w:r>
      <w:r>
        <w:rPr>
          <w:rFonts w:eastAsia="Times New Roman" w:cs="Times New Roman"/>
          <w:b/>
          <w:bCs w:val="0"/>
          <w:iCs w:val="0"/>
          <w:lang w:val="en-US" w:eastAsia="en-US"/>
        </w:rPr>
        <w:t xml:space="preserve"> </w:t>
      </w:r>
      <w:r>
        <w:rPr>
          <w:rFonts w:eastAsia="Times New Roman" w:cs="Times New Roman"/>
          <w:b/>
          <w:bCs w:val="0"/>
          <w:iCs w:val="0"/>
          <w:lang w:val="en-US" w:eastAsia="en-US"/>
        </w:rPr>
        <w:t xml:space="preserve">costului</w:t>
      </w:r>
      <w:r>
        <w:rPr>
          <w:rFonts w:eastAsia="Times New Roman" w:cs="Times New Roman"/>
          <w:b/>
          <w:bCs w:val="0"/>
          <w:iCs w:val="0"/>
          <w:lang w:val="en-US" w:eastAsia="en-US"/>
        </w:rPr>
        <w:t xml:space="preserve">/</w:t>
      </w:r>
      <w:r>
        <w:rPr>
          <w:rFonts w:eastAsia="Times New Roman" w:cs="Times New Roman"/>
          <w:b/>
          <w:bCs w:val="0"/>
          <w:iCs w:val="0"/>
          <w:lang w:val="en-US" w:eastAsia="en-US"/>
        </w:rPr>
        <w:t xml:space="preserve">prețului</w:t>
      </w:r>
      <w:r>
        <w:rPr>
          <w:rFonts w:eastAsia="Times New Roman" w:cs="Times New Roman"/>
          <w:b/>
          <w:bCs w:val="0"/>
          <w:iCs w:val="0"/>
          <w:lang w:val="en-US" w:eastAsia="en-US"/>
        </w:rPr>
      </w:r>
      <w:r>
        <w:rPr>
          <w:rFonts w:eastAsia="Times New Roman" w:cs="Times New Roman"/>
          <w:b/>
          <w:bCs w:val="0"/>
          <w:iCs w:val="0"/>
          <w:lang w:val="en-US" w:eastAsia="en-US"/>
        </w:rPr>
      </w:r>
    </w:p>
    <w:p>
      <w:pPr>
        <w:pBdr/>
        <w:spacing w:after="120"/>
        <w:ind/>
        <w:jc w:val="both"/>
        <w:rPr>
          <w:rFonts w:eastAsia="Times New Roman" w:cs="Times New Roman"/>
          <w:b/>
          <w:i/>
          <w:color w:val="ff0000"/>
          <w:vertAlign w:val="superscript"/>
          <w:lang w:eastAsia="en-US"/>
        </w:rPr>
      </w:pPr>
      <w:r>
        <w:rPr>
          <w:rFonts w:eastAsia="Times New Roman" w:cs="Times New Roman"/>
          <w:bCs w:val="0"/>
          <w:i/>
          <w:iCs w:val="0"/>
          <w:lang w:eastAsia="en-US"/>
        </w:rPr>
        <w:t xml:space="preserve">Prețul unitar ofertat </w:t>
      </w:r>
      <w:r>
        <w:rPr>
          <w:rFonts w:eastAsia="Times New Roman" w:cs="Times New Roman"/>
          <w:i/>
          <w:iCs w:val="0"/>
          <w:lang w:eastAsia="en-US"/>
        </w:rPr>
        <w:t xml:space="preserve">constituie prețul mediu calculat de către ofertant utilizând p</w:t>
      </w:r>
      <w:r>
        <w:rPr>
          <w:rFonts w:eastAsia="Times New Roman" w:cs="Times New Roman"/>
          <w:i/>
          <w:iCs w:val="0"/>
          <w:lang w:eastAsia="en-US"/>
        </w:rPr>
        <w:t xml:space="preserve">rețurile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rFonts w:eastAsia="Times New Roman" w:cs="Times New Roman"/>
          <w:lang w:eastAsia="en-US"/>
        </w:rPr>
        <w:t xml:space="preserve">.</w:t>
      </w:r>
      <w:r>
        <w:rPr>
          <w:rFonts w:eastAsia="Times New Roman" w:cs="Times New Roman"/>
          <w:bCs w:val="0"/>
          <w:i/>
          <w:iCs w:val="0"/>
          <w:lang w:eastAsia="en-US"/>
        </w:rPr>
        <w:t xml:space="preserve"> Prețul unitar va fi calculat conform pct. 46</w:t>
      </w:r>
      <w:r>
        <w:rPr>
          <w:rFonts w:eastAsia="Times New Roman" w:cs="Times New Roman"/>
          <w:bCs w:val="0"/>
          <w:i/>
          <w:iCs w:val="0"/>
          <w:lang w:eastAsia="en-US"/>
        </w:rPr>
        <w:t xml:space="preserve"> lit.a) din</w:t>
      </w:r>
      <w:r>
        <w:rPr>
          <w:rFonts w:eastAsia="Times New Roman" w:cs="Times New Roman"/>
          <w:bCs w:val="0"/>
          <w:i/>
          <w:iCs w:val="0"/>
          <w:lang w:eastAsia="en-US"/>
        </w:rPr>
        <w:t xml:space="preserve"> Documentați</w:t>
      </w:r>
      <w:r>
        <w:rPr>
          <w:rFonts w:eastAsia="Times New Roman" w:cs="Times New Roman"/>
          <w:bCs w:val="0"/>
          <w:i/>
          <w:iCs w:val="0"/>
          <w:lang w:eastAsia="en-US"/>
        </w:rPr>
        <w:t xml:space="preserve">a</w:t>
      </w:r>
      <w:r>
        <w:rPr>
          <w:rFonts w:eastAsia="Times New Roman" w:cs="Times New Roman"/>
          <w:bCs w:val="0"/>
          <w:i/>
          <w:iCs w:val="0"/>
          <w:lang w:eastAsia="en-US"/>
        </w:rPr>
        <w:t xml:space="preserve"> standard </w:t>
      </w:r>
      <w:r>
        <w:rPr>
          <w:rFonts w:eastAsia="Times New Roman" w:cs="Times New Roman"/>
          <w:bCs w:val="0"/>
          <w:i/>
          <w:iCs w:val="0"/>
        </w:rPr>
        <w:t xml:space="preserve">pentru realizarea achizițiilor publice de bunuri și servicii, aprobată prin ordinul Ministrului Finanțelor nr. 115</w:t>
      </w:r>
      <w:r>
        <w:rPr>
          <w:rFonts w:eastAsia="Times New Roman" w:cs="Times New Roman"/>
          <w:bCs w:val="0"/>
          <w:i/>
          <w:iCs w:val="0"/>
        </w:rPr>
        <w:t xml:space="preserve">/</w:t>
      </w:r>
      <w:r>
        <w:rPr>
          <w:rFonts w:eastAsia="Times New Roman" w:cs="Times New Roman"/>
          <w:bCs w:val="0"/>
          <w:i/>
          <w:iCs w:val="0"/>
        </w:rPr>
        <w:t xml:space="preserve">2021, publicată de către autoritatea contractantă.</w:t>
      </w:r>
      <w:r>
        <w:rPr>
          <w:rFonts w:eastAsia="Times New Roman" w:cs="Times New Roman"/>
          <w:b/>
          <w:i/>
          <w:color w:val="ff0000"/>
          <w:vertAlign w:val="superscript"/>
          <w:lang w:eastAsia="en-US"/>
        </w:rPr>
      </w:r>
      <w:r>
        <w:rPr>
          <w:rFonts w:eastAsia="Times New Roman" w:cs="Times New Roman"/>
          <w:b/>
          <w:i/>
          <w:color w:val="ff0000"/>
          <w:vertAlign w:val="superscript"/>
          <w:lang w:eastAsia="en-US"/>
        </w:rPr>
      </w:r>
    </w:p>
    <w:p>
      <w:pPr>
        <w:pBdr/>
        <w:tabs>
          <w:tab w:val="right" w:leader="none" w:pos="284"/>
        </w:tabs>
        <w:spacing w:before="120"/>
        <w:ind w:left="426"/>
        <w:jc w:val="both"/>
        <w:rPr>
          <w:rFonts w:eastAsia="Times New Roman" w:cs="Times New Roman"/>
          <w:b/>
          <w:bCs w:val="0"/>
          <w:iCs w:val="0"/>
          <w:lang w:val="it-IT"/>
        </w:rPr>
      </w:pPr>
      <w:r>
        <w:rPr>
          <w:rFonts w:eastAsia="Times New Roman" w:cs="Times New Roman"/>
          <w:b/>
          <w:bCs w:val="0"/>
          <w:iCs w:val="0"/>
          <w:lang w:val="it-IT"/>
        </w:rPr>
        <w:t xml:space="preserve">Calcularea prețului unitar se efectuează </w:t>
      </w:r>
      <w:r>
        <w:rPr>
          <w:rFonts w:eastAsia="Times New Roman" w:cs="Times New Roman"/>
          <w:b/>
          <w:bCs w:val="0"/>
          <w:iCs w:val="0"/>
          <w:u w:val="single"/>
          <w:lang w:val="it-IT"/>
        </w:rPr>
        <w:t xml:space="preserve">de către operatorii economici</w:t>
      </w:r>
      <w:r>
        <w:rPr>
          <w:rFonts w:eastAsia="Times New Roman" w:cs="Times New Roman"/>
          <w:b/>
          <w:bCs w:val="0"/>
          <w:iCs w:val="0"/>
          <w:lang w:val="it-IT"/>
        </w:rPr>
        <w:t xml:space="preserve"> conform formulei:</w:t>
      </w:r>
      <w:r>
        <w:rPr>
          <w:rFonts w:eastAsia="Times New Roman" w:cs="Times New Roman"/>
          <w:b/>
          <w:bCs w:val="0"/>
          <w:iCs w:val="0"/>
          <w:lang w:val="it-IT"/>
        </w:rPr>
      </w:r>
      <w:r>
        <w:rPr>
          <w:rFonts w:eastAsia="Times New Roman" w:cs="Times New Roman"/>
          <w:b/>
          <w:bCs w:val="0"/>
          <w:iCs w:val="0"/>
          <w:lang w:val="it-IT"/>
        </w:rPr>
      </w:r>
    </w:p>
    <w:p>
      <w:pPr>
        <w:pBdr/>
        <w:tabs>
          <w:tab w:val="right" w:leader="none" w:pos="284"/>
        </w:tabs>
        <w:spacing w:before="120"/>
        <w:ind w:left="426"/>
        <w:rPr>
          <w:rFonts w:eastAsia="Times New Roman" w:cs="Times New Roman"/>
          <w:bCs w:val="0"/>
          <w:iCs w:val="0"/>
          <w:lang w:val="it-IT"/>
        </w:rPr>
      </w:pPr>
      <w:r/>
      <m:oMathPara>
        <m:oMathParaPr/>
        <m:oMath>
          <m:r>
            <w:rPr>
              <w:rFonts w:ascii="Cambria Math" w:hAnsi="Cambria Math" w:eastAsia="Times New Roman" w:cs="Times New Roman"/>
              <w:lang w:eastAsia="en-US"/>
            </w:rPr>
            <m:rPr>
              <m:sty m:val="p"/>
            </m:rPr>
            <m:t>Pu</m:t>
          </m:r>
          <m:r>
            <w:rPr>
              <w:rFonts w:ascii="Cambria Math" w:hAnsi="Cambria Math" w:eastAsia="Times New Roman" w:cs="Times New Roman"/>
              <w:lang w:eastAsia="en-US"/>
            </w:rPr>
            <m:rPr/>
            <m:t>=</m:t>
          </m:r>
          <m:f>
            <m:fPr>
              <m:ctrlPr>
                <w:rPr>
                  <w:rFonts w:ascii="Cambria Math" w:hAnsi="Cambria Math" w:eastAsia="Times New Roman" w:cs="Times New Roman"/>
                  <w:bCs w:val="0"/>
                  <w:iCs w:val="0"/>
                  <w:lang w:eastAsia="en-US"/>
                </w:rPr>
              </m:ctrlPr>
            </m:fPr>
            <m:num>
              <m:d>
                <m:dPr>
                  <m:ctrlPr>
                    <w:rPr>
                      <w:rFonts w:ascii="Cambria Math" w:hAnsi="Cambria Math" w:eastAsia="Times New Roman" w:cs="Cambria Math"/>
                      <w:bCs w:val="0"/>
                      <w:iCs w:val="0"/>
                      <w:lang w:eastAsia="en-US"/>
                    </w:rPr>
                  </m:ctrlPr>
                </m:dPr>
                <m:e>
                  <m:r>
                    <w:rPr>
                      <w:rFonts w:ascii="Cambria Math" w:hAnsi="Cambria Math" w:eastAsia="Times New Roman" w:cs="Cambria Math"/>
                      <w:lang w:eastAsia="en-US"/>
                    </w:rPr>
                    <m:rPr>
                      <m:sty m:val="p"/>
                    </m:rPr>
                    <m:t>M1+M2+…+M15</m:t>
                  </m:r>
                </m:e>
              </m:d>
            </m:num>
            <m:den>
              <m:r>
                <w:rPr>
                  <w:rFonts w:ascii="Cambria Math" w:hAnsi="Cambria Math" w:eastAsia="Times New Roman" w:cs="Times New Roman"/>
                  <w:lang w:eastAsia="en-US"/>
                </w:rPr>
                <m:rPr/>
                <m:t>15</m:t>
              </m:r>
            </m:den>
          </m:f>
          <m:r>
            <w:rPr>
              <w:rFonts w:ascii="Cambria Math" w:hAnsi="Cambria Math" w:eastAsia="Times New Roman" w:cs="Times New Roman"/>
              <w:lang w:eastAsia="en-US"/>
            </w:rPr>
            <m:rPr/>
            <m:t>-D%</m:t>
          </m:r>
        </m:oMath>
      </m:oMathPara>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before="120"/>
        <w:ind w:left="426"/>
        <w:jc w:val="both"/>
        <w:rPr>
          <w:rFonts w:eastAsia="Times New Roman" w:cs="Times New Roman"/>
          <w:bCs w:val="0"/>
          <w:iCs w:val="0"/>
          <w:lang w:val="it-IT"/>
        </w:rPr>
      </w:pPr>
      <w:r>
        <w:rPr>
          <w:rFonts w:eastAsia="Times New Roman" w:cs="Times New Roman"/>
          <w:bCs w:val="0"/>
          <w:iCs w:val="0"/>
          <w:lang w:val="it-IT"/>
        </w:rPr>
        <w:t xml:space="preserve">Unde,</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Pu – reprezintă prețul unitar ofertat;</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M1–reprezintă media prețurilor afișate la</w:t>
      </w:r>
      <w:r>
        <w:rPr>
          <w:rFonts w:eastAsia="Times New Roman" w:cs="Times New Roman"/>
          <w:bCs w:val="0"/>
          <w:iCs w:val="0"/>
          <w:lang w:val="it-IT"/>
        </w:rPr>
        <w:t xml:space="preserve"> toate stațiile din localitatea/regiunea specificată în pct.1 pentru prima zi;</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M2– reprezintă media prețurilor afișate la</w:t>
      </w:r>
      <w:r>
        <w:rPr>
          <w:rFonts w:eastAsia="Times New Roman" w:cs="Times New Roman"/>
          <w:bCs w:val="0"/>
          <w:iCs w:val="0"/>
          <w:lang w:val="it-IT"/>
        </w:rPr>
        <w:t xml:space="preserve"> toate stațiile din localitatea/regiunea specificată în pct.1 pentru a doua zi</w:t>
      </w:r>
      <w:r>
        <w:rPr>
          <w:rFonts w:eastAsia="Times New Roman" w:cs="Times New Roman"/>
          <w:bCs w:val="0"/>
          <w:iCs w:val="0"/>
          <w:lang w:val="it-IT"/>
        </w:rPr>
        <w:t xml:space="preserve">;</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M15– reprezintă media prețurilor afișate la</w:t>
      </w:r>
      <w:r>
        <w:rPr>
          <w:rFonts w:eastAsia="Times New Roman" w:cs="Times New Roman"/>
          <w:bCs w:val="0"/>
          <w:iCs w:val="0"/>
          <w:lang w:val="it-IT"/>
        </w:rPr>
        <w:t xml:space="preserve"> toate stațiile din localitatea/regiunea specificată în pct.1 </w:t>
      </w:r>
      <w:r>
        <w:rPr>
          <w:rFonts w:eastAsia="Times New Roman" w:cs="Times New Roman"/>
          <w:bCs w:val="0"/>
          <w:iCs w:val="0"/>
          <w:lang w:val="it-IT"/>
        </w:rPr>
        <w:t xml:space="preserve">pentru a cincisprezecea zi;</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D% –reprezintă discount-ul aplicat.</w:t>
      </w:r>
      <w:r>
        <w:rPr>
          <w:rFonts w:eastAsia="Times New Roman" w:cs="Times New Roman"/>
          <w:bCs w:val="0"/>
          <w:iCs w:val="0"/>
          <w:lang w:val="it-IT"/>
        </w:rPr>
      </w:r>
      <w:r>
        <w:rPr>
          <w:rFonts w:eastAsia="Times New Roman" w:cs="Times New Roman"/>
          <w:bCs w:val="0"/>
          <w:iCs w:val="0"/>
          <w:lang w:val="it-IT"/>
        </w:rPr>
      </w:r>
    </w:p>
    <w:p>
      <w:pPr>
        <w:pBdr/>
        <w:tabs>
          <w:tab w:val="right" w:leader="none" w:pos="284"/>
        </w:tabs>
        <w:spacing/>
        <w:ind w:left="426"/>
        <w:jc w:val="both"/>
        <w:rPr>
          <w:rFonts w:eastAsia="Times New Roman" w:cs="Times New Roman"/>
          <w:bCs w:val="0"/>
          <w:iCs w:val="0"/>
          <w:lang w:val="it-IT"/>
        </w:rPr>
      </w:pPr>
      <w:r>
        <w:rPr>
          <w:rFonts w:eastAsia="Times New Roman" w:cs="Times New Roman"/>
          <w:bCs w:val="0"/>
          <w:iCs w:val="0"/>
          <w:lang w:val="it-IT"/>
        </w:rPr>
        <w:t xml:space="preserve">Discount-ul este specificat expres în ofertă și ulterior în  contract, rămânînd neschimbat pe întreaga perioadă de valabilitate al acestuia.</w:t>
      </w:r>
      <w:r>
        <w:rPr>
          <w:rFonts w:eastAsia="Times New Roman" w:cs="Times New Roman"/>
          <w:bCs w:val="0"/>
          <w:iCs w:val="0"/>
          <w:lang w:val="it-IT"/>
        </w:rPr>
      </w:r>
      <w:r>
        <w:rPr>
          <w:rFonts w:eastAsia="Times New Roman" w:cs="Times New Roman"/>
          <w:bCs w:val="0"/>
          <w:iCs w:val="0"/>
          <w:lang w:val="it-IT"/>
        </w:rPr>
      </w:r>
    </w:p>
    <w:p>
      <w:pPr>
        <w:pBdr/>
        <w:tabs>
          <w:tab w:val="left" w:leader="none" w:pos="1134"/>
        </w:tabs>
        <w:spacing/>
        <w:ind w:left="1069"/>
        <w:jc w:val="both"/>
        <w:rPr>
          <w:rFonts w:eastAsia="Times New Roman" w:cs="Times New Roman"/>
          <w:b/>
          <w:bCs w:val="0"/>
          <w:iCs w:val="0"/>
          <w:lang w:val="en-US" w:eastAsia="en-US"/>
        </w:rPr>
      </w:pPr>
      <w:r>
        <w:rPr>
          <w:rFonts w:eastAsia="Times New Roman" w:cs="Times New Roman"/>
          <w:b/>
          <w:bCs w:val="0"/>
          <w:iCs w:val="0"/>
          <w:lang w:val="en-US" w:eastAsia="en-US"/>
        </w:rPr>
      </w:r>
      <w:r>
        <w:rPr>
          <w:rFonts w:eastAsia="Times New Roman" w:cs="Times New Roman"/>
          <w:b/>
          <w:bCs w:val="0"/>
          <w:iCs w:val="0"/>
          <w:lang w:val="en-US" w:eastAsia="en-US"/>
        </w:rPr>
      </w:r>
      <w:r>
        <w:rPr>
          <w:rFonts w:eastAsia="Times New Roman" w:cs="Times New Roman"/>
          <w:b/>
          <w:bCs w:val="0"/>
          <w:iCs w:val="0"/>
          <w:lang w:val="en-US" w:eastAsia="en-US"/>
        </w:rPr>
      </w:r>
    </w:p>
    <w:p>
      <w:pPr>
        <w:numPr>
          <w:ilvl w:val="0"/>
          <w:numId w:val="26"/>
        </w:numPr>
        <w:pBdr/>
        <w:tabs>
          <w:tab w:val="left" w:leader="none" w:pos="0"/>
          <w:tab w:val="left" w:leader="none" w:pos="142"/>
          <w:tab w:val="left" w:leader="none" w:pos="1134"/>
        </w:tabs>
        <w:spacing w:after="160" w:line="259" w:lineRule="auto"/>
        <w:ind/>
        <w:jc w:val="both"/>
        <w:rPr>
          <w:rFonts w:eastAsia="Calibri" w:cs="Times New Roman"/>
          <w:b/>
          <w:bCs w:val="0"/>
          <w:iCs w:val="0"/>
          <w:lang w:val="en-US" w:eastAsia="en-US"/>
        </w:rPr>
      </w:pPr>
      <w:r>
        <w:rPr>
          <w:rFonts w:eastAsia="Calibri" w:cs="Times New Roman"/>
          <w:b/>
          <w:bCs w:val="0"/>
          <w:iCs w:val="0"/>
          <w:lang w:val="en-US" w:eastAsia="en-US"/>
        </w:rPr>
        <w:t xml:space="preserve">Cerințe</w:t>
      </w:r>
      <w:r>
        <w:rPr>
          <w:rFonts w:eastAsia="Calibri" w:cs="Times New Roman"/>
          <w:b/>
          <w:bCs w:val="0"/>
          <w:iCs w:val="0"/>
          <w:lang w:val="en-US" w:eastAsia="en-US"/>
        </w:rPr>
        <w:t xml:space="preserve"> </w:t>
      </w:r>
      <w:r>
        <w:rPr>
          <w:rFonts w:eastAsia="Calibri" w:cs="Times New Roman"/>
          <w:b/>
          <w:bCs w:val="0"/>
          <w:iCs w:val="0"/>
          <w:lang w:val="en-US" w:eastAsia="en-US"/>
        </w:rPr>
        <w:t xml:space="preserve">obligatorii</w:t>
      </w:r>
      <w:r>
        <w:rPr>
          <w:rFonts w:eastAsia="Calibri" w:cs="Times New Roman"/>
          <w:b/>
          <w:bCs w:val="0"/>
          <w:iCs w:val="0"/>
          <w:lang w:val="en-US" w:eastAsia="en-US"/>
        </w:rPr>
        <w:t xml:space="preserve">:</w:t>
      </w:r>
      <w:r>
        <w:rPr>
          <w:rFonts w:eastAsia="Calibri" w:cs="Times New Roman"/>
          <w:b/>
          <w:bCs w:val="0"/>
          <w:iCs w:val="0"/>
          <w:lang w:val="en-US" w:eastAsia="en-US"/>
        </w:rPr>
      </w:r>
      <w:r>
        <w:rPr>
          <w:rFonts w:eastAsia="Calibri" w:cs="Times New Roman"/>
          <w:b/>
          <w:bCs w:val="0"/>
          <w:iCs w:val="0"/>
          <w:lang w:val="en-US"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Ofertantul oferă autorității contractante posibilitatea de a achiziționa carburant (fără plată în numerar) prin intermediul cardurilor valorice la stațiile de alimentare ale furnizorului. </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Livrarea cardurilor se face pe baza unei cereri de emitere de card din partea autor</w:t>
      </w:r>
      <w:r>
        <w:rPr>
          <w:rFonts w:eastAsia="Times New Roman" w:cs="Times New Roman"/>
          <w:lang w:val="it-IT" w:eastAsia="en-US"/>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acordă permanent achizitorului posibilitatea accesării on-line a informaţiilor privind</w:t>
      </w:r>
      <w:r>
        <w:rPr>
          <w:rFonts w:eastAsia="Times New Roman" w:cs="Times New Roman"/>
          <w:lang w:val="it-IT" w:eastAsia="en-US"/>
        </w:rPr>
        <w:t xml:space="preserve"> situaţia detaliată a tuturor achiziţiilor de carburant efectuate de către fiecare autovehicul al său. Posibilitatea achizitorului de a obţine la orice staţie de distribuţie pe bază de card, informaţii privind valoarea rămasă pentru fiecare card în parte. </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gestionează lista cardurilor pierdute sau furate şi are obligaţia să blocheze/deblocheze utilizarea acestora în cel mult 24 ore de la solicitarea achizitorului.</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r>
        <w:rPr>
          <w:rFonts w:eastAsia="Times New Roman" w:cs="Times New Roman"/>
          <w:lang w:val="it-IT" w:eastAsia="en-US"/>
        </w:rPr>
      </w:r>
      <w:r>
        <w:rPr>
          <w:rFonts w:eastAsia="Times New Roman" w:cs="Times New Roman"/>
          <w:lang w:val="it-IT" w:eastAsia="en-US"/>
        </w:rPr>
      </w:r>
    </w:p>
    <w:p>
      <w:pPr>
        <w:numPr>
          <w:ilvl w:val="0"/>
          <w:numId w:val="24"/>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Prețul  unui litru de carburant ofertat va fi cel afișat la stațiile de alimentare ale ofertantului cu aplicarea discount-ului ofertat.</w:t>
      </w:r>
      <w:r>
        <w:rPr>
          <w:rFonts w:eastAsia="Times New Roman" w:cs="Times New Roman"/>
          <w:lang w:val="it-IT" w:eastAsia="en-US"/>
        </w:rPr>
      </w:r>
      <w:r>
        <w:rPr>
          <w:rFonts w:eastAsia="Times New Roman" w:cs="Times New Roman"/>
          <w:lang w:val="it-IT" w:eastAsia="en-US"/>
        </w:rPr>
      </w:r>
    </w:p>
    <w:p>
      <w:pPr>
        <w:numPr>
          <w:ilvl w:val="0"/>
          <w:numId w:val="26"/>
        </w:numPr>
        <w:pBdr/>
        <w:tabs>
          <w:tab w:val="left" w:leader="none" w:pos="0"/>
          <w:tab w:val="left" w:leader="none" w:pos="142"/>
          <w:tab w:val="left" w:leader="none" w:pos="1134"/>
        </w:tabs>
        <w:spacing w:after="160" w:line="259" w:lineRule="auto"/>
        <w:ind/>
        <w:jc w:val="both"/>
        <w:rPr>
          <w:rFonts w:eastAsia="Calibri" w:cs="Times New Roman"/>
          <w:b/>
          <w:bCs w:val="0"/>
          <w:iCs w:val="0"/>
          <w:lang w:val="en-US" w:eastAsia="en-US"/>
        </w:rPr>
      </w:pPr>
      <w:r>
        <w:rPr>
          <w:rFonts w:eastAsia="Calibri" w:cs="Times New Roman"/>
          <w:b/>
          <w:bCs w:val="0"/>
          <w:iCs w:val="0"/>
          <w:lang w:val="en-US" w:eastAsia="en-US"/>
        </w:rPr>
        <w:t xml:space="preserve">Furnizorul</w:t>
      </w:r>
      <w:r>
        <w:rPr>
          <w:rFonts w:eastAsia="Calibri" w:cs="Times New Roman"/>
          <w:b/>
          <w:bCs w:val="0"/>
          <w:iCs w:val="0"/>
          <w:lang w:val="en-US" w:eastAsia="en-US"/>
        </w:rPr>
        <w:t xml:space="preserve"> </w:t>
      </w:r>
      <w:r>
        <w:rPr>
          <w:rFonts w:eastAsia="Calibri" w:cs="Times New Roman"/>
          <w:b/>
          <w:bCs w:val="0"/>
          <w:iCs w:val="0"/>
          <w:lang w:val="en-US" w:eastAsia="en-US"/>
        </w:rPr>
        <w:t xml:space="preserve">va</w:t>
      </w:r>
      <w:r>
        <w:rPr>
          <w:rFonts w:eastAsia="Calibri" w:cs="Times New Roman"/>
          <w:b/>
          <w:bCs w:val="0"/>
          <w:iCs w:val="0"/>
          <w:lang w:val="en-US" w:eastAsia="en-US"/>
        </w:rPr>
        <w:t xml:space="preserve"> </w:t>
      </w:r>
      <w:r>
        <w:rPr>
          <w:rFonts w:eastAsia="Calibri" w:cs="Times New Roman"/>
          <w:b/>
          <w:bCs w:val="0"/>
          <w:iCs w:val="0"/>
          <w:lang w:val="en-US" w:eastAsia="en-US"/>
        </w:rPr>
        <w:t xml:space="preserve">asigura</w:t>
      </w:r>
      <w:r>
        <w:rPr>
          <w:rFonts w:eastAsia="Calibri" w:cs="Times New Roman"/>
          <w:b/>
          <w:bCs w:val="0"/>
          <w:iCs w:val="0"/>
          <w:lang w:val="en-US" w:eastAsia="en-US"/>
        </w:rPr>
        <w:t xml:space="preserve">:</w:t>
      </w:r>
      <w:r>
        <w:rPr>
          <w:rFonts w:eastAsia="Calibri" w:cs="Times New Roman"/>
          <w:b/>
          <w:bCs w:val="0"/>
          <w:iCs w:val="0"/>
          <w:lang w:val="en-US" w:eastAsia="en-US"/>
        </w:rPr>
      </w:r>
      <w:r>
        <w:rPr>
          <w:rFonts w:eastAsia="Calibri" w:cs="Times New Roman"/>
          <w:b/>
          <w:bCs w:val="0"/>
          <w:iCs w:val="0"/>
          <w:lang w:val="en-US"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b w:val="0"/>
          <w:bCs w:val="0"/>
        </w:rPr>
      </w:pPr>
      <w:r>
        <w:rPr>
          <w:rFonts w:eastAsia="Times New Roman" w:cs="Times New Roman"/>
          <w:lang w:val="it-IT" w:eastAsia="en-US"/>
        </w:rPr>
        <w:t xml:space="preserve">Furnizorul asigură personalizarea cardurilor pe fiecare autovehicul</w:t>
      </w:r>
      <w:r>
        <w:rPr>
          <w:b/>
          <w:bCs/>
          <w:lang w:val="ro-RO"/>
        </w:rPr>
        <w:t xml:space="preserve"> </w:t>
      </w:r>
      <w:r>
        <w:rPr>
          <w:b/>
          <w:bCs/>
          <w:lang w:val="it-IT" w:eastAsia="ru-RU"/>
        </w:rPr>
        <w:t xml:space="preserve"> </w:t>
      </w:r>
      <w:r>
        <w:rPr>
          <w:b w:val="0"/>
          <w:bCs w:val="0"/>
          <w:lang w:val="it-IT" w:eastAsia="ru-RU"/>
        </w:rPr>
        <w:t xml:space="preserve">cu posibilitatea de a alimenta automobilele în toate staţiile ofertantului. Cardurile vor fi personalizate pe numele achizitorului, respectiv ”ATAS </w:t>
      </w:r>
      <w:r>
        <w:rPr>
          <w:b w:val="0"/>
          <w:bCs w:val="0"/>
          <w:lang w:val="ro-RO"/>
        </w:rPr>
        <w:t xml:space="preserve">Centru-Vest</w:t>
      </w:r>
      <w:r>
        <w:rPr>
          <w:b w:val="0"/>
          <w:bCs w:val="0"/>
          <w:lang w:val="it-IT" w:eastAsia="ru-RU"/>
        </w:rPr>
        <w:t xml:space="preserve">” şi pe numărul de înmatriculare al autoturismului, care vor conferi utilizatorului dreptul </w:t>
      </w:r>
      <w:r>
        <w:rPr>
          <w:b w:val="0"/>
          <w:bCs w:val="0"/>
          <w:lang w:val="it-IT" w:eastAsia="ru-RU"/>
        </w:rPr>
        <w:t xml:space="preserve">de alimentare numai pentru autovehicolul al cărui număr de înmatriculare este menţionat pe card. În decurs de 2 zile, conform necesităților</w:t>
      </w:r>
      <w:r>
        <w:rPr>
          <w:b w:val="0"/>
          <w:bCs w:val="0"/>
          <w:lang w:val="ro-RO"/>
        </w:rPr>
        <w:t xml:space="preserve"> </w:t>
      </w:r>
      <w:r>
        <w:rPr>
          <w:b w:val="0"/>
          <w:bCs w:val="0"/>
          <w:lang w:val="it-IT" w:eastAsia="ru-RU"/>
        </w:rPr>
        <w:t xml:space="preserve">reale ale cumpărătorului. Operatorul Economic trebuie sa aibă stații de alimentare în orașele </w:t>
      </w:r>
      <w:r>
        <w:rPr>
          <w:b w:val="0"/>
          <w:bCs w:val="0"/>
          <w:lang w:val="ro-RO"/>
        </w:rPr>
        <w:t xml:space="preserve">Ungheni</w:t>
      </w:r>
      <w:r>
        <w:rPr>
          <w:b w:val="0"/>
          <w:bCs w:val="0"/>
          <w:lang w:val="it-IT" w:eastAsia="ru-RU"/>
        </w:rPr>
        <w:t xml:space="preserve">, </w:t>
      </w:r>
      <w:r>
        <w:rPr>
          <w:b w:val="0"/>
          <w:bCs w:val="0"/>
          <w:lang w:val="ro-RO"/>
        </w:rPr>
        <w:t xml:space="preserve">Nisporeni</w:t>
      </w:r>
      <w:r>
        <w:rPr>
          <w:b w:val="0"/>
          <w:bCs w:val="0"/>
          <w:lang w:val="it-IT" w:eastAsia="ru-RU"/>
        </w:rPr>
        <w:t xml:space="preserve">, </w:t>
      </w:r>
      <w:r>
        <w:rPr>
          <w:b w:val="0"/>
          <w:bCs w:val="0"/>
          <w:lang w:val="ro-RO"/>
        </w:rPr>
        <w:t xml:space="preserve">Călărași </w:t>
      </w:r>
      <w:r>
        <w:rPr>
          <w:b w:val="0"/>
          <w:bCs w:val="0"/>
          <w:lang w:val="it-IT" w:eastAsia="ru-RU"/>
        </w:rPr>
        <w:t xml:space="preserve">și mun. Chișinău.</w:t>
      </w:r>
      <w:r>
        <w:rPr>
          <w:rFonts w:eastAsia="Times New Roman" w:cs="Times New Roman"/>
          <w:b w:val="0"/>
          <w:bCs w:val="0"/>
          <w:lang w:val="it-IT" w:eastAsia="en-US"/>
        </w:rPr>
      </w:r>
      <w:r>
        <w:rPr>
          <w:rFonts w:eastAsia="Times New Roman" w:cs="Times New Roman"/>
          <w:b w:val="0"/>
          <w:bCs w:val="0"/>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specifică dacă toate cardurile sunt acceptate la toate stațiile PECO situate în localitățile menționate în documentația de atribuire. </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Furnizorul pune la dispoziţia achizitorului instrucţiuni de folosire a cardului. </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709"/>
          <w:tab w:val="left" w:leader="none" w:pos="993"/>
          <w:tab w:val="left" w:leader="none" w:pos="1134"/>
        </w:tabs>
        <w:spacing w:after="120" w:line="259" w:lineRule="auto"/>
        <w:ind/>
        <w:jc w:val="both"/>
        <w:rPr>
          <w:rFonts w:eastAsia="Times New Roman" w:cs="Times New Roman"/>
          <w:lang w:val="it-IT" w:eastAsia="en-US"/>
        </w:rPr>
      </w:pPr>
      <w:r>
        <w:rPr>
          <w:rFonts w:eastAsia="Times New Roman" w:cs="Times New Roman"/>
          <w:lang w:val="it-IT" w:eastAsia="en-US"/>
        </w:rPr>
        <w:t xml:space="preserve">Autoritatea contractantă își rezervă dreptul de a mări sau micșora numărul de carduri și de a suplimenta sau diminua cantitatea de carburanți în baza prevederilor normative.</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1134"/>
        </w:tabs>
        <w:spacing w:after="240" w:line="259" w:lineRule="auto"/>
        <w:ind/>
        <w:jc w:val="both"/>
        <w:rPr>
          <w:rFonts w:eastAsia="Times New Roman" w:cs="Times New Roman"/>
          <w:lang w:val="it-IT" w:eastAsia="en-US"/>
        </w:rPr>
      </w:pPr>
      <w:r>
        <w:rPr>
          <w:rFonts w:eastAsia="Times New Roman" w:cs="Times New Roman"/>
          <w:lang w:val="it-IT" w:eastAsia="en-US"/>
        </w:rPr>
        <w:t xml:space="preserve">Furnizorul asigură autorității contractante posibilitatea de a stabili limite individuale valorice pentru fiecare card, inclusiv de a le modifica în sensul majorării sau micșorării acestora.</w:t>
      </w:r>
      <w:r>
        <w:rPr>
          <w:rFonts w:eastAsia="Times New Roman" w:cs="Times New Roman"/>
          <w:lang w:val="it-IT" w:eastAsia="en-US"/>
        </w:rPr>
      </w:r>
      <w:r>
        <w:rPr>
          <w:rFonts w:eastAsia="Times New Roman" w:cs="Times New Roman"/>
          <w:lang w:val="it-IT" w:eastAsia="en-US"/>
        </w:rPr>
      </w:r>
    </w:p>
    <w:p>
      <w:pPr>
        <w:numPr>
          <w:ilvl w:val="0"/>
          <w:numId w:val="25"/>
        </w:numPr>
        <w:pBdr/>
        <w:tabs>
          <w:tab w:val="left" w:leader="none" w:pos="1134"/>
        </w:tabs>
        <w:spacing w:after="160" w:line="259" w:lineRule="auto"/>
        <w:ind/>
        <w:jc w:val="both"/>
        <w:rPr>
          <w:rFonts w:eastAsia="Times New Roman" w:cs="Times New Roman"/>
          <w:lang w:eastAsia="en-US"/>
        </w:rPr>
      </w:pPr>
      <w:r>
        <w:rPr>
          <w:rFonts w:eastAsia="Times New Roman" w:cs="Times New Roman"/>
          <w:lang w:val="it-IT" w:eastAsia="en-US"/>
        </w:rPr>
        <w:t xml:space="preserve">Furnizorul facturează contravaloarea produselor la sfârșitul fiecărei luni, pentru consumul efectuat, conform unei centralizări cu cantitatea alimentată pe fiecare autovehicul în parte. Factura af</w:t>
      </w:r>
      <w:r>
        <w:rPr>
          <w:rFonts w:eastAsia="Times New Roman" w:cs="Times New Roman"/>
          <w:lang w:val="it-IT" w:eastAsia="en-US"/>
        </w:rPr>
        <w:t xml:space="preserve">erentă consumului înregistrat pe fiecare card în parte este însoțită de un raport de consum care conține informații detaliate cu privire la tranzacțiile efectuate pe fiecare card și mașină, locație, dată, ora alimentării, tipul carburantului și, după caz, </w:t>
      </w:r>
      <w:r>
        <w:rPr>
          <w:rFonts w:eastAsia="Times New Roman" w:cs="Times New Roman"/>
          <w:lang w:eastAsia="en-US"/>
        </w:rPr>
        <w:t xml:space="preserve">subtotalul</w:t>
      </w:r>
      <w:r>
        <w:rPr>
          <w:rFonts w:eastAsia="Times New Roman" w:cs="Times New Roman"/>
          <w:lang w:eastAsia="en-US"/>
        </w:rPr>
        <w:t xml:space="preserve"> cardului și totalul general de carburant după fiecare tranzacție.</w:t>
      </w:r>
      <w:r>
        <w:rPr>
          <w:rFonts w:eastAsia="Times New Roman" w:cs="Times New Roman"/>
          <w:lang w:eastAsia="en-US"/>
        </w:rPr>
      </w:r>
      <w:r>
        <w:rPr>
          <w:rFonts w:eastAsia="Times New Roman" w:cs="Times New Roman"/>
          <w:lang w:eastAsia="en-US"/>
        </w:rPr>
      </w:r>
    </w:p>
    <w:p>
      <w:pPr>
        <w:pBdr/>
        <w:spacing/>
        <w:ind w:firstLine="709"/>
        <w:jc w:val="both"/>
        <w:rPr/>
      </w:pPr>
      <w:r/>
      <w:r/>
    </w:p>
    <w:p>
      <w:pPr>
        <w:pBdr/>
        <w:spacing/>
        <w:ind w:firstLine="709"/>
        <w:jc w:val="both"/>
        <w:rPr>
          <w:b/>
        </w:rPr>
      </w:pPr>
      <w:r>
        <w:rPr>
          <w:b/>
        </w:rPr>
        <w:t xml:space="preserve">9. Documente obligatorii la depunerea ofertei</w:t>
      </w:r>
      <w:r>
        <w:rPr>
          <w:b/>
        </w:rPr>
      </w:r>
      <w:r>
        <w:rPr>
          <w:b/>
        </w:rPr>
      </w:r>
    </w:p>
    <w:tbl>
      <w:tblPr>
        <w:tblStyle w:val="1065"/>
        <w:tblW w:w="0" w:type="auto"/>
        <w:tblBorders/>
        <w:tblLook w:val="04A0" w:firstRow="1" w:lastRow="0" w:firstColumn="1" w:lastColumn="0" w:noHBand="0" w:noVBand="1"/>
      </w:tblPr>
      <w:tblGrid>
        <w:gridCol w:w="560"/>
        <w:gridCol w:w="3391"/>
        <w:gridCol w:w="3209"/>
        <w:gridCol w:w="1595"/>
      </w:tblGrid>
      <w:tr>
        <w:trPr/>
        <w:tc>
          <w:tcPr>
            <w:shd w:val="clear" w:color="ffffff" w:fill="ffffff"/>
            <w:tcBorders/>
            <w:tcW w:w="560" w:type="dxa"/>
            <w:textDirection w:val="lrTb"/>
            <w:noWrap w:val="false"/>
          </w:tcPr>
          <w:p>
            <w:pPr>
              <w:pBdr/>
              <w:shd w:val="clear" w:color="auto" w:fill="ffffff" w:themeFill="background1"/>
              <w:tabs>
                <w:tab w:val="left" w:leader="none" w:pos="612"/>
              </w:tabs>
              <w:spacing w:after="120" w:before="120"/>
              <w:ind/>
              <w:rPr>
                <w:bCs/>
                <w:iCs/>
                <w:sz w:val="20"/>
                <w:szCs w:val="20"/>
                <w:lang w:val="ru-RU" w:eastAsia="ru-RU"/>
              </w:rPr>
            </w:pPr>
            <w:r>
              <w:rPr>
                <w:bCs/>
                <w:iCs/>
                <w:sz w:val="20"/>
                <w:szCs w:val="20"/>
                <w:lang w:val="ru-RU" w:eastAsia="ru-RU"/>
              </w:rPr>
              <w:t xml:space="preserve">Nr. d/o</w:t>
            </w:r>
            <w:r>
              <w:rPr>
                <w:bCs/>
                <w:iCs/>
                <w:sz w:val="20"/>
                <w:szCs w:val="20"/>
                <w:lang w:val="ru-RU" w:eastAsia="ru-RU"/>
              </w:rPr>
            </w:r>
            <w:r>
              <w:rPr>
                <w:bCs/>
                <w:iCs/>
                <w:sz w:val="20"/>
                <w:szCs w:val="20"/>
                <w:lang w:val="ru-RU" w:eastAsia="ru-RU"/>
              </w:rPr>
            </w:r>
          </w:p>
        </w:tc>
        <w:tc>
          <w:tcPr>
            <w:shd w:val="clear" w:color="ffffff" w:fill="ffffff"/>
            <w:tcBorders/>
            <w:tcW w:w="3391" w:type="dxa"/>
            <w:textDirection w:val="lrTb"/>
            <w:noWrap w:val="false"/>
          </w:tcPr>
          <w:p>
            <w:pPr>
              <w:pBdr/>
              <w:shd w:val="clear" w:color="auto" w:fill="ffffff" w:themeFill="background1"/>
              <w:tabs>
                <w:tab w:val="left" w:leader="none" w:pos="612"/>
              </w:tabs>
              <w:spacing w:after="120" w:before="120"/>
              <w:ind/>
              <w:jc w:val="center"/>
              <w:rPr>
                <w:bCs/>
                <w:iCs/>
                <w:sz w:val="20"/>
                <w:szCs w:val="20"/>
                <w:lang w:eastAsia="ru-RU"/>
              </w:rPr>
            </w:pPr>
            <w:r>
              <w:rPr>
                <w:bCs/>
                <w:iCs/>
                <w:sz w:val="20"/>
                <w:szCs w:val="20"/>
                <w:lang w:eastAsia="ru-RU"/>
              </w:rPr>
              <w:t xml:space="preserve">Criteriile de calificare și de selecție</w:t>
            </w:r>
            <w:r>
              <w:rPr>
                <w:bCs/>
                <w:iCs/>
                <w:sz w:val="20"/>
                <w:szCs w:val="20"/>
                <w:lang w:eastAsia="ru-RU"/>
              </w:rPr>
            </w:r>
            <w:r>
              <w:rPr>
                <w:bCs/>
                <w:iCs/>
                <w:sz w:val="20"/>
                <w:szCs w:val="20"/>
                <w:lang w:eastAsia="ru-RU"/>
              </w:rPr>
            </w:r>
          </w:p>
          <w:p>
            <w:pPr>
              <w:pBdr/>
              <w:shd w:val="clear" w:color="auto" w:fill="ffffff" w:themeFill="background1"/>
              <w:tabs>
                <w:tab w:val="left" w:leader="none" w:pos="612"/>
              </w:tabs>
              <w:spacing w:after="120" w:before="120"/>
              <w:ind/>
              <w:jc w:val="center"/>
              <w:rPr>
                <w:bCs/>
                <w:iCs/>
                <w:sz w:val="20"/>
                <w:szCs w:val="20"/>
                <w:lang w:val="en-GB" w:eastAsia="ru-RU"/>
              </w:rPr>
            </w:pPr>
            <w:r>
              <w:rPr>
                <w:bCs/>
                <w:iCs/>
                <w:sz w:val="20"/>
                <w:szCs w:val="20"/>
                <w:lang w:val="en-GB" w:eastAsia="ru-RU"/>
              </w:rPr>
              <w:t xml:space="preserve">(Descrierea</w:t>
            </w:r>
            <w:r>
              <w:rPr>
                <w:bCs/>
                <w:iCs/>
                <w:sz w:val="20"/>
                <w:szCs w:val="20"/>
                <w:lang w:eastAsia="ru-RU"/>
              </w:rPr>
              <w:t xml:space="preserve"> </w:t>
            </w:r>
            <w:r>
              <w:rPr>
                <w:bCs/>
                <w:iCs/>
                <w:sz w:val="20"/>
                <w:szCs w:val="20"/>
                <w:lang w:val="en-GB" w:eastAsia="ru-RU"/>
              </w:rPr>
              <w:t xml:space="preserve">criteriului/cerinței)</w:t>
            </w:r>
            <w:r>
              <w:rPr>
                <w:bCs/>
                <w:iCs/>
                <w:sz w:val="20"/>
                <w:szCs w:val="20"/>
                <w:lang w:val="en-GB" w:eastAsia="ru-RU"/>
              </w:rPr>
            </w:r>
            <w:r>
              <w:rPr>
                <w:bCs/>
                <w:iCs/>
                <w:sz w:val="20"/>
                <w:szCs w:val="20"/>
                <w:lang w:val="en-GB" w:eastAsia="ru-RU"/>
              </w:rPr>
            </w:r>
          </w:p>
        </w:tc>
        <w:tc>
          <w:tcPr>
            <w:shd w:val="clear" w:color="ffffff" w:fill="ffffff"/>
            <w:tcBorders/>
            <w:tcW w:w="3209" w:type="dxa"/>
            <w:textDirection w:val="lrTb"/>
            <w:noWrap w:val="false"/>
          </w:tcPr>
          <w:p>
            <w:pPr>
              <w:pBdr/>
              <w:shd w:val="clear" w:color="auto" w:fill="ffffff" w:themeFill="background1"/>
              <w:tabs>
                <w:tab w:val="left" w:leader="none" w:pos="612"/>
              </w:tabs>
              <w:spacing w:after="120" w:before="120"/>
              <w:ind/>
              <w:jc w:val="center"/>
              <w:rPr>
                <w:bCs/>
                <w:iCs/>
                <w:sz w:val="20"/>
                <w:szCs w:val="20"/>
                <w:lang w:val="it-IT" w:eastAsia="ru-RU"/>
              </w:rPr>
            </w:pPr>
            <w:r>
              <w:rPr>
                <w:bCs/>
                <w:iCs/>
                <w:sz w:val="20"/>
                <w:szCs w:val="20"/>
                <w:lang w:val="it-IT" w:eastAsia="ru-RU"/>
              </w:rPr>
              <w:t xml:space="preserve">Mod de demonstrare a îndeplinirii criteriului/cerinței:</w:t>
            </w:r>
            <w:r>
              <w:rPr>
                <w:bCs/>
                <w:iCs/>
                <w:sz w:val="20"/>
                <w:szCs w:val="20"/>
                <w:lang w:val="it-IT" w:eastAsia="ru-RU"/>
              </w:rPr>
            </w:r>
            <w:r>
              <w:rPr>
                <w:bCs/>
                <w:iCs/>
                <w:sz w:val="20"/>
                <w:szCs w:val="20"/>
                <w:lang w:val="it-IT" w:eastAsia="ru-RU"/>
              </w:rPr>
            </w:r>
          </w:p>
        </w:tc>
        <w:tc>
          <w:tcPr>
            <w:shd w:val="clear" w:color="ffffff" w:fill="ffffff"/>
            <w:tcBorders/>
            <w:tcW w:w="1595" w:type="dxa"/>
            <w:textDirection w:val="lrTb"/>
            <w:noWrap w:val="false"/>
          </w:tcPr>
          <w:p>
            <w:pPr>
              <w:pBdr/>
              <w:shd w:val="clear" w:color="auto" w:fill="ffffff" w:themeFill="background1"/>
              <w:tabs>
                <w:tab w:val="left" w:leader="none" w:pos="612"/>
              </w:tabs>
              <w:spacing w:after="120" w:before="120"/>
              <w:ind/>
              <w:jc w:val="center"/>
              <w:rPr>
                <w:bCs/>
                <w:iCs/>
                <w:sz w:val="20"/>
                <w:szCs w:val="20"/>
                <w:lang w:val="ru-RU" w:eastAsia="ru-RU"/>
              </w:rPr>
            </w:pPr>
            <w:r>
              <w:rPr>
                <w:bCs/>
                <w:iCs/>
                <w:sz w:val="20"/>
                <w:szCs w:val="20"/>
                <w:lang w:val="ru-RU" w:eastAsia="ru-RU"/>
              </w:rPr>
              <w:t xml:space="preserve">Nivelul</w:t>
            </w:r>
            <w:r>
              <w:rPr>
                <w:bCs/>
                <w:iCs/>
                <w:sz w:val="20"/>
                <w:szCs w:val="20"/>
                <w:lang w:eastAsia="ru-RU"/>
              </w:rPr>
              <w:t xml:space="preserve"> </w:t>
            </w:r>
            <w:r>
              <w:rPr>
                <w:bCs/>
                <w:iCs/>
                <w:sz w:val="20"/>
                <w:szCs w:val="20"/>
                <w:lang w:val="ru-RU" w:eastAsia="ru-RU"/>
              </w:rPr>
              <w:t xml:space="preserve">minim/</w:t>
            </w:r>
            <w:r>
              <w:rPr>
                <w:bCs/>
                <w:iCs/>
                <w:sz w:val="20"/>
                <w:szCs w:val="20"/>
                <w:lang w:val="ru-RU" w:eastAsia="ru-RU"/>
              </w:rPr>
              <w:br/>
              <w:t xml:space="preserve">Obligativitatea</w:t>
            </w:r>
            <w:r>
              <w:rPr>
                <w:bCs/>
                <w:iCs/>
                <w:sz w:val="20"/>
                <w:szCs w:val="20"/>
                <w:lang w:val="ru-RU" w:eastAsia="ru-RU"/>
              </w:rPr>
            </w:r>
            <w:r>
              <w:rPr>
                <w:bCs/>
                <w:iCs/>
                <w:sz w:val="20"/>
                <w:szCs w:val="20"/>
                <w:lang w:val="ru-RU" w:eastAsia="ru-RU"/>
              </w:rPr>
            </w:r>
          </w:p>
        </w:tc>
      </w:tr>
      <w:tr>
        <w:trPr/>
        <w:tc>
          <w:tcPr>
            <w:shd w:val="clear" w:color="ffffff" w:fill="ffffff"/>
            <w:tcBorders/>
            <w:tcW w:w="560" w:type="dxa"/>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w:t>
            </w:r>
            <w:r>
              <w:rPr>
                <w:bCs/>
                <w:iCs/>
                <w:lang w:val="ru-RU" w:eastAsia="ru-RU"/>
              </w:rPr>
            </w:r>
            <w:r>
              <w:rPr>
                <w:bCs/>
                <w:iCs/>
                <w:lang w:val="ru-RU" w:eastAsia="ru-RU"/>
              </w:rPr>
            </w:r>
          </w:p>
        </w:tc>
        <w:tc>
          <w:tcPr>
            <w:shd w:val="clear" w:color="ffffff" w:fill="ffffff"/>
            <w:tcBorders/>
            <w:tcW w:w="3391"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Formularul DUAE</w:t>
            </w:r>
            <w:r>
              <w:rPr>
                <w:bCs/>
                <w:iCs/>
                <w:lang w:val="ru-RU" w:eastAsia="ru-RU"/>
              </w:rPr>
            </w:r>
            <w:r>
              <w:rPr>
                <w:bCs/>
                <w:iCs/>
                <w:lang w:val="ru-RU" w:eastAsia="ru-RU"/>
              </w:rPr>
            </w:r>
          </w:p>
        </w:tc>
        <w:tc>
          <w:tcPr>
            <w:shd w:val="clear" w:color="ffffff" w:fill="ffffff"/>
            <w:tcBorders/>
            <w:tcW w:w="3209"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Original, completat și confirmat prin aplicarea semnăturii electronice a participantului *(se va prezenta la</w:t>
            </w:r>
            <w:r>
              <w:rPr>
                <w:bCs/>
                <w:iCs/>
                <w:lang w:val="ro-RO"/>
              </w:rPr>
              <w:t xml:space="preserve"> </w:t>
            </w:r>
            <w:r>
              <w:rPr>
                <w:bCs/>
                <w:iCs/>
                <w:lang w:val="ru-RU" w:eastAsia="ru-RU"/>
              </w:rPr>
              <w:t xml:space="preserve">depunerea ofertei de către toți ofertanți)</w:t>
            </w:r>
            <w:r>
              <w:rPr>
                <w:bCs/>
                <w:iCs/>
                <w:lang w:val="ru-RU" w:eastAsia="ru-RU"/>
              </w:rPr>
            </w:r>
            <w:r>
              <w:rPr>
                <w:bCs/>
                <w:iCs/>
                <w:lang w:val="ru-RU" w:eastAsia="ru-RU"/>
              </w:rPr>
            </w:r>
          </w:p>
        </w:tc>
        <w:tc>
          <w:tcPr>
            <w:shd w:val="clear" w:color="ffffff" w:fill="ffffff"/>
            <w:tcBorders/>
            <w:tcW w:w="1595" w:type="dxa"/>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2</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tehnică</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nr.22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3</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Oferta de preț</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nr.23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4</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Cerere de participare la procedura de achiziție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nr.7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5</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Declaraţie privind confirmarea identității beneficiarilor efectivi și neîncadrarea acestora în</w:t>
            </w:r>
            <w:r>
              <w:rPr>
                <w:bCs/>
                <w:iCs/>
                <w:lang w:val="ro-RO"/>
              </w:rPr>
              <w:t xml:space="preserve"> </w:t>
            </w:r>
            <w:r>
              <w:rPr>
                <w:bCs/>
                <w:iCs/>
                <w:lang w:val="ru-RU" w:eastAsia="ru-RU"/>
              </w:rPr>
              <w:t xml:space="preserve">situația condamnării pentru participarea la activităţi ale unei organizaţii sau grupări</w:t>
            </w:r>
            <w:r>
              <w:rPr>
                <w:bCs/>
                <w:iCs/>
                <w:lang w:val="ro-RO"/>
              </w:rPr>
              <w:t xml:space="preserve"> </w:t>
            </w:r>
            <w:r>
              <w:rPr>
                <w:bCs/>
                <w:iCs/>
                <w:lang w:val="ru-RU" w:eastAsia="ru-RU"/>
              </w:rPr>
              <w:t xml:space="preserve">criminale, pentru corupţie, fraudă şi/sau spălare de bani.</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Conform Ordinul Ministrului Finanțelor nr. 145 din 24 noiembrie 2020. Completată și semnată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6</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Certificat de efectuare sistematică a plăților</w:t>
            </w:r>
            <w:r>
              <w:rPr>
                <w:bCs/>
                <w:iCs/>
                <w:lang w:val="ro-RO"/>
              </w:rPr>
              <w:t xml:space="preserve"> </w:t>
            </w:r>
            <w:r>
              <w:rPr>
                <w:bCs/>
                <w:iCs/>
                <w:lang w:val="ru-RU" w:eastAsia="ru-RU"/>
              </w:rPr>
              <w:t xml:space="preserve">impozitelor, contribuțiilor</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 – eliberat de Inspectoratul Fiscal (valabilitatea certificatului – 15 zile din data eliberării); confirmat prin semnatura electronică a participantului *</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7</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atribuire a contului bancar</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banca deținătoare de cont-semnat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8</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Extras din Registru de Stat a persoanei juridice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9</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Declarația privind valabilitatea ofertei</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Anexa nr.8 din Documentația Standard pentru realizarea achizițiilor publice de bunuri și servicii aprobată prin ord.Ministerului Finanțelor nr.115 din 15.09.2021,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u-RU" w:eastAsia="ru-RU"/>
              </w:rPr>
            </w:pPr>
            <w:r>
              <w:rPr>
                <w:bCs/>
                <w:iCs/>
                <w:lang w:val="ro-RO"/>
              </w:rPr>
              <w:t xml:space="preserve">10</w:t>
            </w:r>
            <w:r>
              <w:rPr>
                <w:bCs/>
                <w:iCs/>
                <w:lang w:val="ru-RU" w:eastAsia="ru-RU"/>
              </w:rPr>
            </w:r>
            <w:r>
              <w:rPr>
                <w:bCs/>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Certificat de conformitate ce confirmă calitatea bunurilor oferite</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Copie-eliberat de Organismul abilitat- semnat electronic de către operatorul economic</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11</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Prezentarea actului ce atestă dreptul de a</w:t>
            </w:r>
            <w:r>
              <w:rPr>
                <w:bCs/>
                <w:iCs/>
                <w:lang w:val="ro-RO"/>
              </w:rPr>
              <w:t xml:space="preserve"> </w:t>
            </w:r>
            <w:r>
              <w:rPr>
                <w:bCs/>
                <w:iCs/>
                <w:lang w:val="ru-RU" w:eastAsia="ru-RU"/>
              </w:rPr>
              <w:t xml:space="preserve">comercializa benzină / motorină</w:t>
            </w:r>
            <w:r>
              <w:rPr>
                <w:bCs/>
                <w:iCs/>
                <w:lang w:val="ro-RO"/>
              </w:rPr>
              <w:t xml:space="preserve"> / gaz lichefiat GPL </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Copia Licenței de activitate și/sau Autorizația</w:t>
            </w:r>
            <w:r>
              <w:rPr>
                <w:bCs/>
                <w:iCs/>
                <w:lang w:val="ro-RO"/>
              </w:rPr>
              <w:t xml:space="preserve"> </w:t>
            </w:r>
            <w:r>
              <w:rPr>
                <w:bCs/>
                <w:iCs/>
                <w:lang w:val="ru-RU" w:eastAsia="ru-RU"/>
              </w:rPr>
              <w:t xml:space="preserve">de funcționare confirmat prin ștampilei și</w:t>
            </w:r>
            <w:r>
              <w:rPr>
                <w:bCs/>
                <w:iCs/>
                <w:lang w:val="ro-RO"/>
              </w:rPr>
              <w:t xml:space="preserve"> </w:t>
            </w:r>
            <w:r>
              <w:rPr>
                <w:bCs/>
                <w:iCs/>
                <w:lang w:val="ru-RU" w:eastAsia="ru-RU"/>
              </w:rPr>
              <w:t xml:space="preserve">semnăturii Participantului.</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12</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t xml:space="preserve">Lista staţiilor de alimentare pentru care</w:t>
            </w:r>
            <w:r>
              <w:rPr>
                <w:bCs/>
                <w:iCs/>
                <w:lang w:val="ro-RO"/>
              </w:rPr>
              <w:t xml:space="preserve"> </w:t>
            </w:r>
            <w:r>
              <w:rPr>
                <w:bCs/>
                <w:iCs/>
                <w:lang w:val="ru-RU" w:eastAsia="ru-RU"/>
              </w:rPr>
              <w:t xml:space="preserve">este propusă oferta</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Original semnat electronic de către participant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jc w:val="center"/>
              <w:rPr>
                <w:bCs/>
                <w:iCs/>
                <w:lang w:val="ro-RO"/>
              </w:rPr>
            </w:pPr>
            <w:r>
              <w:rPr>
                <w:bCs/>
                <w:iCs/>
                <w:lang w:val="ro-RO"/>
              </w:rPr>
              <w:t xml:space="preserve">13</w:t>
            </w:r>
            <w:r>
              <w:rPr>
                <w:bCs/>
                <w:iCs/>
                <w:lang w:val="ro-RO"/>
              </w:rPr>
            </w:r>
            <w:r>
              <w:rPr>
                <w:bCs/>
                <w:iCs/>
                <w:lang w:val="ro-RO"/>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Prezentarea de dovezi privind conformitatea produselor, identificată prin referire la specificaţii sau standarde relevante. </w:t>
            </w:r>
            <w:r>
              <w:rPr>
                <w:bCs/>
                <w:iCs/>
                <w:lang w:val="ru-RU" w:eastAsia="ru-RU"/>
              </w:rPr>
            </w:r>
            <w:r>
              <w:rPr>
                <w:bCs/>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t xml:space="preserve">Copia Certificatului de conformitate sau declarație de conformitate eliberat/eliberată de un organism de certificare acreditat</w:t>
            </w:r>
            <w:r>
              <w:rPr>
                <w:bCs/>
                <w:iCs/>
                <w:lang w:val="ru-RU" w:eastAsia="ru-RU"/>
              </w:rPr>
            </w:r>
            <w:r>
              <w:rPr>
                <w:bCs/>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bCs/>
                <w:iCs/>
                <w:lang w:val="ru-RU" w:eastAsia="ru-RU"/>
              </w:rPr>
            </w:pPr>
            <w:r>
              <w:rPr>
                <w:bCs/>
                <w:iCs/>
                <w:lang w:val="ru-RU" w:eastAsia="ru-RU"/>
              </w:rPr>
            </w:r>
            <w:r>
              <w:rPr>
                <w:b/>
                <w:bCs/>
                <w:iCs/>
                <w:lang w:val="ru-RU" w:eastAsia="ru-RU"/>
              </w:rPr>
              <w:t xml:space="preserve">Obligatoriu </w:t>
            </w:r>
            <w:r>
              <w:rPr>
                <w:bCs/>
                <w:iCs/>
                <w:lang w:val="ru-RU" w:eastAsia="ru-RU"/>
              </w:rPr>
              <w:t xml:space="preserve">incarcat in SIARSAP</w:t>
            </w:r>
            <w:r>
              <w:rPr>
                <w:bCs/>
                <w:iCs/>
                <w:lang w:val="ru-RU" w:eastAsia="ru-RU"/>
              </w:rPr>
            </w:r>
            <w:r>
              <w:rPr>
                <w:bCs/>
                <w:iCs/>
                <w:lang w:val="ru-RU" w:eastAsia="ru-RU"/>
              </w:rPr>
            </w:r>
          </w:p>
          <w:p>
            <w:pPr>
              <w:pBdr/>
              <w:shd w:val="clear" w:color="auto" w:fill="ffffff" w:themeFill="background1"/>
              <w:tabs>
                <w:tab w:val="left" w:leader="none" w:pos="612"/>
              </w:tabs>
              <w:spacing w:after="120" w:before="120"/>
              <w:ind/>
              <w:rPr>
                <w:bCs/>
                <w:iCs/>
                <w:lang w:val="ru-RU" w:eastAsia="ru-RU"/>
              </w:rPr>
            </w:pPr>
            <w:r>
              <w:rPr>
                <w:bCs/>
                <w:iCs/>
                <w:lang w:val="ru-RU" w:eastAsia="ru-RU"/>
              </w:rPr>
            </w:r>
            <w:r>
              <w:rPr>
                <w:bCs/>
                <w:iCs/>
                <w:lang w:val="ru-RU" w:eastAsia="ru-RU"/>
              </w:rPr>
            </w:r>
            <w:r>
              <w:rPr>
                <w:bCs/>
                <w:iCs/>
                <w:lang w:val="ru-RU" w:eastAsia="ru-RU"/>
              </w:rPr>
            </w:r>
          </w:p>
        </w:tc>
      </w:tr>
    </w:tbl>
    <w:p>
      <w:pPr>
        <w:pBdr/>
        <w:spacing/>
        <w:ind w:firstLine="709"/>
        <w:jc w:val="both"/>
        <w:rPr/>
      </w:pPr>
      <w:r/>
      <w:r/>
    </w:p>
    <w:p>
      <w:pPr>
        <w:pBdr/>
        <w:spacing/>
        <w:ind/>
        <w:rPr>
          <w:bCs/>
          <w:iCs/>
        </w:rPr>
      </w:pPr>
      <w:r>
        <w:rPr>
          <w:bCs/>
          <w:iCs/>
        </w:rPr>
        <w:t xml:space="preserve">Autoritatea contractantă  ___________              Data „05.01.2026</w:t>
      </w:r>
      <w:r>
        <w:rPr>
          <w:bCs/>
          <w:iCs/>
        </w:rPr>
      </w:r>
      <w:r>
        <w:rPr>
          <w:bCs/>
          <w:iCs/>
        </w:rPr>
      </w:r>
    </w:p>
    <w:p>
      <w:pPr>
        <w:pBdr/>
        <w:spacing/>
        <w:ind/>
        <w:jc w:val="both"/>
        <w:rPr>
          <w:bCs/>
          <w:i/>
        </w:rPr>
      </w:pPr>
      <w:r>
        <w:rPr>
          <w:bCs/>
          <w:i/>
        </w:rPr>
      </w:r>
      <w:r>
        <w:rPr>
          <w:bCs/>
          <w:i/>
        </w:rPr>
      </w:r>
      <w:r>
        <w:rPr>
          <w:bCs/>
          <w:i/>
        </w:rPr>
      </w:r>
    </w:p>
    <w:p>
      <w:pPr>
        <w:pBdr/>
        <w:spacing/>
        <w:ind/>
        <w:jc w:val="both"/>
        <w:rPr>
          <w:bCs/>
          <w:i/>
          <w:iCs/>
          <w:sz w:val="14"/>
          <w:szCs w:val="14"/>
        </w:rPr>
      </w:pPr>
      <w:r>
        <w:rPr>
          <w:sz w:val="18"/>
          <w:szCs w:val="18"/>
        </w:rPr>
      </w:r>
      <w:bookmarkStart w:id="112" w:name="_Hlk63071406"/>
      <w:r>
        <w:rPr>
          <w:b/>
          <w:bCs/>
          <w:color w:val="ff0000"/>
          <w:sz w:val="14"/>
          <w:szCs w:val="14"/>
        </w:rPr>
        <w:t xml:space="preserve">Notă:</w:t>
      </w:r>
      <w:r>
        <w:rPr>
          <w:b/>
          <w:bCs/>
          <w:sz w:val="14"/>
          <w:szCs w:val="14"/>
        </w:rPr>
        <w:t xml:space="preserve"> </w:t>
      </w:r>
      <w:r>
        <w:rPr>
          <w:bCs/>
          <w:i/>
          <w:iCs/>
          <w:sz w:val="14"/>
          <w:szCs w:val="14"/>
        </w:rPr>
        <w:t xml:space="preserve">Prezentul model al caietului de sarcini este orientativ şi poate fi completat, modificat, precizat de către autoritatea contractantă, în funcţie de tipul şi specificul bunurilor/serviciilor. Autoritatea contactantă este obligătă să respecte legislația.</w:t>
      </w:r>
      <w:r>
        <w:rPr>
          <w:sz w:val="18"/>
          <w:szCs w:val="18"/>
        </w:rPr>
      </w:r>
      <w:bookmarkEnd w:id="112"/>
      <w:r>
        <w:rPr>
          <w:bCs/>
          <w:i/>
          <w:iCs/>
          <w:sz w:val="14"/>
          <w:szCs w:val="14"/>
        </w:rPr>
      </w:r>
      <w:r>
        <w:rPr>
          <w:bCs/>
          <w:i/>
          <w:iCs/>
          <w:sz w:val="14"/>
          <w:szCs w:val="14"/>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 22</w:t>
            </w:r>
            <w:r>
              <w:rPr>
                <w:sz w:val="22"/>
                <w:szCs w:val="22"/>
                <w:lang w:val="it-IT"/>
              </w:rPr>
            </w:r>
            <w:r>
              <w:rPr>
                <w:sz w:val="22"/>
                <w:szCs w:val="22"/>
                <w:lang w:val="it-IT"/>
              </w:rPr>
            </w:r>
          </w:p>
          <w:p>
            <w:pPr>
              <w:pBdr/>
              <w:spacing/>
              <w:ind/>
              <w:jc w:val="center"/>
              <w:rPr>
                <w:lang w:val="it-IT"/>
              </w:rPr>
            </w:pPr>
            <w:r>
              <w:rPr>
                <w:lang w:val="it-IT"/>
              </w:rPr>
              <w:t xml:space="preserve">                                                                                                                                                                                       la Documentația standard nr._____</w:t>
            </w:r>
            <w:r>
              <w:rPr>
                <w:lang w:val="it-IT"/>
              </w:rPr>
            </w:r>
            <w:r>
              <w:rPr>
                <w:lang w:val="it-IT"/>
              </w:rPr>
            </w:r>
          </w:p>
          <w:p>
            <w:pPr>
              <w:pBdr/>
              <w:spacing/>
              <w:ind/>
              <w:jc w:val="center"/>
              <w:rPr>
                <w:lang w:val="it-IT"/>
              </w:rPr>
            </w:pPr>
            <w:r>
              <w:rPr>
                <w:lang w:val="it-IT"/>
              </w:rPr>
              <w:t xml:space="preserve">                                                                                                                                                                             din “____” ________ 202</w:t>
            </w:r>
            <w:r>
              <w:rPr>
                <w:lang w:val="it-IT"/>
              </w:rPr>
              <w:t xml:space="preserve">6</w:t>
            </w:r>
            <w:r>
              <w:rPr>
                <w:lang w:val="it-IT"/>
              </w:rPr>
            </w:r>
            <w:r>
              <w:rPr>
                <w:lang w:val="it-IT"/>
              </w:rPr>
            </w:r>
          </w:p>
          <w:p>
            <w:pPr>
              <w:pStyle w:val="833"/>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2, 3, 4, 6, 7, iar de către autoritatea contractantă – în coloanele 1, 5,]</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Numărul 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 achiziției: </w:t>
            </w:r>
            <w:r>
              <w:t xml:space="preserve">Produse petroliere pentru anul 2026</w:t>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bunului/serviciului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sz w:val="20"/>
                <w:szCs w:val="20"/>
              </w:rPr>
            </w:pPr>
            <w:r>
              <w:t xml:space="preserve">Motorina Euro 5</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lang w:val="pt-PT"/>
              </w:rPr>
            </w:pPr>
            <w:r>
              <w:rPr>
                <w:lang w:val="pt-PT"/>
              </w:rPr>
              <w:t xml:space="preserve">Aspect limpede si transparent  </w:t>
            </w:r>
            <w:r>
              <w:rPr>
                <w:lang w:val="pt-PT"/>
              </w:rPr>
            </w:r>
            <w:r>
              <w:rPr>
                <w:lang w:val="pt-PT"/>
              </w:rPr>
            </w:r>
          </w:p>
          <w:p>
            <w:pPr>
              <w:pBdr/>
              <w:spacing/>
              <w:ind/>
              <w:jc w:val="both"/>
              <w:rPr>
                <w:lang w:val="pt-PT"/>
              </w:rPr>
            </w:pPr>
            <w:r>
              <w:rPr>
                <w:lang w:val="pt-PT"/>
              </w:rPr>
              <w:t xml:space="preserve">-</w:t>
            </w:r>
            <w:r>
              <w:rPr>
                <w:lang w:val="pt-PT"/>
              </w:rPr>
              <w:t xml:space="preserve">Aditivii din motorină nu trebuie să contina compusi ai metalelor si fosforului.</w:t>
            </w:r>
            <w:r>
              <w:rPr>
                <w:lang w:val="pt-PT"/>
              </w:rPr>
            </w:r>
            <w:r>
              <w:rPr>
                <w:lang w:val="pt-PT"/>
              </w:rPr>
            </w:r>
          </w:p>
          <w:p>
            <w:pPr>
              <w:pBdr/>
              <w:spacing/>
              <w:ind/>
              <w:rPr>
                <w:lang w:val="pt-PT"/>
              </w:rPr>
            </w:pPr>
            <w:r>
              <w:rPr>
                <w:lang w:val="pt-PT"/>
              </w:rPr>
              <w:t xml:space="preserve">-</w:t>
            </w:r>
            <w:r>
              <w:rPr>
                <w:lang w:val="pt-PT"/>
              </w:rPr>
              <w:t xml:space="preserve">Cifra cetanică,min.51,0</w:t>
            </w:r>
            <w:r>
              <w:rPr>
                <w:lang w:val="pt-PT"/>
              </w:rPr>
            </w:r>
            <w:r>
              <w:rPr>
                <w:lang w:val="pt-PT"/>
              </w:rPr>
            </w:r>
          </w:p>
          <w:p>
            <w:pPr>
              <w:pBdr/>
              <w:spacing/>
              <w:ind/>
              <w:rPr>
                <w:lang w:val="pt-PT"/>
              </w:rPr>
            </w:pPr>
            <w:r>
              <w:rPr>
                <w:lang w:val="pt-PT"/>
              </w:rPr>
              <w:t xml:space="preserve">-</w:t>
            </w:r>
            <w:r>
              <w:rPr>
                <w:lang w:val="pt-PT"/>
              </w:rPr>
              <w:t xml:space="preserve">Punct de inflamabilitate min.55grade C</w:t>
            </w:r>
            <w:r>
              <w:rPr>
                <w:lang w:val="pt-PT"/>
              </w:rPr>
            </w:r>
            <w:r>
              <w:rPr>
                <w:lang w:val="pt-PT"/>
              </w:rPr>
            </w:r>
          </w:p>
          <w:p>
            <w:pPr>
              <w:pBdr/>
              <w:spacing/>
              <w:ind/>
              <w:rPr>
                <w:lang w:val="pt-PT"/>
              </w:rPr>
            </w:pPr>
            <w:r>
              <w:rPr>
                <w:lang w:val="pt-PT"/>
              </w:rPr>
              <w:t xml:space="preserve">-</w:t>
            </w:r>
            <w:r>
              <w:rPr>
                <w:lang w:val="pt-PT"/>
              </w:rPr>
              <w:t xml:space="preserve">Densitate la 20 grade C,max.860,0 kg/m3</w:t>
            </w:r>
            <w:r>
              <w:rPr>
                <w:lang w:val="pt-PT"/>
              </w:rPr>
            </w:r>
            <w:r>
              <w:rPr>
                <w:lang w:val="pt-PT"/>
              </w:rPr>
            </w:r>
          </w:p>
          <w:p>
            <w:pPr>
              <w:pStyle w:val="1079"/>
              <w:pBdr/>
              <w:spacing w:before="31"/>
              <w:ind w:right="141" w:left="0"/>
              <w:rPr>
                <w:sz w:val="24"/>
                <w:szCs w:val="24"/>
              </w:rPr>
            </w:pPr>
            <w:r>
              <w:rPr>
                <w:sz w:val="24"/>
                <w:szCs w:val="24"/>
              </w:rPr>
              <w:t xml:space="preserve">-Viscozitate la 40 grade C 2,00-4,50 mm2/s</w:t>
            </w:r>
            <w:r>
              <w:rPr>
                <w:sz w:val="24"/>
                <w:szCs w:val="24"/>
                <w:lang w:eastAsia="ru-RU"/>
              </w:rPr>
              <w:t xml:space="preserve"> Produsele trebuie sa fie conforme cu </w:t>
            </w:r>
            <w:r>
              <w:rPr>
                <w:sz w:val="24"/>
                <w:szCs w:val="24"/>
                <w:lang w:eastAsia="ru-RU"/>
              </w:rPr>
              <w:t xml:space="preserve">cerintele</w:t>
            </w:r>
            <w:r>
              <w:rPr>
                <w:sz w:val="24"/>
                <w:szCs w:val="24"/>
                <w:lang w:eastAsia="ru-RU"/>
              </w:rPr>
              <w:t xml:space="preserve"> </w:t>
            </w:r>
            <w:r>
              <w:rPr>
                <w:sz w:val="24"/>
                <w:szCs w:val="24"/>
                <w:lang w:eastAsia="ru-RU"/>
              </w:rPr>
              <w:t xml:space="preserve">obligatorii stabilite in SM EN 590 +A1:2017</w:t>
            </w:r>
            <w:r>
              <w:rPr>
                <w:sz w:val="24"/>
                <w:szCs w:val="24"/>
              </w:rPr>
            </w:r>
            <w:r>
              <w:rPr>
                <w:sz w:val="24"/>
                <w:szCs w:val="24"/>
              </w:rPr>
            </w:r>
          </w:p>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t xml:space="preserve">Benzina Premium A 95</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lang w:val="pt-PT"/>
              </w:rPr>
            </w:pPr>
            <w:r>
              <w:rPr>
                <w:lang w:val="pt-PT"/>
              </w:rPr>
              <w:t xml:space="preserve">-</w:t>
            </w:r>
            <w:r>
              <w:rPr>
                <w:lang w:val="pt-PT"/>
              </w:rPr>
              <w:t xml:space="preserve">Cifra octanica,COR,min.95</w:t>
            </w:r>
            <w:r>
              <w:rPr>
                <w:lang w:val="pt-PT"/>
              </w:rPr>
            </w:r>
            <w:r>
              <w:rPr>
                <w:lang w:val="pt-PT"/>
              </w:rPr>
            </w:r>
          </w:p>
          <w:p>
            <w:pPr>
              <w:pBdr/>
              <w:spacing/>
              <w:ind/>
              <w:jc w:val="both"/>
              <w:rPr>
                <w:lang w:val="pt-PT"/>
              </w:rPr>
            </w:pPr>
            <w:r>
              <w:rPr>
                <w:lang w:val="pt-PT"/>
              </w:rPr>
              <w:t xml:space="preserve">-Aspect limpede si transparent</w:t>
            </w:r>
            <w:r>
              <w:rPr>
                <w:lang w:val="pt-PT"/>
              </w:rPr>
            </w:r>
            <w:r>
              <w:rPr>
                <w:lang w:val="pt-PT"/>
              </w:rPr>
            </w:r>
          </w:p>
          <w:p>
            <w:pPr>
              <w:pBdr/>
              <w:spacing/>
              <w:ind/>
              <w:rPr/>
            </w:pPr>
            <w:r>
              <w:rPr>
                <w:lang w:val="pt-PT"/>
              </w:rPr>
              <w:t xml:space="preserve">-</w:t>
            </w:r>
            <w:r>
              <w:t xml:space="preserve">Produsele trebuie sa fie conforme cu cerintele obligatorii stabilite in</w:t>
            </w:r>
            <w:r/>
          </w:p>
          <w:p>
            <w:pPr>
              <w:pBdr/>
              <w:spacing/>
              <w:ind/>
              <w:rPr>
                <w:color w:val="212121"/>
                <w:shd w:val="clear" w:color="auto" w:fill="ffffff"/>
              </w:rPr>
            </w:pPr>
            <w:r>
              <w:t xml:space="preserve">SM EN  228 +A1:2017</w:t>
            </w:r>
            <w:r>
              <w:rPr>
                <w:color w:val="212121"/>
                <w:shd w:val="clear" w:color="auto" w:fill="ffffff"/>
              </w:rPr>
            </w:r>
            <w:r>
              <w:rPr>
                <w:color w:val="212121"/>
                <w:shd w:val="clear" w:color="auto" w:fill="ffffff"/>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14:ligatures w14:val="none"/>
              </w:rPr>
            </w:pPr>
            <w:r>
              <w:t xml:space="preserve">Gaz Lichefiat GPL</w:t>
            </w:r>
            <w:r>
              <w:rPr>
                <w14:ligatures w14:val="none"/>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both"/>
              <w:rPr>
                <w:lang w:val="pt-PT"/>
                <w14:ligatures w14:val="none"/>
              </w:rPr>
            </w:pPr>
            <w:r>
              <w:rPr>
                <w:sz w:val="20"/>
                <w:szCs w:val="20"/>
              </w:rPr>
            </w:r>
            <w:r>
              <w:rPr>
                <w:lang w:val="pt-PT"/>
              </w:rPr>
              <w:t xml:space="preserve">Carduri valorice; </w:t>
            </w:r>
            <w:r>
              <w:rPr>
                <w:lang w:val="pt-PT"/>
              </w:rPr>
            </w:r>
            <w:r>
              <w:rPr>
                <w:lang w:val="pt-PT"/>
                <w14:ligatures w14:val="none"/>
              </w:rPr>
            </w:r>
          </w:p>
          <w:p>
            <w:pPr>
              <w:pBdr/>
              <w:spacing/>
              <w:ind/>
              <w:jc w:val="both"/>
              <w:rPr>
                <w:lang w:val="pt-PT"/>
                <w14:ligatures w14:val="none"/>
              </w:rPr>
            </w:pPr>
            <w:r>
              <w:rPr>
                <w:lang w:val="pt-PT"/>
              </w:rPr>
              <w:t xml:space="preserve">GOST 20448-90 SM SR EN 589:2016</w:t>
            </w:r>
            <w:r>
              <w:rPr>
                <w:lang w:val="pt-PT"/>
              </w:rPr>
            </w:r>
            <w:r>
              <w:rPr>
                <w:lang w:val="pt-PT"/>
                <w14:ligatures w14:val="none"/>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ayout w:type="fixed"/>
              <w:tblLook w:val="04A0" w:firstRow="1" w:lastRow="0" w:firstColumn="1" w:lastColumn="0" w:noHBand="0" w:noVBand="1"/>
            </w:tblPr>
            <w:tblGrid>
              <w:gridCol w:w="951"/>
              <w:gridCol w:w="298"/>
              <w:gridCol w:w="2534"/>
              <w:gridCol w:w="950"/>
              <w:gridCol w:w="1395"/>
              <w:gridCol w:w="935"/>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shd w:val="clear" w:color="auto" w:fill="auto"/>
                  <w:tcBorders/>
                  <w:tcW w:w="13798"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Anexa nr.23</w:t>
                  </w:r>
                  <w:r>
                    <w:rPr>
                      <w:lang w:val="it-IT"/>
                    </w:rPr>
                  </w:r>
                  <w:r>
                    <w:rPr>
                      <w:lang w:val="it-IT"/>
                    </w:rPr>
                  </w:r>
                </w:p>
                <w:p>
                  <w:pPr>
                    <w:framePr w:hAnchor="margin" w:hSpace="180" w:vAnchor="page" w:wrap="around" w:y="347"/>
                    <w:pBdr/>
                    <w:spacing/>
                    <w:ind/>
                    <w:jc w:val="right"/>
                    <w:rPr>
                      <w:lang w:val="it-IT"/>
                    </w:rPr>
                  </w:pPr>
                  <w:r>
                    <w:rPr>
                      <w:lang w:val="it-IT"/>
                    </w:rPr>
                    <w:t xml:space="preserve">  la Documentația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din “____” ________ 202</w:t>
                  </w:r>
                  <w:r>
                    <w:rPr>
                      <w:lang w:val="it-IT"/>
                    </w:rPr>
                    <w:t xml:space="preserve">6</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833"/>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249" w:type="dxa"/>
                  <w:textDirection w:val="lrTb"/>
                  <w:noWrap w:val="false"/>
                </w:tcPr>
                <w:p>
                  <w:pPr>
                    <w:pStyle w:val="833"/>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379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249"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Produse petroliere pentru anul 2026</w:t>
                  </w:r>
                  <w:r/>
                </w:p>
              </w:tc>
            </w:tr>
            <w:tr>
              <w:trPr>
                <w:trHeight w:val="567"/>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7"/>
                  <w:tcBorders/>
                  <w:tcW w:w="200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bunurilor/serviciilor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1395"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lang w:val="en-US"/>
                    </w:rPr>
                  </w:pPr>
                  <w:r>
                    <w:rPr>
                      <w:lang w:val="en-US"/>
                    </w:rPr>
                  </w:r>
                  <w:r>
                    <w:rPr>
                      <w:lang w:val="en-US"/>
                    </w:rPr>
                  </w:r>
                  <w:r>
                    <w:rPr>
                      <w:lang w:val="en-US"/>
                    </w:rPr>
                  </w:r>
                </w:p>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sz w:val="20"/>
                    </w:rPr>
                  </w:pPr>
                  <w:r>
                    <w:rPr>
                      <w:sz w:val="20"/>
                    </w:rPr>
                    <w:t xml:space="preserve">Lotul 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rPr>
                      <w:sz w:val="20"/>
                      <w:szCs w:val="20"/>
                    </w:rPr>
                  </w:pPr>
                  <w:r>
                    <w:t xml:space="preserve">Motorina Euro 5</w:t>
                  </w:r>
                  <w:r>
                    <w:rPr>
                      <w:sz w:val="20"/>
                      <w:szCs w:val="20"/>
                    </w:rPr>
                  </w:r>
                  <w:r>
                    <w:rPr>
                      <w:sz w:val="20"/>
                      <w:szCs w:val="20"/>
                    </w:rPr>
                  </w:r>
                </w:p>
                <w:p>
                  <w:pPr>
                    <w:framePr w:hAnchor="margin" w:hSpace="180" w:vAnchor="page" w:wrap="around" w:y="347"/>
                    <w:pBdr/>
                    <w:spacing/>
                    <w:ind/>
                    <w:rPr>
                      <w:bCs/>
                      <w:i/>
                      <w:sz w:val="20"/>
                      <w:szCs w:val="20"/>
                    </w:rPr>
                  </w:pPr>
                  <w:r>
                    <w:rPr>
                      <w:i/>
                      <w:iCs/>
                      <w:sz w:val="20"/>
                    </w:rPr>
                  </w:r>
                  <w:r>
                    <w:rPr>
                      <w:bCs/>
                      <w:i/>
                      <w:sz w:val="20"/>
                      <w:szCs w:val="20"/>
                    </w:rPr>
                  </w:r>
                  <w:r>
                    <w:rPr>
                      <w:bCs/>
                      <w:i/>
                      <w:sz w:val="20"/>
                      <w:szCs w:val="20"/>
                    </w:rPr>
                  </w:r>
                </w:p>
                <w:p>
                  <w:pPr>
                    <w:framePr w:hAnchor="margin" w:hSpace="180" w:vAnchor="page" w:wrap="around" w:y="347"/>
                    <w:pBdr/>
                    <w:spacing/>
                    <w:ind/>
                    <w:rPr>
                      <w:b/>
                      <w:bCs/>
                      <w:sz w:val="20"/>
                      <w:szCs w:val="20"/>
                    </w:rPr>
                  </w:pPr>
                  <w:r>
                    <w:rPr>
                      <w:b/>
                      <w:bCs/>
                      <w:sz w:val="20"/>
                      <w:szCs w:val="20"/>
                    </w:rPr>
                  </w:r>
                  <w:r>
                    <w:rPr>
                      <w:b/>
                      <w:bCs/>
                      <w:sz w:val="20"/>
                      <w:szCs w:val="20"/>
                    </w:rPr>
                  </w:r>
                  <w:r>
                    <w:rPr>
                      <w:b/>
                      <w:bCs/>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lit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Bdr/>
                    <w:spacing/>
                    <w:ind/>
                    <w:rPr/>
                  </w:pPr>
                  <w:r>
                    <w:t xml:space="preserve">12 000,00</w:t>
                  </w: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t xml:space="preserve">219 200,00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rPr>
                      <w:b/>
                      <w:sz w:val="20"/>
                      <w:szCs w:val="20"/>
                    </w:rPr>
                  </w:pPr>
                  <w:r>
                    <w:t xml:space="preserve">Benzina Premium A 95</w:t>
                  </w:r>
                  <w:r>
                    <w:rPr>
                      <w:b/>
                      <w:sz w:val="20"/>
                      <w:szCs w:val="20"/>
                    </w:rPr>
                  </w:r>
                  <w:r>
                    <w:rPr>
                      <w:b/>
                      <w:sz w:val="20"/>
                      <w:szCs w:val="20"/>
                    </w:rPr>
                  </w:r>
                </w:p>
                <w:p>
                  <w:pPr>
                    <w:framePr w:hAnchor="margin" w:hSpace="180" w:vAnchor="page" w:wrap="around" w:y="347"/>
                    <w:pBdr/>
                    <w:spacing/>
                    <w:ind/>
                    <w:rPr>
                      <w:bCs/>
                      <w:i/>
                      <w:sz w:val="20"/>
                      <w:szCs w:val="20"/>
                    </w:rPr>
                  </w:pPr>
                  <w:r>
                    <w:rPr>
                      <w:i/>
                      <w:iCs/>
                      <w:sz w:val="20"/>
                    </w:rPr>
                  </w:r>
                  <w:r>
                    <w:rPr>
                      <w:bCs/>
                      <w:i/>
                      <w:sz w:val="20"/>
                      <w:szCs w:val="20"/>
                    </w:rPr>
                  </w:r>
                  <w:r>
                    <w:rPr>
                      <w:bCs/>
                      <w:i/>
                      <w:sz w:val="20"/>
                      <w:szCs w:val="20"/>
                    </w:rPr>
                  </w:r>
                </w:p>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t xml:space="preserve">lit</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Bdr/>
                    <w:spacing/>
                    <w:ind/>
                    <w:rPr/>
                  </w:pPr>
                  <w:r>
                    <w:t xml:space="preserve">7 000,00</w:t>
                  </w: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t xml:space="preserve">109 083,00</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t xml:space="preserve">Gaz lichefiat GPL</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rPr>
                      <w:sz w:val="20"/>
                    </w:rPr>
                  </w:pPr>
                  <w:r>
                    <w:rPr>
                      <w:sz w:val="20"/>
                    </w:rPr>
                    <w:t xml:space="preserve">lit</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Bdr/>
                    <w:spacing/>
                    <w:ind/>
                    <w:rPr/>
                  </w:pPr>
                  <w:r>
                    <w:t xml:space="preserve">500,00</w:t>
                  </w:r>
                  <w:r/>
                </w:p>
              </w:tc>
              <w:tc>
                <w:tcPr>
                  <w:shd w:val="clear" w:color="ffffff" w:fill="ffffff"/>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t xml:space="preserve">5 417,00</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t xml:space="preserve">333 </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 24</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 MODEL</w:t>
      </w:r>
      <w:bookmarkEnd w:id="117"/>
      <w:r>
        <w:rPr>
          <w:b/>
        </w:rPr>
        <w:t xml:space="preserve"> </w:t>
      </w:r>
      <w:r>
        <w:rPr>
          <w:b/>
        </w:rPr>
      </w:r>
      <w:r>
        <w:rPr>
          <w:b/>
        </w:rPr>
      </w:r>
    </w:p>
    <w:p>
      <w:pPr>
        <w:pStyle w:val="1000"/>
        <w:numPr>
          <w:ilvl w:val="0"/>
          <w:numId w:val="0"/>
        </w:numPr>
        <w:pBdr/>
        <w:spacing/>
        <w:ind w:right="-1"/>
        <w:rPr>
          <w:lang w:val="ro-RO"/>
        </w:rPr>
      </w:pPr>
      <w:r>
        <w:rPr>
          <w:lang w:val="ro-RO"/>
        </w:rPr>
      </w:r>
      <w:r>
        <w:rPr>
          <w:lang w:val="ro-RO"/>
        </w:rPr>
      </w:r>
      <w:r>
        <w:rPr>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de________________</w:t>
            </w:r>
            <w:r/>
          </w:p>
          <w:p>
            <w:pPr>
              <w:pBdr/>
              <w:spacing/>
              <w:ind/>
              <w:jc w:val="center"/>
              <w:rPr>
                <w:i/>
              </w:rPr>
            </w:pPr>
            <w:r>
              <w:rPr>
                <w:i/>
              </w:rPr>
            </w:r>
            <w:r>
              <w:rPr>
                <w:i/>
              </w:rPr>
            </w:r>
            <w:r>
              <w:rPr>
                <w:i/>
              </w:rPr>
            </w:r>
          </w:p>
          <w:p>
            <w:pPr>
              <w:pBdr/>
              <w:spacing/>
              <w:ind/>
              <w:jc w:val="center"/>
              <w:rPr>
                <w:i/>
              </w:rPr>
            </w:pPr>
            <w:r>
              <w:rPr>
                <w:i/>
              </w:rPr>
              <w:t xml:space="preserve">I 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both"/>
              <w:rPr>
                <w:i/>
              </w:rPr>
            </w:pPr>
            <w:r>
              <w:rPr>
                <w:i/>
              </w:rPr>
              <w:t xml:space="preserve">Obiectul achiziției _____________________________________________________</w:t>
            </w:r>
            <w:r>
              <w:rPr>
                <w:i/>
              </w:rPr>
            </w:r>
            <w:r>
              <w:rPr>
                <w:i/>
              </w:rPr>
            </w:r>
          </w:p>
          <w:p>
            <w:pPr>
              <w:pBdr/>
              <w:spacing/>
              <w:ind/>
              <w:jc w:val="both"/>
              <w:rPr>
                <w:i/>
              </w:rPr>
            </w:pPr>
            <w:r>
              <w:rPr>
                <w:i/>
              </w:rPr>
              <w:t xml:space="preserve">Cod CPV: ___________________________________________________________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t xml:space="preserve">                                                        __________________________</w:t>
            </w:r>
            <w:r>
              <w:rPr>
                <w:i/>
              </w:rPr>
            </w:r>
            <w:r>
              <w:rPr>
                <w:i/>
              </w:rPr>
            </w:r>
          </w:p>
          <w:p>
            <w:pPr>
              <w:pBdr/>
              <w:spacing/>
              <w:ind/>
              <w:jc w:val="both"/>
              <w:rPr>
                <w:i/>
              </w:rPr>
            </w:pPr>
            <w:r>
              <w:rPr>
                <w:i/>
              </w:rPr>
              <w:t xml:space="preserve">                                                                                                                           (localitatea)</w:t>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90" w:type="dxa"/>
                  <w:vAlign w:val="center"/>
                  <w:textDirection w:val="lrTb"/>
                  <w:noWrap w:val="false"/>
                </w:tcPr>
                <w:p>
                  <w:pPr>
                    <w:pBdr/>
                    <w:spacing/>
                    <w:ind/>
                    <w:jc w:val="center"/>
                    <w:rPr>
                      <w:b/>
                      <w:caps/>
                      <w:sz w:val="40"/>
                    </w:rPr>
                  </w:pPr>
                  <w:r>
                    <w:rPr>
                      <w:b/>
                    </w:rPr>
                    <w:t xml:space="preserve">Furnizorul/Prestatorul de bunuri /servicii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90"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91"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______________________________________________________________,</w:t>
            </w:r>
            <w:r>
              <w:rPr>
                <w:iCs/>
              </w:rPr>
            </w:r>
            <w:r>
              <w:rPr>
                <w:iCs/>
              </w:rPr>
            </w:r>
          </w:p>
          <w:p>
            <w:pPr>
              <w:pBdr/>
              <w:spacing/>
              <w:ind/>
              <w:jc w:val="center"/>
              <w:rPr>
                <w:i/>
                <w:sz w:val="20"/>
                <w:szCs w:val="20"/>
              </w:rPr>
            </w:pPr>
            <w:r>
              <w:rPr>
                <w:i/>
                <w:sz w:val="20"/>
                <w:szCs w:val="20"/>
              </w:rPr>
              <w:t xml:space="preserve">(denumirea bunului/serviciului)</w:t>
            </w:r>
            <w:r>
              <w:rPr>
                <w:i/>
                <w:sz w:val="20"/>
                <w:szCs w:val="20"/>
              </w:rPr>
            </w:r>
            <w:r>
              <w:rPr>
                <w:i/>
                <w:sz w:val="20"/>
                <w:szCs w:val="20"/>
              </w:rPr>
            </w:r>
          </w:p>
          <w:p>
            <w:pPr>
              <w:pBdr/>
              <w:spacing/>
              <w:ind/>
              <w:jc w:val="both"/>
              <w:rPr>
                <w:iCs/>
              </w:rPr>
            </w:pPr>
            <w:r>
              <w:rPr>
                <w:iCs/>
              </w:rPr>
              <w:t xml:space="preserve">denumite în continuare Bunuri/Servicii,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Cumpărătorului/Beneficiaruluibdin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Cumpărător/Beneficiar, Furnizorul/Prestatorul se obligă prin prezentul contract să livreze/presteze </w:t>
            </w:r>
            <w:r>
              <w:rPr>
                <w:iCs/>
              </w:rPr>
              <w:t xml:space="preserve">Cumpărătorului/Beneficiarului Bunurile/Serviciile şi să înlăture defectele lor în conformitate cu prevederile Contractului sub toate aspectele.</w:t>
            </w:r>
            <w:r>
              <w:rPr>
                <w:iCs/>
              </w:rPr>
            </w:r>
            <w:r>
              <w:rPr>
                <w:iCs/>
              </w:rPr>
            </w:r>
          </w:p>
          <w:p>
            <w:pPr>
              <w:pBdr/>
              <w:spacing/>
              <w:ind/>
              <w:jc w:val="both"/>
              <w:rPr>
                <w:iCs/>
              </w:rPr>
            </w:pPr>
            <w:r>
              <w:rPr>
                <w:iCs/>
              </w:rPr>
              <w:t xml:space="preserve">e.</w:t>
            </w:r>
            <w:r>
              <w:rPr>
                <w:iCs/>
              </w:rPr>
              <w:tab/>
              <w:t xml:space="preserve">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şi modalitatea stabilite de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t xml:space="preserve">Furnizorul/Prestatorul îşi asumă obligaţia de a livra/presta Bunurile/Serviciile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Cumpărătorul/Benificiarul se obligă, la rândul său, să achite şi să recepţioneze Bunurile/Serviciile livrate/prestate  de Furnizorul/Prestator.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1.5</w:t>
            </w:r>
            <w:r>
              <w:rPr>
                <w:iCs/>
              </w:rPr>
              <w:tab/>
              <w:t xml:space="preserve">Termenele de garanţie [</w:t>
            </w:r>
            <w:r>
              <w:rPr>
                <w:i/>
              </w:rPr>
              <w:t xml:space="preserve">valabilitate, după caz</w:t>
            </w:r>
            <w:r>
              <w:rPr>
                <w:iCs/>
              </w:rPr>
              <w:t xml:space="preserve">] a Bunurilor/Serviciilor sunt indicate în Anexa nr.22, Specificaţii tehnice.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livrare/prestare</w:t>
            </w:r>
            <w:r>
              <w:rPr>
                <w:b/>
                <w:bCs/>
                <w:iCs/>
              </w:rPr>
            </w:r>
            <w:r>
              <w:rPr>
                <w:b/>
                <w:bCs/>
                <w:iCs/>
              </w:rPr>
            </w:r>
          </w:p>
          <w:p>
            <w:pPr>
              <w:pBdr/>
              <w:spacing/>
              <w:ind/>
              <w:jc w:val="both"/>
              <w:rPr>
                <w:iCs/>
              </w:rPr>
            </w:pPr>
            <w:r>
              <w:rPr>
                <w:iCs/>
              </w:rPr>
              <w:t xml:space="preserve">2.1.</w:t>
            </w:r>
            <w:r>
              <w:rPr>
                <w:iCs/>
              </w:rPr>
              <w:tab/>
              <w:t xml:space="preserve">Livrarea/Prestarea Bunurilor/Serviciilor se efectuează de către Furnizor/Prestator în  termenele prevăzute de graficul de livrare/prestare.</w:t>
            </w:r>
            <w:r>
              <w:rPr>
                <w:iCs/>
              </w:rPr>
            </w:r>
            <w:r>
              <w:rPr>
                <w:iCs/>
              </w:rPr>
            </w:r>
          </w:p>
          <w:p>
            <w:pPr>
              <w:pBdr/>
              <w:spacing/>
              <w:ind/>
              <w:jc w:val="both"/>
              <w:rPr>
                <w:iCs/>
              </w:rPr>
            </w:pPr>
            <w:r>
              <w:rPr>
                <w:iCs/>
              </w:rPr>
              <w:t xml:space="preserve">2.2.</w:t>
            </w:r>
            <w:r>
              <w:rPr>
                <w:iCs/>
              </w:rPr>
              <w:tab/>
              <w:t xml:space="preserve">Documentaţia de însoţire a Bunurilor/Serviciilor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w:t>
            </w:r>
            <w:r>
              <w:rPr>
                <w:iCs/>
              </w:rPr>
              <w:t xml:space="preserve">.2 se vor prezenta Cumpărătorului/Benificiarului cel tîrziu la momentul livrării bunurilorla destinaţia finală/prestăriiserviciilor. Livrarea/Prestarea bunurilor/serviciilor se consideră încheiată în momentul în care sunt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Bunurilor/Serviciilor livrate/prestate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Bunurile/Serviciile livrate/prestate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Cumpărător/Beneficiar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Furnizorului/Prestatorului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Bunurile/Serviciile se consideră predate de către Furnizor/Prestator şi recepţionate de către Cumpărător/Beneficiar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Bunurilor/Serviciilor corespunde informaţiei indicate în Lista bunurilor/serviciilor şi graficul livrării/prestării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Bunurilor/Serviciilor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w:t>
            </w:r>
            <w:r>
              <w:rPr>
                <w:iCs/>
              </w:rPr>
              <w:t xml:space="preserve">nizor/Prestator a prezentei clauze, Cumpărătorul/Beneficiarul îşi rezervă dreptul de a majora termenul de achitare prevăzut în 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t xml:space="preserve">Bunurile/Serviciile furnizate/prestate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Bunurilor/Serviciilor.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Furnizorul/Prestatorul se obligă:</w:t>
            </w:r>
            <w:r>
              <w:rPr>
                <w:iCs/>
              </w:rPr>
            </w:r>
            <w:r>
              <w:rPr>
                <w:iCs/>
              </w:rPr>
            </w:r>
          </w:p>
          <w:p>
            <w:pPr>
              <w:pBdr/>
              <w:spacing/>
              <w:ind/>
              <w:jc w:val="both"/>
              <w:rPr>
                <w:iCs/>
              </w:rPr>
            </w:pPr>
            <w:r>
              <w:rPr>
                <w:iCs/>
              </w:rPr>
              <w:t xml:space="preserve">a)</w:t>
            </w:r>
            <w:r>
              <w:rPr>
                <w:iCs/>
              </w:rPr>
              <w:tab/>
              <w:t xml:space="preserve">să livreze/presteze Bunurile/Serviciile în condiţiile prevăzute de prezentul Contract;</w:t>
            </w:r>
            <w:r>
              <w:rPr>
                <w:iCs/>
              </w:rPr>
            </w:r>
            <w:r>
              <w:rPr>
                <w:iCs/>
              </w:rPr>
            </w:r>
          </w:p>
          <w:p>
            <w:pPr>
              <w:pBdr/>
              <w:spacing/>
              <w:ind/>
              <w:jc w:val="both"/>
              <w:rPr>
                <w:iCs/>
              </w:rPr>
            </w:pPr>
            <w:r>
              <w:rPr>
                <w:iCs/>
              </w:rPr>
              <w:t xml:space="preserve">b)</w:t>
            </w:r>
            <w:r>
              <w:rPr>
                <w:iCs/>
              </w:rPr>
              <w:tab/>
              <w:t xml:space="preserve">să anunţe Cumpărătorul/Beneficiarul după semnarea prezentului Contract, în decurs de ____ zile calendaristice, prin telefon/fax sau mijloace electronice, despre disponibilitatea livrării/prestării Bunurilor/Serviciilor;</w:t>
            </w:r>
            <w:r>
              <w:rPr>
                <w:iCs/>
              </w:rPr>
            </w:r>
            <w:r>
              <w:rPr>
                <w:iCs/>
              </w:rPr>
            </w:r>
          </w:p>
          <w:p>
            <w:pPr>
              <w:pBdr/>
              <w:spacing/>
              <w:ind/>
              <w:jc w:val="both"/>
              <w:rPr>
                <w:iCs/>
              </w:rPr>
            </w:pPr>
            <w:r>
              <w:rPr>
                <w:iCs/>
              </w:rPr>
              <w:t xml:space="preserve">c)</w:t>
            </w:r>
            <w:r>
              <w:rPr>
                <w:iCs/>
              </w:rPr>
              <w:tab/>
              <w:t xml:space="preserve">să asigure condiţiile corespunzătoare pentru recepţionarea Bunurilor/Serviciilor de către Cumpărător/Beneficiar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Bunurilor/Serviciilor pe toată perioada de până la recepţionarea lor de către Cumpărător/Beneficiar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Cumpărătorul/Beneficiarul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Bunurilor/Serviciilor livrate/prestate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Bunurilor/Serviciilor livrate/prestate,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sunt exonerate de răspundere pentru neîndeplinirea parţială sau integrală a obligaţiilor conform prezentului </w:t>
            </w:r>
            <w:r>
              <w:rPr>
                <w:iCs/>
              </w:rPr>
              <w:t xml:space="preserve">Contract, dacă aceasta este cauzată de producerea unor cazuri de circumstanțe care justifică neexecutarea contractului (războaie,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circumstanțelor care justifică neexecutarea contractului este obligată să informeze imediat (dar nu mai tîrziu de 10 zile) cealaltă Parte despre survenirea circumstanţelor care justifică neexecutarea contractului.</w:t>
            </w:r>
            <w:r>
              <w:rPr>
                <w:iCs/>
              </w:rPr>
            </w:r>
            <w:r>
              <w:rPr>
                <w:iCs/>
              </w:rPr>
            </w:r>
          </w:p>
          <w:p>
            <w:pPr>
              <w:pBdr/>
              <w:spacing/>
              <w:ind/>
              <w:jc w:val="both"/>
              <w:rPr>
                <w:iCs/>
              </w:rPr>
            </w:pPr>
            <w:r>
              <w:rPr>
                <w:iCs/>
              </w:rPr>
              <w:t xml:space="preserve">7.3.</w:t>
            </w:r>
            <w:r>
              <w:rPr>
                <w:iCs/>
              </w:rPr>
              <w:tab/>
              <w:t xml:space="preserve">Survenirea circums</w:t>
            </w:r>
            <w:r>
              <w:rPr>
                <w:iCs/>
              </w:rPr>
              <w:t xml:space="preserve">tanţelor care justifică neexecutarea contractului, momentul declanşării şi termenul de acţiune trebuie să fie confirmate printr-un aviz de atestare, eliberat în mod corespunzător de către organul competent din ţara Părţii care invocă asemenea circumstanţe.</w:t>
            </w:r>
            <w:r>
              <w:rPr>
                <w:iCs/>
              </w:rPr>
            </w:r>
            <w:r>
              <w:rPr>
                <w:iCs/>
              </w:rPr>
            </w:r>
          </w:p>
          <w:p>
            <w:pPr>
              <w:pBdr/>
              <w:spacing/>
              <w:ind/>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w:t>
            </w:r>
            <w:r>
              <w:rPr>
                <w:iCs/>
              </w:rPr>
              <w:t xml:space="preserve">actului. Când se execută  pct.7.1 și pct. 7.3, părțile modifică contractul prin acord - 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t xml:space="preserve">Rezoluțiunea</w:t>
            </w:r>
            <w:r>
              <w:rPr>
                <w:b/>
                <w:bCs/>
                <w:iCs/>
              </w:rPr>
            </w:r>
            <w:r>
              <w:rPr>
                <w:b/>
                <w:bCs/>
                <w:iCs/>
              </w:rPr>
            </w:r>
          </w:p>
          <w:p>
            <w:pPr>
              <w:pBdr/>
              <w:spacing/>
              <w:ind/>
              <w:jc w:val="both"/>
              <w:rPr>
                <w:iCs/>
              </w:rPr>
            </w:pPr>
            <w:r>
              <w:rPr>
                <w:iCs/>
              </w:rPr>
              <w:t xml:space="preserve">8.1.</w:t>
            </w:r>
            <w:r>
              <w:rPr>
                <w:iCs/>
              </w:rPr>
              <w:tab/>
              <w:t xml:space="preserve">Rezoluțiunea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rezolvit în mod unilateral de către:</w:t>
            </w:r>
            <w:r>
              <w:rPr>
                <w:iCs/>
              </w:rPr>
            </w:r>
            <w:r>
              <w:rPr>
                <w:iCs/>
              </w:rPr>
            </w:r>
          </w:p>
          <w:p>
            <w:pPr>
              <w:pBdr/>
              <w:spacing/>
              <w:ind/>
              <w:jc w:val="both"/>
              <w:rPr>
                <w:iCs/>
              </w:rPr>
            </w:pPr>
            <w:r>
              <w:rPr>
                <w:iCs/>
              </w:rPr>
              <w:t xml:space="preserve">a)</w:t>
            </w:r>
            <w:r>
              <w:rPr>
                <w:iCs/>
              </w:rPr>
              <w:tab/>
              <w:t xml:space="preserve">Cumpărător/Beneficiar în caz de refuz al Furnizorului/Prestatorului de a livra/presta Bunurile/Serviciile prevăzute în prezentul Contract;         </w:t>
            </w:r>
            <w:r>
              <w:rPr>
                <w:iCs/>
              </w:rPr>
            </w:r>
            <w:r>
              <w:rPr>
                <w:iCs/>
              </w:rPr>
            </w:r>
          </w:p>
          <w:p>
            <w:pPr>
              <w:pBdr/>
              <w:spacing/>
              <w:ind/>
              <w:jc w:val="both"/>
              <w:rPr>
                <w:iCs/>
              </w:rPr>
            </w:pPr>
            <w:r>
              <w:rPr>
                <w:iCs/>
              </w:rPr>
              <w:t xml:space="preserve">b)</w:t>
            </w:r>
            <w:r>
              <w:rPr>
                <w:iCs/>
              </w:rPr>
              <w:tab/>
              <w:t xml:space="preserve">Cumpărător/Beneficiar în caz de nerespectare de către Furnizor/Prestator a termenelor de livrare/prestare stabilite;</w:t>
            </w:r>
            <w:r>
              <w:rPr>
                <w:iCs/>
              </w:rPr>
            </w:r>
            <w:r>
              <w:rPr>
                <w:iCs/>
              </w:rPr>
            </w:r>
          </w:p>
          <w:p>
            <w:pPr>
              <w:pBdr/>
              <w:spacing/>
              <w:ind/>
              <w:jc w:val="both"/>
              <w:rPr>
                <w:iCs/>
              </w:rPr>
            </w:pPr>
            <w:r>
              <w:rPr>
                <w:iCs/>
              </w:rPr>
              <w:t xml:space="preserve">c)</w:t>
            </w:r>
            <w:r>
              <w:rPr>
                <w:iCs/>
              </w:rPr>
              <w:tab/>
              <w:t xml:space="preserve">Furnizor/Prestator în caz de nerespectare de către Cumpărător/Beneficiar a termenelor de plată a Bunurilor/Serviciilor;</w:t>
            </w:r>
            <w:r>
              <w:rPr>
                <w:iCs/>
              </w:rPr>
            </w:r>
            <w:r>
              <w:rPr>
                <w:iCs/>
              </w:rPr>
            </w:r>
          </w:p>
          <w:p>
            <w:pPr>
              <w:pBdr/>
              <w:spacing/>
              <w:ind/>
              <w:jc w:val="both"/>
              <w:rPr>
                <w:iCs/>
              </w:rPr>
            </w:pPr>
            <w:r>
              <w:rPr>
                <w:iCs/>
              </w:rPr>
              <w:t xml:space="preserve">d)</w:t>
            </w:r>
            <w:r>
              <w:rPr>
                <w:iCs/>
              </w:rPr>
              <w:tab/>
              <w:t xml:space="preserve">Furnizor/Prestator sau Cumpărător/Beneficiar în caz de nesatisfacere de către una dintre Părţi a pretenţiilor înaintate conform prezentului Contract.</w:t>
            </w:r>
            <w:r>
              <w:rPr>
                <w:iCs/>
              </w:rPr>
            </w:r>
            <w:r>
              <w:rPr>
                <w:iCs/>
              </w:rPr>
            </w:r>
          </w:p>
          <w:p>
            <w:pPr>
              <w:pBdr/>
              <w:spacing/>
              <w:ind/>
              <w:jc w:val="both"/>
              <w:rPr>
                <w:iCs/>
              </w:rPr>
            </w:pPr>
            <w:r>
              <w:rPr>
                <w:iCs/>
              </w:rPr>
              <w:t xml:space="preserve">8.3      Cumpărător/Beneficiar are dreptul de a rezolvi unilateral contractul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 al Legii nr.131/2015 privind achizițiile publice;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w:t>
            </w:r>
            <w:r>
              <w:rPr>
                <w:iCs/>
              </w:rPr>
              <w:t xml:space="preserve">a obligaţiilor ce rezultă din Legea nr.131/2015 privind achizițiile publice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8.4.</w:t>
            </w:r>
            <w:r>
              <w:rPr>
                <w:iCs/>
              </w:rPr>
              <w:tab/>
              <w:t xml:space="preserve">Partea iniţiatoare a rezoluțiunii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8.5.</w:t>
            </w:r>
            <w:r>
              <w:rPr>
                <w:iCs/>
              </w:rPr>
              <w:tab/>
              <w:t xml:space="preserve">Partea înştiinţată este obligată să răspundă în decurs de ___ zile lucrătoare de la primirea notificării. În cazul în care litigiul nu este soluţionat în termenele stabilite, partea iniţiatoare va iniția rezoluțiunea.</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Bunurilor/Serviciilor livrate/prestate sunt înaintate Furnizorului/Prestatorului la momentul recepţionării lor, fiind confirmate printr-un act întocmit în comun cu reprezentantul Furnizorului/Prestatorului.</w:t>
            </w:r>
            <w:r>
              <w:rPr>
                <w:iCs/>
              </w:rPr>
            </w:r>
            <w:r>
              <w:rPr>
                <w:iCs/>
              </w:rPr>
            </w:r>
          </w:p>
          <w:p>
            <w:pPr>
              <w:pBdr/>
              <w:spacing/>
              <w:ind/>
              <w:jc w:val="both"/>
              <w:rPr>
                <w:iCs/>
              </w:rPr>
            </w:pPr>
            <w:r>
              <w:rPr>
                <w:iCs/>
              </w:rPr>
              <w:t xml:space="preserve">9.2.</w:t>
            </w:r>
            <w:r>
              <w:rPr>
                <w:iCs/>
              </w:rPr>
              <w:tab/>
              <w:t xml:space="preserve">Pretenţiile privind calitatea bunuril</w:t>
            </w:r>
            <w:r>
              <w:rPr>
                <w:iCs/>
              </w:rPr>
              <w:t xml:space="preserve">or/serviciilor livrate/prestate sunt înaintate Furnizorului/Prestatorului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t xml:space="preserve">Furnizorul/Prestatorul este obligat să examineze pretenţiile înaintate în termen de ___ zile de la data primirii acestora şi să comunice Cumpărătorului/Beneficiarului despre decizia luată.</w:t>
            </w:r>
            <w:r>
              <w:rPr>
                <w:iCs/>
              </w:rPr>
            </w:r>
            <w:r>
              <w:rPr>
                <w:iCs/>
              </w:rPr>
            </w:r>
          </w:p>
          <w:p>
            <w:pPr>
              <w:pBdr/>
              <w:spacing/>
              <w:ind/>
              <w:jc w:val="both"/>
              <w:rPr>
                <w:iCs/>
              </w:rPr>
            </w:pPr>
            <w:r>
              <w:rPr>
                <w:iCs/>
              </w:rPr>
              <w:t xml:space="preserve">9.4.</w:t>
            </w:r>
            <w:r>
              <w:rPr>
                <w:iCs/>
              </w:rPr>
              <w:tab/>
              <w:t xml:space="preserve">În caz de recunoaştere a pretenţiilor, Furnizorul/Prestatorul este obligat, în termen de ___ z</w:t>
            </w:r>
            <w:r>
              <w:rPr>
                <w:iCs/>
              </w:rPr>
              <w:t xml:space="preserve">ile, să livreze/presteze suplimentar Cumpărătorului/Beneficiarului cantitatea nelivrată/neprestată de bunuri/servicii,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t xml:space="preserve">Furnizorul/Prestatorul poartă răspundere pentru calitatea Bunurilor/Serviciilor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sunt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Cumpărător/Beneficiar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vinde/presta Bunurile/Serviciile</w:t>
            </w:r>
            <w:r>
              <w:rPr>
                <w:iCs/>
              </w:rPr>
              <w:t xml:space="preserv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întârziere a Bunurilor/Serviciilor, Furnizorul/Prestatorul poartă plata despăgubirei în valoare de ___% din suma Bunurilor/Serviciilor nelivrate/neprestate, pentru fiecare zi de întârziere,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w:t>
            </w:r>
            <w:r>
              <w:rPr>
                <w:iCs/>
              </w:rPr>
              <w:t xml:space="preserve">e ___ zile, Furnizorul/Prestatorul prezintă Cumpărătorului/Beneficiarului o explicație în formă scrisă. Dacă Cumpărătorul/Beneficiarul acceptă, Furnizorul/Prestatorul prelungește termenul de valabilitate a garanției de bună executare, în caz contrar se con</w:t>
            </w:r>
            <w:r>
              <w:rPr>
                <w:iCs/>
              </w:rPr>
              <w:t xml:space="preserve">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r>
            <w:r>
              <w:rPr>
                <w:iCs/>
              </w:rPr>
            </w:r>
          </w:p>
          <w:p>
            <w:pPr>
              <w:pBdr/>
              <w:spacing/>
              <w:ind/>
              <w:jc w:val="both"/>
              <w:rPr>
                <w:iCs/>
              </w:rPr>
            </w:pPr>
            <w:r>
              <w:rPr>
                <w:iCs/>
              </w:rPr>
              <w:t xml:space="preserve">10.4.</w:t>
            </w:r>
            <w:r>
              <w:rPr>
                <w:iCs/>
              </w:rPr>
              <w:tab/>
              <w:t xml:space="preserve">Pentru achitarea cu întârziere, Cumpărătorul/Beneficiarul poartă plata despăgubirei în valoare de ___% [</w:t>
            </w:r>
            <w:r>
              <w:rPr>
                <w:i/>
              </w:rPr>
              <w:t xml:space="preserve">indicați procentajul</w:t>
            </w:r>
            <w:r>
              <w:rPr>
                <w:iCs/>
              </w:rPr>
              <w:t xml:space="preserve">]  din suma Bunurilor/Serviciilor neachitate, pentru fiecare zi de întârziere,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Furnizorul/Prestatorul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12.2.</w:t>
            </w:r>
            <w:r>
              <w:rPr>
                <w:iCs/>
              </w:rPr>
              <w:tab/>
              <w:t xml:space="preserve">Părţile contractante au dreptul, pe durata îndeplinirii contractului, să convină asupra modificării clauzelor contractului, prin acord 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12.3.</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12.4.</w:t>
            </w:r>
            <w:r>
              <w:rPr>
                <w:iCs/>
              </w:rPr>
              <w:tab/>
              <w:t xml:space="preserve">Prezentul Contract în cazul în care este semnat electron</w:t>
            </w:r>
            <w:r>
              <w:rPr>
                <w:iCs/>
              </w:rPr>
              <w:t xml:space="preserve">ic, de către ambele părți, acesta este remis în mod automat prin mijloacele electronice, dar în cazul când contractul este semnat olografic se  întocmește în două exemplare în limba română, câte un exemplar pentru Furnizor/Prestator, Cumpărător/Beneficiar.</w:t>
            </w:r>
            <w:r>
              <w:rPr>
                <w:iCs/>
              </w:rPr>
            </w:r>
            <w:r>
              <w:rPr>
                <w:iCs/>
              </w:rPr>
            </w:r>
          </w:p>
          <w:p>
            <w:pPr>
              <w:pBdr/>
              <w:spacing/>
              <w:ind/>
              <w:jc w:val="both"/>
              <w:rPr>
                <w:iCs/>
              </w:rPr>
            </w:pPr>
            <w:r>
              <w:rPr>
                <w:iCs/>
              </w:rPr>
              <w:t xml:space="preserve">12.5.</w:t>
            </w:r>
            <w:r>
              <w:rPr>
                <w:iCs/>
              </w:rPr>
              <w:tab/>
              <w:t xml:space="preserve">Prezentul Contract se consideră încheiat la data semnării şi intră în vigoare la data înregistrării  la una din trezoreriile regionale ale Ministerului Finanțelor,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12.6.</w:t>
            </w:r>
            <w:r>
              <w:rPr>
                <w:iCs/>
              </w:rPr>
              <w:tab/>
              <w:t xml:space="preserve">Prezentul contract este valabil până la _______.</w:t>
            </w:r>
            <w:r>
              <w:rPr>
                <w:iCs/>
              </w:rPr>
            </w:r>
            <w:r>
              <w:rPr>
                <w:iCs/>
              </w:rPr>
            </w:r>
          </w:p>
          <w:p>
            <w:pPr>
              <w:pBdr/>
              <w:spacing/>
              <w:ind/>
              <w:jc w:val="both"/>
              <w:rPr>
                <w:iCs/>
              </w:rPr>
            </w:pPr>
            <w:r>
              <w:rPr>
                <w:iCs/>
              </w:rPr>
              <w:t xml:space="preserve">12.7.</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12.8.</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Style w:val="832"/>
              <w:numPr>
                <w:ilvl w:val="0"/>
                <w:numId w:val="19"/>
              </w:numPr>
              <w:pBdr/>
              <w:tabs>
                <w:tab w:val="left" w:leader="none" w:pos="2295"/>
              </w:tabs>
              <w:spacing/>
              <w:ind/>
              <w:rPr>
                <w:lang w:val="it-IT"/>
              </w:rPr>
            </w:pPr>
            <w:r>
              <w:rPr>
                <w:lang w:val="it-IT"/>
              </w:rPr>
              <w:t xml:space="preserve">CONDIȚIILE </w:t>
            </w:r>
            <w:r>
              <w:rPr>
                <w:lang w:val="it-IT"/>
              </w:rPr>
            </w:r>
            <w:r>
              <w:rPr>
                <w:lang w:val="it-IT"/>
              </w:rPr>
            </w:r>
          </w:p>
          <w:p>
            <w:pPr>
              <w:pStyle w:val="1000"/>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p>
          <w:p>
            <w:pPr>
              <w:pBdr/>
              <w:tabs>
                <w:tab w:val="left" w:leader="none" w:pos="567"/>
                <w:tab w:val="left" w:leader="none" w:pos="4005"/>
              </w:tabs>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Furnizorul/Prestatorul de 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jc w:val="both"/>
                    <w:rPr/>
                  </w:pPr>
                  <w:r/>
                  <w:r/>
                </w:p>
              </w:tc>
            </w:tr>
          </w:tbl>
          <w:p>
            <w:pPr>
              <w:pStyle w:val="100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 1</w:t>
            </w:r>
            <w:r/>
          </w:p>
          <w:p>
            <w:pPr>
              <w:pBdr/>
              <w:tabs>
                <w:tab w:val="left" w:leader="none" w:pos="2295"/>
              </w:tabs>
              <w:spacing/>
              <w:ind/>
              <w:jc w:val="right"/>
              <w:rPr/>
            </w:pPr>
            <w:r>
              <w:t xml:space="preserve">la contractul nr. ___________</w:t>
            </w:r>
            <w:r/>
          </w:p>
          <w:p>
            <w:pPr>
              <w:pBdr/>
              <w:tabs>
                <w:tab w:val="left" w:leader="none" w:pos="2295"/>
              </w:tabs>
              <w:spacing/>
              <w:ind/>
              <w:jc w:val="right"/>
              <w:rPr/>
            </w:pPr>
            <w:r>
              <w:t xml:space="preserve">Din „____”  _____ 202</w:t>
            </w:r>
            <w:r>
              <w:t xml:space="preserve">6</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 - 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Style w:val="100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 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0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 25</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1007"/>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w:t>
                  </w:r>
                  <w:r>
                    <w:rPr>
                      <w:sz w:val="24"/>
                      <w:szCs w:val="24"/>
                    </w:rPr>
                    <w:t xml:space="preserve">________________, în persoana______________,în scopul modificării Contractului nr.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1007"/>
                    <w:pBdr/>
                    <w:spacing/>
                    <w:ind w:firstLine="0"/>
                    <w:rPr>
                      <w:sz w:val="24"/>
                      <w:szCs w:val="24"/>
                    </w:rPr>
                  </w:pPr>
                  <w:r>
                    <w:rPr>
                      <w:sz w:val="24"/>
                      <w:szCs w:val="24"/>
                    </w:rPr>
                  </w:r>
                  <w:r>
                    <w:rPr>
                      <w:sz w:val="24"/>
                      <w:szCs w:val="24"/>
                    </w:rPr>
                  </w:r>
                  <w:r>
                    <w:rPr>
                      <w:sz w:val="24"/>
                      <w:szCs w:val="24"/>
                    </w:rPr>
                  </w:r>
                </w:p>
                <w:p>
                  <w:pPr>
                    <w:pStyle w:val="1007"/>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07"/>
                    <w:pBdr/>
                    <w:spacing/>
                    <w:ind w:firstLine="0"/>
                    <w:rPr>
                      <w:sz w:val="24"/>
                      <w:szCs w:val="24"/>
                    </w:rPr>
                  </w:pPr>
                  <w:r>
                    <w:rPr>
                      <w:sz w:val="24"/>
                      <w:szCs w:val="24"/>
                    </w:rPr>
                  </w:r>
                  <w:r>
                    <w:rPr>
                      <w:sz w:val="24"/>
                      <w:szCs w:val="24"/>
                    </w:rPr>
                  </w:r>
                  <w:r>
                    <w:rPr>
                      <w:sz w:val="24"/>
                      <w:szCs w:val="24"/>
                    </w:rPr>
                  </w:r>
                </w:p>
                <w:p>
                  <w:pPr>
                    <w:pStyle w:val="1007"/>
                    <w:pBdr/>
                    <w:spacing/>
                    <w:ind w:firstLine="0"/>
                    <w:rPr>
                      <w:sz w:val="24"/>
                      <w:szCs w:val="24"/>
                    </w:rPr>
                  </w:pPr>
                  <w:r>
                    <w:rPr>
                      <w:sz w:val="24"/>
                      <w:szCs w:val="24"/>
                    </w:rPr>
                    <w:t xml:space="preserve">Orice modificare aplicată prin prezentul acord este obligatorie pentru fiecare parte din Contract, celelalte prevederi nemodificate rămânând obligatorii în continuare.</w:t>
                  </w:r>
                  <w:r>
                    <w:rPr>
                      <w:sz w:val="24"/>
                      <w:szCs w:val="24"/>
                    </w:rPr>
                  </w:r>
                  <w:r>
                    <w:rPr>
                      <w:sz w:val="24"/>
                      <w:szCs w:val="24"/>
                    </w:rPr>
                  </w:r>
                </w:p>
                <w:p>
                  <w:pPr>
                    <w:pStyle w:val="1016"/>
                    <w:pBdr/>
                    <w:tabs>
                      <w:tab w:val="right" w:leader="none" w:pos="10205"/>
                    </w:tabs>
                    <w:spacing/>
                    <w:ind w:firstLine="0"/>
                    <w:jc w:val="left"/>
                    <w:rPr>
                      <w:lang w:val="ro-RO"/>
                    </w:rPr>
                  </w:pPr>
                  <w:r>
                    <w:rPr>
                      <w:lang w:val="ro-RO"/>
                    </w:rPr>
                  </w:r>
                  <w:r>
                    <w:rPr>
                      <w:lang w:val="ro-RO"/>
                    </w:rPr>
                  </w:r>
                  <w:r>
                    <w:rPr>
                      <w:lang w:val="ro-RO"/>
                    </w:rPr>
                  </w:r>
                </w:p>
                <w:p>
                  <w:pPr>
                    <w:pStyle w:val="1007"/>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1000"/>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 după înregistrarea la una din trezoreriile regionale ale Ministerului Finanțelor sau la data semnării lui de către părți sau la o dată ulterioară indicată în acest acord.</w:t>
                  </w:r>
                  <w:r/>
                </w:p>
                <w:p>
                  <w:pPr>
                    <w:pStyle w:val="833"/>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100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 26</w:t>
                  </w:r>
                  <w:r>
                    <w:rPr>
                      <w:sz w:val="22"/>
                      <w:szCs w:val="22"/>
                      <w:lang w:val="it-IT"/>
                    </w:rPr>
                  </w:r>
                  <w:r>
                    <w:rPr>
                      <w:sz w:val="22"/>
                      <w:szCs w:val="22"/>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202</w:t>
                  </w:r>
                  <w:r>
                    <w:rPr>
                      <w:lang w:val="it-IT"/>
                    </w:rPr>
                    <w:t xml:space="preserve">6</w:t>
                  </w:r>
                  <w:r>
                    <w:rPr>
                      <w:lang w:val="it-IT"/>
                    </w:rPr>
                  </w:r>
                  <w:r>
                    <w:rPr>
                      <w:lang w:val="it-IT"/>
                    </w:rP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t xml:space="preserve">În temeiul Legii nr. 131/2015 privind achizițiile publice, cu modificările ulterioare, s-a încheiat prezentul acord-cadru,</w:t>
            </w:r>
            <w:r/>
          </w:p>
          <w:p>
            <w:pPr>
              <w:pBdr/>
              <w:spacing/>
              <w:ind/>
              <w:jc w:val="both"/>
              <w:rPr/>
            </w:pPr>
            <w:r>
              <w:t xml:space="preserve">    între</w:t>
            </w:r>
            <w:r/>
          </w:p>
          <w:p>
            <w:pPr>
              <w:pBdr/>
              <w:spacing/>
              <w:ind/>
              <w:jc w:val="both"/>
              <w:rPr>
                <w:rStyle w:val="1070"/>
                <w:b w:val="0"/>
                <w:bCs w:val="0"/>
              </w:rPr>
            </w:pPr>
            <w:r>
              <w:rPr>
                <w:rStyle w:val="1071"/>
                <w:i/>
              </w:rPr>
              <w:t xml:space="preserve">(Denumirea autorităţii contractante)…………………………</w:t>
            </w:r>
            <w:r>
              <w:rPr>
                <w:rStyle w:val="1071"/>
              </w:rPr>
              <w:t xml:space="preserve">,adresa completă:……………………….., telefon: …………………./fax: ………………….., </w:t>
            </w:r>
            <w:r>
              <w:t xml:space="preserve">cod fiscal …………… cont Trezorerie: …………, reprezentată prin domnul …………………………………….., </w:t>
            </w:r>
            <w:r>
              <w:rPr>
                <w:rStyle w:val="1071"/>
              </w:rPr>
              <w:t xml:space="preserve">în calitate de </w:t>
            </w:r>
            <w:r>
              <w:rPr>
                <w:rStyle w:val="1071"/>
                <w:b/>
                <w:bCs/>
              </w:rPr>
              <w:t xml:space="preserve">promitent-achizitor</w:t>
            </w:r>
            <w:r>
              <w:rPr>
                <w:rStyle w:val="1071"/>
              </w:rPr>
              <w:t xml:space="preserve">, pe de o parte, </w:t>
            </w:r>
            <w:r>
              <w:rPr>
                <w:rStyle w:val="1070"/>
                <w:b w:val="0"/>
                <w:bCs w:val="0"/>
              </w:rPr>
              <w:t xml:space="preserve">  </w:t>
            </w:r>
            <w:r>
              <w:rPr>
                <w:rStyle w:val="1070"/>
                <w:b w:val="0"/>
                <w:bCs w:val="0"/>
              </w:rPr>
              <w:tab/>
            </w:r>
            <w:r>
              <w:rPr>
                <w:rStyle w:val="1070"/>
                <w:b w:val="0"/>
                <w:bCs w:val="0"/>
              </w:rPr>
            </w:r>
            <w:r>
              <w:rPr>
                <w:rStyle w:val="1070"/>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promitent-furnizor/prestator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Scopul acordului -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Contractele ce urmează a fi atribuite au ca obiect 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Obligaţiile promitentului – furnizor/prestator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furnizori/prestatori se obligă să răspun</w:t>
            </w:r>
            <w:r>
              <w:t xml:space="preserve">dă invitațiilor la reofertare și, în caz că au fost selectați, să livreze bunurile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furnizori/prestatori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bunuri/servicii, prin r</w:t>
            </w:r>
            <w:r>
              <w:t xml:space="preserve">eluarea competiției între semnatarii prezentului acord-cadru și/sau fără reluarea competiție, în cazul în care cuprinsul acestuia stabilește toate termenele și condițiile care reglementează livrarea bunurilor/prestarea serviciilor care constituie obiectul </w:t>
            </w:r>
            <w:r>
              <w:t xml:space="preserve">achiziției prevăzute în acordul-cadru, precum și condițiile obiective în funcție de care se </w:t>
            </w:r>
            <w:r>
              <w:t xml:space="preserve">stabilește care dintre operatorii economici parte la acordul-cadru va livra bunurile sau va presta serviciile,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Rezoluțiune unilaterală</w:t>
            </w:r>
            <w:r>
              <w:rPr>
                <w:b/>
                <w:bCs/>
              </w:rPr>
            </w:r>
            <w:r>
              <w:rPr>
                <w:b/>
                <w:bCs/>
              </w:rPr>
            </w:r>
          </w:p>
          <w:p>
            <w:pPr>
              <w:pBdr/>
              <w:spacing/>
              <w:ind w:left="660"/>
              <w:jc w:val="both"/>
              <w:rPr/>
            </w:pPr>
            <w:r/>
            <w:r/>
          </w:p>
          <w:p>
            <w:pPr>
              <w:pBdr/>
              <w:spacing/>
              <w:ind/>
              <w:jc w:val="both"/>
              <w:rPr/>
            </w:pPr>
            <w:r>
              <w:t xml:space="preserve">6.1. Partea promitentă este în drept să rezoluționeze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furnizor/prestator cu 10 zile înainte de data încetării acestuia.</w:t>
            </w:r>
            <w:r/>
          </w:p>
          <w:p>
            <w:pPr>
              <w:pBdr/>
              <w:spacing/>
              <w:ind w:firstLine="720"/>
              <w:jc w:val="both"/>
              <w:rPr/>
            </w:pPr>
            <w:r/>
            <w:r/>
          </w:p>
          <w:p>
            <w:pPr>
              <w:pStyle w:val="1000"/>
              <w:numPr>
                <w:ilvl w:val="0"/>
                <w:numId w:val="20"/>
              </w:numPr>
              <w:pBdr/>
              <w:tabs>
                <w:tab w:val="left" w:leader="none" w:pos="739"/>
                <w:tab w:val="left" w:leader="none" w:pos="1131"/>
                <w:tab w:val="clear" w:leader="none" w:pos="1134"/>
                <w:tab w:val="left" w:leader="none" w:pos="1326"/>
              </w:tabs>
              <w:spacing/>
              <w:ind w:firstLine="97"/>
              <w:rPr>
                <w:b/>
                <w:bCs/>
              </w:rPr>
            </w:pPr>
            <w:r>
              <w:rPr>
                <w:b/>
                <w:bCs/>
              </w:rPr>
              <w:t xml:space="preserve">Documentele acordului cadru:</w:t>
            </w:r>
            <w:r>
              <w:rPr>
                <w:b/>
                <w:bCs/>
              </w:rPr>
            </w:r>
            <w:r>
              <w:rPr>
                <w:b/>
                <w:bCs/>
              </w:rPr>
            </w:r>
          </w:p>
          <w:p>
            <w:pPr>
              <w:pBdr/>
              <w:spacing/>
              <w:ind w:left="660"/>
              <w:jc w:val="both"/>
              <w:rPr/>
            </w:pPr>
            <w:r/>
            <w:r/>
          </w:p>
          <w:p>
            <w:pPr>
              <w:pBdr/>
              <w:spacing/>
              <w:ind/>
              <w:jc w:val="both"/>
              <w:rPr>
                <w:iCs/>
              </w:rPr>
            </w:pPr>
            <w:r>
              <w:rPr>
                <w:iCs/>
              </w:rPr>
              <w:t xml:space="preserve">a) propunerea tehnică;</w:t>
            </w:r>
            <w:r>
              <w:rPr>
                <w:iCs/>
              </w:rPr>
            </w:r>
            <w:r>
              <w:rPr>
                <w:iCs/>
              </w:rPr>
            </w:r>
          </w:p>
          <w:p>
            <w:pPr>
              <w:pBdr/>
              <w:spacing/>
              <w:ind/>
              <w:jc w:val="both"/>
              <w:rPr/>
            </w:pPr>
            <w:r>
              <w:t xml:space="preserve">b) propunerea financiară;</w:t>
            </w:r>
            <w:r/>
          </w:p>
          <w:p>
            <w:pPr>
              <w:pBdr/>
              <w:spacing/>
              <w:ind/>
              <w:jc w:val="both"/>
              <w:rPr/>
            </w:pPr>
            <w:r>
              <w:t xml:space="preserve">c) caietul de sarcini, după caz;</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 Încetarea acordului - 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 - cadru încetează de drept:</w:t>
            </w:r>
            <w:r/>
          </w:p>
          <w:p>
            <w:pPr>
              <w:pBdr/>
              <w:spacing/>
              <w:ind/>
              <w:jc w:val="both"/>
              <w:rPr/>
            </w:pPr>
            <w:r>
              <w:t xml:space="preserve">- prin ajungerea la termen;</w:t>
            </w:r>
            <w:r/>
          </w:p>
          <w:p>
            <w:pPr>
              <w:pBdr/>
              <w:spacing/>
              <w:ind/>
              <w:jc w:val="both"/>
              <w:rPr/>
            </w:pPr>
            <w:r>
              <w:t xml:space="preserve">          (2)Acordul - cadru poate înceta şi în următoarele cazuri:</w:t>
            </w:r>
            <w:r/>
          </w:p>
          <w:p>
            <w:pPr>
              <w:pBdr/>
              <w:spacing/>
              <w:ind/>
              <w:jc w:val="both"/>
              <w:rPr/>
            </w:pPr>
            <w:r>
              <w:t xml:space="preserve">- prin acordul de voinţă al părţilor ;</w:t>
            </w:r>
            <w:r/>
          </w:p>
          <w:p>
            <w:pPr>
              <w:pBdr/>
              <w:spacing/>
              <w:ind/>
              <w:jc w:val="both"/>
              <w:rPr/>
            </w:pPr>
            <w:r>
              <w:t xml:space="preserve">- prin rezoluțiunea de către o parte ca urmare a neîndeplinirii sau îndeplinirii în mod necorespunzător a obligaţiilor asumate prin prezentul acord–cadru, de către cealaltă parte, cu notificare prealabilă de_____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Furnizorul/Prestatorul are obligaţia de a începe livrarea bunurilor/prestarea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furnizorului/prestatorului după încheierea contractului subsecvent </w:t>
            </w:r>
            <w:r>
              <w:rPr>
                <w:b/>
                <w:bCs/>
              </w:rPr>
            </w:r>
            <w:r>
              <w:rPr>
                <w:b/>
                <w:bCs/>
              </w:rPr>
            </w:r>
          </w:p>
          <w:p>
            <w:pPr>
              <w:pBdr/>
              <w:spacing/>
              <w:ind/>
              <w:jc w:val="both"/>
              <w:rPr/>
            </w:pPr>
            <w:r>
              <w:t xml:space="preserve">10.1 Operatorul economic desemnat câștigător se obligă să livreze bunurile/presteze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________20__, prezentul acord-cadru, în ___ exemplare toate având aceeaşi putere juridică.</w:t>
            </w:r>
            <w:r/>
          </w:p>
          <w:p>
            <w:pPr>
              <w:pBdr/>
              <w:spacing/>
              <w:ind/>
              <w:jc w:val="both"/>
              <w:rPr/>
            </w:pPr>
            <w:r>
              <w:t xml:space="preserve">Prezentul Acord – cadru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Promitent-furnizor/prestator,</w:t>
            </w:r>
            <w:r/>
          </w:p>
          <w:p>
            <w:pPr>
              <w:pBdr/>
              <w:spacing/>
              <w:ind/>
              <w:jc w:val="both"/>
              <w:rPr/>
            </w:pPr>
            <w:r>
              <w:t xml:space="preserve">              ...........................                                                     ..........................</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Promitent-furnizor /prestator,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t xml:space="preserve">Promitent-achizitor,                                              Promitent-furnizor /prestator,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 2</w:t>
            </w:r>
            <w:r/>
          </w:p>
          <w:p>
            <w:pPr>
              <w:pBdr/>
              <w:spacing/>
              <w:ind/>
              <w:jc w:val="right"/>
              <w:rPr/>
            </w:pPr>
            <w:r>
              <w:t xml:space="preserve">la Ordinul ministrului finanţelor</w:t>
            </w:r>
            <w:r/>
          </w:p>
          <w:p>
            <w:pPr>
              <w:pBdr/>
              <w:spacing/>
              <w:ind/>
              <w:jc w:val="right"/>
              <w:rPr/>
            </w:pPr>
            <w:r>
              <w:t xml:space="preserve">nr._________din “____” ________ 2021</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1000"/>
        <w:numPr>
          <w:ilvl w:val="0"/>
          <w:numId w:val="22"/>
        </w:numPr>
        <w:pBdr/>
        <w:tabs>
          <w:tab w:val="left" w:leader="none" w:pos="851"/>
          <w:tab w:val="clear" w:leader="none" w:pos="1134"/>
        </w:tabs>
        <w:spacing/>
        <w:ind w:firstLine="11" w:left="709"/>
        <w:rPr/>
      </w:pPr>
      <w:r>
        <w:t xml:space="preserve">Ordinul ministrului finanțe</w:t>
      </w:r>
      <w:r>
        <w:t xml:space="preserve">lor nr. 173/2018 cu privire la aprobarea Documentației standard pentru realizarea achizițiilor publice de bunuri (Monitorul Oficial al Republicii Moldova, 2018, nr. 396-397, art. 1521), înregistrat la Ministerul Justiției cu nr. 1369 din 10 octombrie 2018.</w:t>
      </w:r>
      <w:r/>
    </w:p>
    <w:p>
      <w:pPr>
        <w:pStyle w:val="1000"/>
        <w:numPr>
          <w:ilvl w:val="0"/>
          <w:numId w:val="0"/>
        </w:numPr>
        <w:pBdr/>
        <w:spacing/>
        <w:ind w:left="720"/>
        <w:rPr/>
      </w:pPr>
      <w:r/>
      <w:r/>
    </w:p>
    <w:p>
      <w:pPr>
        <w:pStyle w:val="1000"/>
        <w:numPr>
          <w:ilvl w:val="0"/>
          <w:numId w:val="22"/>
        </w:numPr>
        <w:pBdr/>
        <w:tabs>
          <w:tab w:val="left" w:leader="none" w:pos="851"/>
          <w:tab w:val="clear" w:leader="none" w:pos="1134"/>
        </w:tabs>
        <w:spacing/>
        <w:ind w:firstLine="11" w:left="709"/>
        <w:rPr/>
      </w:pPr>
      <w:r>
        <w:t xml:space="preserve">Ordinul ministrului finanțelo</w:t>
      </w:r>
      <w:r>
        <w:t xml:space="preserve">r nr. 174/2018 cu privire la aprobarea Documentației standard pentru realizarea achizițiilor publice de servicii (Monitorul Oficial al Republicii Moldova, 2018, nr. 396-397, art. 1522), înregistrat la Ministerul Justiției cu nr. 1367 din 10 octombrie 2018.</w:t>
      </w:r>
      <w:r/>
    </w:p>
    <w:p>
      <w:pPr>
        <w:pBdr/>
        <w:spacing/>
        <w:ind/>
        <w:rPr/>
      </w:pPr>
      <w:r/>
      <w:r/>
    </w:p>
    <w:p>
      <w:pPr>
        <w:pStyle w:val="1000"/>
        <w:numPr>
          <w:ilvl w:val="0"/>
          <w:numId w:val="22"/>
        </w:numPr>
        <w:pBdr/>
        <w:tabs>
          <w:tab w:val="left" w:leader="none" w:pos="851"/>
          <w:tab w:val="clear" w:leader="none" w:pos="1134"/>
        </w:tabs>
        <w:spacing/>
        <w:ind w:firstLine="11" w:left="709"/>
        <w:rPr/>
      </w:pPr>
      <w:r>
        <w:t xml:space="preserve">Ordinul ministrului finanțelor nr. 175/2018 cu privire la aprobarea Docum</w:t>
      </w:r>
      <w:r>
        <w:t xml:space="preserve">entației standard pentru realizarea achizițiilor publice de bunuri și servicii prin cererea ofertleor de prețuri (Monitorul Oficial al Republicii Moldova, 2018, nr. 396-397, art. 1523), înregistrat la Ministerul Justiției cu nr. 1368 din 10 octombrie 2018.</w:t>
      </w:r>
      <w:r/>
    </w:p>
    <w:p>
      <w:pPr>
        <w:pStyle w:val="1000"/>
        <w:numPr>
          <w:ilvl w:val="0"/>
          <w:numId w:val="0"/>
        </w:numPr>
        <w:pBdr/>
        <w:spacing/>
        <w:ind w:left="720"/>
        <w:rPr/>
      </w:pPr>
      <w:r/>
      <w:r/>
    </w:p>
    <w:p>
      <w:pPr>
        <w:pStyle w:val="1000"/>
        <w:numPr>
          <w:ilvl w:val="0"/>
          <w:numId w:val="0"/>
        </w:numPr>
        <w:pBdr/>
        <w:spacing/>
        <w:ind w:left="720"/>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97"/>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97"/>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360"/>
      </w:pPr>
      <w:pStyle w:val="1000"/>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7">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8">
    <w:lvl w:ilvl="0">
      <w:isLgl w:val="false"/>
      <w:lvlJc w:val="right"/>
      <w:lvlText w:val="%1."/>
      <w:numFmt w:val="upperRoman"/>
      <w:pPr>
        <w:pBdr/>
        <w:spacing/>
        <w:ind w:hanging="360" w:left="720"/>
      </w:pPr>
      <w:pStyle w:val="832"/>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11">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1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1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4">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6">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7">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8">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20">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b/>
        <w:bCs w:val="0"/>
        <w:i w:val="0"/>
        <w:iCs w:val="0"/>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8"/>
  </w:num>
  <w:num w:numId="2">
    <w:abstractNumId w:val="6"/>
  </w:num>
  <w:num w:numId="3">
    <w:abstractNumId w:val="1"/>
  </w:num>
  <w:num w:numId="4">
    <w:abstractNumId w:val="15"/>
  </w:num>
  <w:num w:numId="5">
    <w:abstractNumId w:val="0"/>
  </w:num>
  <w:num w:numId="6">
    <w:abstractNumId w:val="17"/>
  </w:num>
  <w:num w:numId="7">
    <w:abstractNumId w:val="19"/>
  </w:num>
  <w:num w:numId="8">
    <w:abstractNumId w:val="7"/>
  </w:num>
  <w:num w:numId="9">
    <w:abstractNumId w:val="3"/>
  </w:num>
  <w:num w:numId="10">
    <w:abstractNumId w:val="5"/>
  </w:num>
  <w:num w:numId="11">
    <w:abstractNumId w:val="4"/>
  </w:num>
  <w:num w:numId="12">
    <w:abstractNumId w:val="9"/>
  </w:num>
  <w:num w:numId="13">
    <w:abstractNumId w:val="14"/>
  </w:num>
  <w:num w:numId="14">
    <w:abstractNumId w:val="18"/>
  </w:num>
  <w:num w:numId="15">
    <w:abstractNumId w:val="2"/>
  </w:num>
  <w:num w:numId="16">
    <w:abstractNumId w:val="10"/>
  </w:num>
  <w:num w:numId="17">
    <w:abstractNumId w:val="12"/>
  </w:num>
  <w:num w:numId="18">
    <w:abstractNumId w:val="11"/>
  </w:num>
  <w:num w:numId="19">
    <w:abstractNumId w:val="8"/>
    <w:lvlOverride w:ilvl="0">
      <w:startOverride w:val="2"/>
    </w:lvlOverride>
  </w:num>
  <w:num w:numId="20">
    <w:abstractNumId w:val="6"/>
    <w:lvlOverride w:ilvl="0">
      <w:startOverride w:val="7"/>
    </w:lvlOverride>
  </w:num>
  <w:num w:numId="21">
    <w:abstractNumId w:val="13"/>
  </w:num>
  <w:num w:numId="22">
    <w:abstractNumId w:val="16"/>
  </w:num>
  <w:num w:numId="23">
    <w:abstractNumId w:val="20"/>
  </w:num>
  <w:num w:numId="24">
    <w:abstractNumId w:val="21"/>
  </w:num>
  <w:num w:numId="25">
    <w:abstractNumId w:val="22"/>
  </w:num>
  <w:num w:numId="26">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3">
    <w:name w:val="Table Grid Light"/>
    <w:basedOn w:val="84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1 Light - Accent 1"/>
    <w:basedOn w:val="84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1 Light - Accent 3"/>
    <w:basedOn w:val="84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1 Light - Accent 4"/>
    <w:basedOn w:val="84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1 Light - Accent 5"/>
    <w:basedOn w:val="84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1 Light - Accent 6"/>
    <w:basedOn w:val="84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2 - Accent 1"/>
    <w:basedOn w:val="84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2 - Accent 2"/>
    <w:basedOn w:val="84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2 - Accent 3"/>
    <w:basedOn w:val="84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2 - Accent 4"/>
    <w:basedOn w:val="84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2 - Accent 5"/>
    <w:basedOn w:val="84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2 - Accent 6"/>
    <w:basedOn w:val="84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3 - Accent 1"/>
    <w:basedOn w:val="84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3 - Accent 2"/>
    <w:basedOn w:val="84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3 - Accent 3"/>
    <w:basedOn w:val="84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3 - Accent 4"/>
    <w:basedOn w:val="84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3 - Accent 5"/>
    <w:basedOn w:val="84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3 - Accent 6"/>
    <w:basedOn w:val="84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4 - Accent 1"/>
    <w:basedOn w:val="84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4 - Accent 2"/>
    <w:basedOn w:val="84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4 - Accent 3"/>
    <w:basedOn w:val="84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4 - Accent 4"/>
    <w:basedOn w:val="84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4 - Accent 5"/>
    <w:basedOn w:val="84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4 - Accent 6"/>
    <w:basedOn w:val="84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5 Dark - Accent 2"/>
    <w:basedOn w:val="8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5 Dark - Accent 3"/>
    <w:basedOn w:val="8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5 Dark - Accent 5"/>
    <w:basedOn w:val="8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5 Dark - Accent 6"/>
    <w:basedOn w:val="8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1 Light - Accent 1"/>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1 Light - Accent 2"/>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1 Light - Accent 3"/>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1 Light - Accent 4"/>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1 Light - Accent 5"/>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1 Light - Accent 6"/>
    <w:basedOn w:val="8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2 - Accent 1"/>
    <w:basedOn w:val="84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2 - Accent 2"/>
    <w:basedOn w:val="84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2 - Accent 3"/>
    <w:basedOn w:val="84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2 - Accent 4"/>
    <w:basedOn w:val="84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2 - Accent 5"/>
    <w:basedOn w:val="84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2 - Accent 6"/>
    <w:basedOn w:val="84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3 - Accent 1"/>
    <w:basedOn w:val="84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3 - Accent 2"/>
    <w:basedOn w:val="84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3 - Accent 3"/>
    <w:basedOn w:val="84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3 - Accent 4"/>
    <w:basedOn w:val="84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3 - Accent 5"/>
    <w:basedOn w:val="84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3 - Accent 6"/>
    <w:basedOn w:val="84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4 - Accent 1"/>
    <w:basedOn w:val="84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 Accent 2"/>
    <w:basedOn w:val="84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4 - Accent 3"/>
    <w:basedOn w:val="84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4 - Accent 4"/>
    <w:basedOn w:val="84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4 - Accent 5"/>
    <w:basedOn w:val="84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4 - Accent 6"/>
    <w:basedOn w:val="84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5 Dark - Accent 1"/>
    <w:basedOn w:val="84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6">
    <w:name w:val="List Table 5 Dark - Accent 2"/>
    <w:basedOn w:val="84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7">
    <w:name w:val="List Table 5 Dark - Accent 3"/>
    <w:basedOn w:val="84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8">
    <w:name w:val="List Table 5 Dark - Accent 4"/>
    <w:basedOn w:val="84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9">
    <w:name w:val="List Table 5 Dark - Accent 5"/>
    <w:basedOn w:val="84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0">
    <w:name w:val="List Table 5 Dark - Accent 6"/>
    <w:basedOn w:val="84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paragraph" w:styleId="831"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832">
    <w:name w:val="Heading 1"/>
    <w:basedOn w:val="1000"/>
    <w:next w:val="831"/>
    <w:link w:val="990"/>
    <w:qFormat/>
    <w:pPr>
      <w:numPr>
        <w:numId w:val="1"/>
      </w:numPr>
      <w:pBdr/>
      <w:spacing/>
      <w:ind/>
      <w:jc w:val="center"/>
      <w:outlineLvl w:val="0"/>
    </w:pPr>
    <w:rPr>
      <w:b/>
    </w:rPr>
  </w:style>
  <w:style w:type="paragraph" w:styleId="833">
    <w:name w:val="Heading 2"/>
    <w:basedOn w:val="831"/>
    <w:next w:val="831"/>
    <w:link w:val="991"/>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834">
    <w:name w:val="Heading 3"/>
    <w:basedOn w:val="831"/>
    <w:next w:val="831"/>
    <w:link w:val="992"/>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835">
    <w:name w:val="Heading 4"/>
    <w:basedOn w:val="831"/>
    <w:next w:val="831"/>
    <w:link w:val="993"/>
    <w:qFormat/>
    <w:pPr>
      <w:keepNext w:val="true"/>
      <w:pBdr/>
      <w:spacing/>
      <w:ind/>
      <w:outlineLvl w:val="3"/>
    </w:pPr>
    <w:rPr>
      <w:rFonts w:ascii="Baltica RR" w:hAnsi="Baltica RR"/>
      <w:b/>
      <w:szCs w:val="20"/>
      <w:lang w:eastAsia="ru-RU"/>
    </w:rPr>
  </w:style>
  <w:style w:type="paragraph" w:styleId="836">
    <w:name w:val="Heading 5"/>
    <w:basedOn w:val="831"/>
    <w:next w:val="831"/>
    <w:link w:val="994"/>
    <w:qFormat/>
    <w:pPr>
      <w:keepNext w:val="true"/>
      <w:pBdr/>
      <w:spacing/>
      <w:ind w:firstLine="6804"/>
      <w:outlineLvl w:val="4"/>
    </w:pPr>
    <w:rPr>
      <w:sz w:val="28"/>
      <w:szCs w:val="20"/>
      <w:lang w:eastAsia="ru-RU"/>
    </w:rPr>
  </w:style>
  <w:style w:type="paragraph" w:styleId="837">
    <w:name w:val="Heading 6"/>
    <w:basedOn w:val="831"/>
    <w:next w:val="831"/>
    <w:link w:val="970"/>
    <w:uiPriority w:val="9"/>
    <w:unhideWhenUsed/>
    <w:qFormat/>
    <w:pPr>
      <w:keepNext w:val="true"/>
      <w:keepLines w:val="true"/>
      <w:pBdr/>
      <w:spacing w:before="40"/>
      <w:ind/>
      <w:outlineLvl w:val="5"/>
    </w:pPr>
    <w:rPr>
      <w:rFonts w:ascii="Arial" w:hAnsi="Arial" w:eastAsia="Arial" w:cs="Arial"/>
      <w:i/>
      <w:iCs/>
      <w:color w:val="595959" w:themeColor="text1" w:themeTint="A6"/>
    </w:rPr>
  </w:style>
  <w:style w:type="paragraph" w:styleId="838">
    <w:name w:val="Heading 7"/>
    <w:basedOn w:val="831"/>
    <w:next w:val="831"/>
    <w:link w:val="971"/>
    <w:uiPriority w:val="9"/>
    <w:unhideWhenUsed/>
    <w:qFormat/>
    <w:pPr>
      <w:keepNext w:val="true"/>
      <w:keepLines w:val="true"/>
      <w:pBdr/>
      <w:spacing w:before="40"/>
      <w:ind/>
      <w:outlineLvl w:val="6"/>
    </w:pPr>
    <w:rPr>
      <w:rFonts w:ascii="Arial" w:hAnsi="Arial" w:eastAsia="Arial" w:cs="Arial"/>
      <w:color w:val="595959" w:themeColor="text1" w:themeTint="A6"/>
    </w:rPr>
  </w:style>
  <w:style w:type="paragraph" w:styleId="839">
    <w:name w:val="Heading 8"/>
    <w:basedOn w:val="831"/>
    <w:next w:val="831"/>
    <w:link w:val="995"/>
    <w:semiHidden/>
    <w:unhideWhenUsed/>
    <w:qFormat/>
    <w:pPr>
      <w:pBdr/>
      <w:spacing w:after="60" w:before="240"/>
      <w:ind/>
      <w:outlineLvl w:val="7"/>
    </w:pPr>
    <w:rPr>
      <w:rFonts w:ascii="Calibri" w:hAnsi="Calibri"/>
      <w:i/>
      <w:iCs/>
    </w:rPr>
  </w:style>
  <w:style w:type="paragraph" w:styleId="840">
    <w:name w:val="Heading 9"/>
    <w:basedOn w:val="831"/>
    <w:next w:val="831"/>
    <w:link w:val="996"/>
    <w:semiHidden/>
    <w:unhideWhenUsed/>
    <w:qFormat/>
    <w:pPr>
      <w:pBdr/>
      <w:spacing w:after="60" w:before="240"/>
      <w:ind/>
      <w:outlineLvl w:val="8"/>
    </w:pPr>
    <w:rPr>
      <w:rFonts w:ascii="Cambria" w:hAnsi="Cambria"/>
      <w:sz w:val="22"/>
      <w:szCs w:val="22"/>
    </w:rPr>
  </w:style>
  <w:style w:type="character" w:styleId="841" w:default="1">
    <w:name w:val="Default Paragraph Font"/>
    <w:uiPriority w:val="1"/>
    <w:semiHidden/>
    <w:unhideWhenUsed/>
    <w:pPr>
      <w:pBdr/>
      <w:spacing/>
      <w:ind/>
    </w:pPr>
  </w:style>
  <w:style w:type="table" w:styleId="84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43" w:default="1">
    <w:name w:val="No List"/>
    <w:uiPriority w:val="99"/>
    <w:semiHidden/>
    <w:unhideWhenUsed/>
    <w:pPr>
      <w:pBdr/>
      <w:spacing/>
      <w:ind/>
    </w:pPr>
  </w:style>
  <w:style w:type="character" w:styleId="844" w:customStyle="1">
    <w:name w:val="Caption Char"/>
    <w:uiPriority w:val="99"/>
    <w:pPr>
      <w:pBdr/>
      <w:spacing/>
      <w:ind/>
    </w:pPr>
  </w:style>
  <w:style w:type="table" w:styleId="845" w:customStyle="1">
    <w:name w:val="Table Grid Light1"/>
    <w:basedOn w:val="842"/>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Plain Table 1"/>
    <w:basedOn w:val="842"/>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Plain Table 2"/>
    <w:basedOn w:val="842"/>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Plain Table 3"/>
    <w:basedOn w:val="842"/>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Plain Table 4"/>
    <w:basedOn w:val="842"/>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Plain Table 5"/>
    <w:basedOn w:val="842"/>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1 Light"/>
    <w:basedOn w:val="842"/>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Grid Table 1 Light - Accent 11"/>
    <w:basedOn w:val="842"/>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Grid Table 1 Light - Accent 2"/>
    <w:basedOn w:val="842"/>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Grid Table 1 Light - Accent 31"/>
    <w:basedOn w:val="842"/>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Grid Table 1 Light - Accent 41"/>
    <w:basedOn w:val="842"/>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Grid Table 1 Light - Accent 51"/>
    <w:basedOn w:val="842"/>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Grid Table 1 Light - Accent 61"/>
    <w:basedOn w:val="842"/>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2"/>
    <w:basedOn w:val="842"/>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Grid Table 2 - Accent 11"/>
    <w:basedOn w:val="842"/>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Grid Table 2 - Accent 21"/>
    <w:basedOn w:val="842"/>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Grid Table 2 - Accent 31"/>
    <w:basedOn w:val="842"/>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Grid Table 2 - Accent 41"/>
    <w:basedOn w:val="842"/>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Grid Table 2 - Accent 51"/>
    <w:basedOn w:val="842"/>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Grid Table 2 - Accent 61"/>
    <w:basedOn w:val="842"/>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3"/>
    <w:basedOn w:val="842"/>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Grid Table 3 - Accent 11"/>
    <w:basedOn w:val="842"/>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Grid Table 3 - Accent 21"/>
    <w:basedOn w:val="842"/>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Grid Table 3 - Accent 31"/>
    <w:basedOn w:val="842"/>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Grid Table 3 - Accent 41"/>
    <w:basedOn w:val="842"/>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Grid Table 3 - Accent 51"/>
    <w:basedOn w:val="842"/>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Grid Table 3 - Accent 61"/>
    <w:basedOn w:val="842"/>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4"/>
    <w:basedOn w:val="842"/>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Grid Table 4 - Accent 11"/>
    <w:basedOn w:val="842"/>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Grid Table 4 - Accent 21"/>
    <w:basedOn w:val="842"/>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Grid Table 4 - Accent 31"/>
    <w:basedOn w:val="842"/>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Grid Table 4 - Accent 41"/>
    <w:basedOn w:val="842"/>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Grid Table 4 - Accent 51"/>
    <w:basedOn w:val="842"/>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Grid Table 4 - Accent 61"/>
    <w:basedOn w:val="842"/>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5 Dark"/>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Grid Table 5 Dark- Accent 1"/>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Grid Table 5 Dark - Accent 21"/>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Grid Table 5 Dark - Accent 31"/>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Grid Table 5 Dark- Accent 4"/>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Grid Table 5 Dark - Accent 51"/>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Grid Table 5 Dark - Accent 61"/>
    <w:basedOn w:val="842"/>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6 Colorful"/>
    <w:basedOn w:val="842"/>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Grid Table 6 Colorful - Accent 1"/>
    <w:basedOn w:val="842"/>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Grid Table 6 Colorful - Accent 2"/>
    <w:basedOn w:val="842"/>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Grid Table 6 Colorful - Accent 3"/>
    <w:basedOn w:val="842"/>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Grid Table 6 Colorful - Accent 4"/>
    <w:basedOn w:val="842"/>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Grid Table 6 Colorful - Accent 5"/>
    <w:basedOn w:val="842"/>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Grid Table 6 Colorful - Accent 6"/>
    <w:basedOn w:val="842"/>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7 Colorful"/>
    <w:basedOn w:val="842"/>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Grid Table 7 Colorful - Accent 1"/>
    <w:basedOn w:val="842"/>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Grid Table 7 Colorful - Accent 2"/>
    <w:basedOn w:val="842"/>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Grid Table 7 Colorful - Accent 3"/>
    <w:basedOn w:val="842"/>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Grid Table 7 Colorful - Accent 4"/>
    <w:basedOn w:val="842"/>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Grid Table 7 Colorful - Accent 5"/>
    <w:basedOn w:val="842"/>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Grid Table 7 Colorful - Accent 6"/>
    <w:basedOn w:val="842"/>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1 Light"/>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List Table 1 Light - Accent 1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List Table 1 Light - Accent 2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List Table 1 Light - Accent 3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List Table 1 Light - Accent 4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List Table 1 Light - Accent 5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List Table 1 Light - Accent 61"/>
    <w:basedOn w:val="84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2"/>
    <w:basedOn w:val="842"/>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List Table 2 - Accent 11"/>
    <w:basedOn w:val="842"/>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List Table 2 - Accent 21"/>
    <w:basedOn w:val="842"/>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List Table 2 - Accent 31"/>
    <w:basedOn w:val="842"/>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List Table 2 - Accent 41"/>
    <w:basedOn w:val="842"/>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List Table 2 - Accent 51"/>
    <w:basedOn w:val="842"/>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List Table 2 - Accent 61"/>
    <w:basedOn w:val="842"/>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3"/>
    <w:basedOn w:val="842"/>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List Table 3 - Accent 11"/>
    <w:basedOn w:val="842"/>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List Table 3 - Accent 21"/>
    <w:basedOn w:val="842"/>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List Table 3 - Accent 31"/>
    <w:basedOn w:val="842"/>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List Table 3 - Accent 41"/>
    <w:basedOn w:val="842"/>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List Table 3 - Accent 51"/>
    <w:basedOn w:val="842"/>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List Table 3 - Accent 61"/>
    <w:basedOn w:val="842"/>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4"/>
    <w:basedOn w:val="842"/>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List Table 4 - Accent 11"/>
    <w:basedOn w:val="842"/>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List Table 4 - Accent 21"/>
    <w:basedOn w:val="842"/>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List Table 4 - Accent 31"/>
    <w:basedOn w:val="842"/>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List Table 4 - Accent 41"/>
    <w:basedOn w:val="842"/>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List Table 4 - Accent 51"/>
    <w:basedOn w:val="842"/>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List Table 4 - Accent 61"/>
    <w:basedOn w:val="842"/>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5 Dark"/>
    <w:basedOn w:val="842"/>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List Table 5 Dark - Accent 11"/>
    <w:basedOn w:val="842"/>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List Table 5 Dark - Accent 21"/>
    <w:basedOn w:val="842"/>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List Table 5 Dark - Accent 31"/>
    <w:basedOn w:val="842"/>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List Table 5 Dark - Accent 41"/>
    <w:basedOn w:val="842"/>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List Table 5 Dark - Accent 51"/>
    <w:basedOn w:val="842"/>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List Table 5 Dark - Accent 61"/>
    <w:basedOn w:val="842"/>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6 Colorful"/>
    <w:basedOn w:val="842"/>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List Table 6 Colorful - Accent 1"/>
    <w:basedOn w:val="842"/>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List Table 6 Colorful - Accent 2"/>
    <w:basedOn w:val="842"/>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List Table 6 Colorful - Accent 3"/>
    <w:basedOn w:val="842"/>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List Table 6 Colorful - Accent 4"/>
    <w:basedOn w:val="842"/>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List Table 6 Colorful - Accent 5"/>
    <w:basedOn w:val="842"/>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List Table 6 Colorful - Accent 6"/>
    <w:basedOn w:val="842"/>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7 Colorful"/>
    <w:basedOn w:val="842"/>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List Table 7 Colorful - Accent 1"/>
    <w:basedOn w:val="842"/>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List Table 7 Colorful - Accent 2"/>
    <w:basedOn w:val="842"/>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List Table 7 Colorful - Accent 3"/>
    <w:basedOn w:val="842"/>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List Table 7 Colorful - Accent 4"/>
    <w:basedOn w:val="842"/>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List Table 7 Colorful - Accent 5"/>
    <w:basedOn w:val="842"/>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List Table 7 Colorful - Accent 6"/>
    <w:basedOn w:val="842"/>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Lined - Accent"/>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Lined - Accent 1"/>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Lined - Accent 2"/>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Lined - Accent 3"/>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Lined - Accent 4"/>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Lined - Accent 5"/>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Lined - Accent 6"/>
    <w:basedOn w:val="842"/>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Bordered &amp; Lined - Accent"/>
    <w:basedOn w:val="842"/>
    <w:uiPriority w:val="99"/>
    <w:pPr>
      <w:pBdr/>
      <w:spacing w:after="0" w:line="240" w:lineRule="auto"/>
      <w:ind/>
    </w:pPr>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Bordered &amp; Lined - Accent 1"/>
    <w:basedOn w:val="842"/>
    <w:uiPriority w:val="99"/>
    <w:pPr>
      <w:pBdr/>
      <w:spacing w:after="0" w:line="240" w:lineRule="auto"/>
      <w:ind/>
    </w:pPr>
    <w:rPr>
      <w:color w:val="404040"/>
      <w:sz w:val="20"/>
      <w:szCs w:val="2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Bordered &amp; Lined - Accent 2"/>
    <w:basedOn w:val="842"/>
    <w:uiPriority w:val="99"/>
    <w:pPr>
      <w:pBdr/>
      <w:spacing w:after="0" w:line="240" w:lineRule="auto"/>
      <w:ind/>
    </w:pPr>
    <w:rPr>
      <w:color w:val="404040"/>
      <w:sz w:val="20"/>
      <w:szCs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Bordered &amp; Lined - Accent 3"/>
    <w:basedOn w:val="842"/>
    <w:uiPriority w:val="99"/>
    <w:pPr>
      <w:pBdr/>
      <w:spacing w:after="0" w:line="240" w:lineRule="auto"/>
      <w:ind/>
    </w:pPr>
    <w:rPr>
      <w:color w:val="404040"/>
      <w:sz w:val="20"/>
      <w:szCs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Bordered &amp; Lined - Accent 4"/>
    <w:basedOn w:val="842"/>
    <w:uiPriority w:val="99"/>
    <w:pPr>
      <w:pBdr/>
      <w:spacing w:after="0" w:line="240" w:lineRule="auto"/>
      <w:ind/>
    </w:pPr>
    <w:rPr>
      <w:color w:val="404040"/>
      <w:sz w:val="20"/>
      <w:szCs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Bordered &amp; Lined - Accent 5"/>
    <w:basedOn w:val="842"/>
    <w:uiPriority w:val="99"/>
    <w:pPr>
      <w:pBdr/>
      <w:spacing w:after="0" w:line="240" w:lineRule="auto"/>
      <w:ind/>
    </w:pPr>
    <w:rPr>
      <w:color w:val="404040"/>
      <w:sz w:val="20"/>
      <w:szCs w:val="2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Bordered &amp; Lined - Accent 6"/>
    <w:basedOn w:val="842"/>
    <w:uiPriority w:val="99"/>
    <w:pPr>
      <w:pBdr/>
      <w:spacing w:after="0" w:line="240" w:lineRule="auto"/>
      <w:ind/>
    </w:pPr>
    <w:rPr>
      <w:color w:val="404040"/>
      <w:sz w:val="20"/>
      <w:szCs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Bordered"/>
    <w:basedOn w:val="842"/>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Bordered - Accent 1"/>
    <w:basedOn w:val="842"/>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Bordered - Accent 2"/>
    <w:basedOn w:val="842"/>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Bordered - Accent 3"/>
    <w:basedOn w:val="842"/>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Bordered - Accent 4"/>
    <w:basedOn w:val="842"/>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Bordered - Accent 5"/>
    <w:basedOn w:val="842"/>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Bordered - Accent 6"/>
    <w:basedOn w:val="842"/>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70" w:customStyle="1">
    <w:name w:val="Heading 6 Char"/>
    <w:basedOn w:val="841"/>
    <w:link w:val="837"/>
    <w:uiPriority w:val="9"/>
    <w:pPr>
      <w:pBdr/>
      <w:spacing/>
      <w:ind/>
    </w:pPr>
    <w:rPr>
      <w:rFonts w:ascii="Arial" w:hAnsi="Arial" w:eastAsia="Arial" w:cs="Arial"/>
      <w:i/>
      <w:iCs/>
      <w:color w:val="595959" w:themeColor="text1" w:themeTint="A6"/>
    </w:rPr>
  </w:style>
  <w:style w:type="character" w:styleId="971" w:customStyle="1">
    <w:name w:val="Heading 7 Char"/>
    <w:basedOn w:val="841"/>
    <w:link w:val="838"/>
    <w:uiPriority w:val="9"/>
    <w:pPr>
      <w:pBdr/>
      <w:spacing/>
      <w:ind/>
    </w:pPr>
    <w:rPr>
      <w:rFonts w:ascii="Arial" w:hAnsi="Arial" w:eastAsia="Arial" w:cs="Arial"/>
      <w:color w:val="595959" w:themeColor="text1" w:themeTint="A6"/>
    </w:rPr>
  </w:style>
  <w:style w:type="paragraph" w:styleId="972">
    <w:name w:val="Title"/>
    <w:basedOn w:val="831"/>
    <w:next w:val="831"/>
    <w:link w:val="973"/>
    <w:uiPriority w:val="10"/>
    <w:qFormat/>
    <w:pPr>
      <w:pBdr/>
      <w:spacing w:after="80"/>
      <w:ind/>
      <w:contextualSpacing w:val="true"/>
    </w:pPr>
    <w:rPr>
      <w:rFonts w:ascii="Arial" w:hAnsi="Arial" w:eastAsia="Arial" w:cs="Arial"/>
      <w:spacing w:val="-10"/>
      <w:sz w:val="56"/>
      <w:szCs w:val="56"/>
    </w:rPr>
  </w:style>
  <w:style w:type="character" w:styleId="973" w:customStyle="1">
    <w:name w:val="Title Char"/>
    <w:basedOn w:val="841"/>
    <w:link w:val="972"/>
    <w:uiPriority w:val="10"/>
    <w:pPr>
      <w:pBdr/>
      <w:spacing/>
      <w:ind/>
    </w:pPr>
    <w:rPr>
      <w:rFonts w:ascii="Arial" w:hAnsi="Arial" w:eastAsia="Arial" w:cs="Arial"/>
      <w:spacing w:val="-10"/>
      <w:sz w:val="56"/>
      <w:szCs w:val="56"/>
    </w:rPr>
  </w:style>
  <w:style w:type="paragraph" w:styleId="974">
    <w:name w:val="Quote"/>
    <w:basedOn w:val="831"/>
    <w:next w:val="831"/>
    <w:link w:val="975"/>
    <w:uiPriority w:val="29"/>
    <w:qFormat/>
    <w:pPr>
      <w:pBdr/>
      <w:spacing w:before="160"/>
      <w:ind/>
      <w:jc w:val="center"/>
    </w:pPr>
    <w:rPr>
      <w:i/>
      <w:iCs/>
      <w:color w:val="404040" w:themeColor="text1" w:themeTint="BF"/>
    </w:rPr>
  </w:style>
  <w:style w:type="character" w:styleId="975" w:customStyle="1">
    <w:name w:val="Quote Char"/>
    <w:basedOn w:val="841"/>
    <w:link w:val="974"/>
    <w:uiPriority w:val="29"/>
    <w:pPr>
      <w:pBdr/>
      <w:spacing/>
      <w:ind/>
    </w:pPr>
    <w:rPr>
      <w:i/>
      <w:iCs/>
      <w:color w:val="404040" w:themeColor="text1" w:themeTint="BF"/>
    </w:rPr>
  </w:style>
  <w:style w:type="character" w:styleId="976">
    <w:name w:val="Intense Emphasis"/>
    <w:basedOn w:val="841"/>
    <w:uiPriority w:val="21"/>
    <w:qFormat/>
    <w:pPr>
      <w:pBdr/>
      <w:spacing/>
      <w:ind/>
    </w:pPr>
    <w:rPr>
      <w:i/>
      <w:iCs/>
      <w:color w:val="2e74b5" w:themeColor="accent1" w:themeShade="BF"/>
    </w:rPr>
  </w:style>
  <w:style w:type="paragraph" w:styleId="977">
    <w:name w:val="Intense Quote"/>
    <w:basedOn w:val="831"/>
    <w:next w:val="831"/>
    <w:link w:val="978"/>
    <w:uiPriority w:val="30"/>
    <w:qFormat/>
    <w:pPr>
      <w:pBdr>
        <w:top w:val="single" w:color="2e74b5" w:themeColor="accent1" w:themeShade="BF" w:sz="4" w:space="10"/>
        <w:bottom w:val="single" w:color="2e74b5" w:themeColor="accent1" w:themeShade="BF" w:sz="4" w:space="10"/>
      </w:pBdr>
      <w:spacing w:after="360" w:before="360"/>
      <w:ind w:right="864" w:left="864"/>
      <w:jc w:val="center"/>
    </w:pPr>
    <w:rPr>
      <w:i/>
      <w:iCs/>
      <w:color w:val="2e74b5" w:themeColor="accent1" w:themeShade="BF"/>
    </w:rPr>
  </w:style>
  <w:style w:type="character" w:styleId="978" w:customStyle="1">
    <w:name w:val="Intense Quote Char"/>
    <w:basedOn w:val="841"/>
    <w:link w:val="977"/>
    <w:uiPriority w:val="30"/>
    <w:pPr>
      <w:pBdr/>
      <w:spacing/>
      <w:ind/>
    </w:pPr>
    <w:rPr>
      <w:i/>
      <w:iCs/>
      <w:color w:val="2e74b5" w:themeColor="accent1" w:themeShade="BF"/>
    </w:rPr>
  </w:style>
  <w:style w:type="character" w:styleId="979">
    <w:name w:val="Intense Reference"/>
    <w:basedOn w:val="841"/>
    <w:uiPriority w:val="32"/>
    <w:qFormat/>
    <w:pPr>
      <w:pBdr/>
      <w:spacing/>
      <w:ind/>
    </w:pPr>
    <w:rPr>
      <w:b/>
      <w:bCs/>
      <w:smallCaps/>
      <w:color w:val="2e74b5" w:themeColor="accent1" w:themeShade="BF"/>
      <w:spacing w:val="5"/>
    </w:rPr>
  </w:style>
  <w:style w:type="paragraph" w:styleId="980">
    <w:name w:val="No Spacing"/>
    <w:basedOn w:val="831"/>
    <w:uiPriority w:val="1"/>
    <w:qFormat/>
    <w:pPr>
      <w:pBdr/>
      <w:spacing/>
      <w:ind/>
    </w:pPr>
  </w:style>
  <w:style w:type="character" w:styleId="981">
    <w:name w:val="Subtle Emphasis"/>
    <w:basedOn w:val="841"/>
    <w:uiPriority w:val="19"/>
    <w:qFormat/>
    <w:pPr>
      <w:pBdr/>
      <w:spacing/>
      <w:ind/>
    </w:pPr>
    <w:rPr>
      <w:i/>
      <w:iCs/>
      <w:color w:val="404040" w:themeColor="text1" w:themeTint="BF"/>
    </w:rPr>
  </w:style>
  <w:style w:type="character" w:styleId="982">
    <w:name w:val="Emphasis"/>
    <w:basedOn w:val="841"/>
    <w:uiPriority w:val="20"/>
    <w:qFormat/>
    <w:pPr>
      <w:pBdr/>
      <w:spacing/>
      <w:ind/>
    </w:pPr>
    <w:rPr>
      <w:i/>
      <w:iCs/>
    </w:rPr>
  </w:style>
  <w:style w:type="character" w:styleId="983">
    <w:name w:val="Subtle Reference"/>
    <w:basedOn w:val="841"/>
    <w:uiPriority w:val="31"/>
    <w:qFormat/>
    <w:pPr>
      <w:pBdr/>
      <w:spacing/>
      <w:ind/>
    </w:pPr>
    <w:rPr>
      <w:smallCaps/>
      <w:color w:val="5a5a5a" w:themeColor="text1" w:themeTint="A5"/>
    </w:rPr>
  </w:style>
  <w:style w:type="character" w:styleId="984">
    <w:name w:val="Book Title"/>
    <w:basedOn w:val="841"/>
    <w:uiPriority w:val="33"/>
    <w:qFormat/>
    <w:pPr>
      <w:pBdr/>
      <w:spacing/>
      <w:ind/>
    </w:pPr>
    <w:rPr>
      <w:b/>
      <w:bCs/>
      <w:i/>
      <w:iCs/>
      <w:spacing w:val="5"/>
    </w:rPr>
  </w:style>
  <w:style w:type="paragraph" w:styleId="985">
    <w:name w:val="endnote text"/>
    <w:basedOn w:val="831"/>
    <w:link w:val="986"/>
    <w:uiPriority w:val="99"/>
    <w:semiHidden/>
    <w:unhideWhenUsed/>
    <w:pPr>
      <w:pBdr/>
      <w:spacing/>
      <w:ind/>
    </w:pPr>
    <w:rPr>
      <w:sz w:val="20"/>
      <w:szCs w:val="20"/>
    </w:rPr>
  </w:style>
  <w:style w:type="character" w:styleId="986" w:customStyle="1">
    <w:name w:val="Endnote Text Char"/>
    <w:basedOn w:val="841"/>
    <w:link w:val="985"/>
    <w:uiPriority w:val="99"/>
    <w:semiHidden/>
    <w:pPr>
      <w:pBdr/>
      <w:spacing/>
      <w:ind/>
    </w:pPr>
    <w:rPr>
      <w:sz w:val="20"/>
      <w:szCs w:val="20"/>
    </w:rPr>
  </w:style>
  <w:style w:type="character" w:styleId="987">
    <w:name w:val="endnote reference"/>
    <w:basedOn w:val="841"/>
    <w:uiPriority w:val="99"/>
    <w:semiHidden/>
    <w:unhideWhenUsed/>
    <w:pPr>
      <w:pBdr/>
      <w:spacing/>
      <w:ind/>
    </w:pPr>
    <w:rPr>
      <w:vertAlign w:val="superscript"/>
    </w:rPr>
  </w:style>
  <w:style w:type="character" w:styleId="988">
    <w:name w:val="FollowedHyperlink"/>
    <w:basedOn w:val="841"/>
    <w:uiPriority w:val="99"/>
    <w:semiHidden/>
    <w:unhideWhenUsed/>
    <w:pPr>
      <w:pBdr/>
      <w:spacing/>
      <w:ind/>
    </w:pPr>
    <w:rPr>
      <w:color w:val="954f72" w:themeColor="followedHyperlink"/>
      <w:u w:val="single"/>
    </w:rPr>
  </w:style>
  <w:style w:type="paragraph" w:styleId="989">
    <w:name w:val="table of figures"/>
    <w:basedOn w:val="831"/>
    <w:next w:val="831"/>
    <w:uiPriority w:val="99"/>
    <w:unhideWhenUsed/>
    <w:pPr>
      <w:pBdr/>
      <w:spacing/>
      <w:ind/>
    </w:pPr>
  </w:style>
  <w:style w:type="character" w:styleId="990" w:customStyle="1">
    <w:name w:val="Heading 1 Char"/>
    <w:basedOn w:val="841"/>
    <w:link w:val="832"/>
    <w:pPr>
      <w:pBdr/>
      <w:spacing/>
      <w:ind/>
    </w:pPr>
    <w:rPr>
      <w:rFonts w:ascii="Times New Roman" w:hAnsi="Times New Roman" w:eastAsia="Times New Roman" w:cs="Times New Roman"/>
      <w:b/>
      <w:sz w:val="24"/>
      <w:szCs w:val="24"/>
      <w:lang w:val="en-US"/>
    </w:rPr>
  </w:style>
  <w:style w:type="character" w:styleId="991" w:customStyle="1">
    <w:name w:val="Heading 2 Char"/>
    <w:basedOn w:val="841"/>
    <w:link w:val="833"/>
    <w:pPr>
      <w:pBdr/>
      <w:spacing/>
      <w:ind/>
    </w:pPr>
    <w:rPr>
      <w:rFonts w:asciiTheme="majorHAnsi" w:hAnsiTheme="majorHAnsi" w:eastAsiaTheme="majorEastAsia" w:cstheme="majorBidi"/>
      <w:b/>
      <w:bCs/>
      <w:color w:val="5b9bd5" w:themeColor="accent1"/>
      <w:sz w:val="26"/>
      <w:szCs w:val="26"/>
      <w:lang w:val="ro-RO"/>
    </w:rPr>
  </w:style>
  <w:style w:type="character" w:styleId="992" w:customStyle="1">
    <w:name w:val="Heading 3 Char"/>
    <w:basedOn w:val="841"/>
    <w:link w:val="834"/>
    <w:pPr>
      <w:pBdr/>
      <w:spacing/>
      <w:ind/>
    </w:pPr>
    <w:rPr>
      <w:rFonts w:asciiTheme="majorHAnsi" w:hAnsiTheme="majorHAnsi" w:eastAsiaTheme="majorEastAsia" w:cstheme="majorBidi"/>
      <w:b/>
      <w:bCs/>
      <w:color w:val="5b9bd5" w:themeColor="accent1"/>
      <w:sz w:val="24"/>
      <w:szCs w:val="24"/>
      <w:lang w:val="ro-RO"/>
    </w:rPr>
  </w:style>
  <w:style w:type="character" w:styleId="993" w:customStyle="1">
    <w:name w:val="Heading 4 Char"/>
    <w:basedOn w:val="841"/>
    <w:link w:val="835"/>
    <w:pPr>
      <w:pBdr/>
      <w:spacing/>
      <w:ind/>
    </w:pPr>
    <w:rPr>
      <w:rFonts w:ascii="Baltica RR" w:hAnsi="Baltica RR" w:eastAsia="Times New Roman" w:cs="Times New Roman"/>
      <w:b/>
      <w:sz w:val="24"/>
      <w:szCs w:val="20"/>
      <w:lang w:val="ro-RO" w:eastAsia="ru-RU"/>
    </w:rPr>
  </w:style>
  <w:style w:type="character" w:styleId="994" w:customStyle="1">
    <w:name w:val="Heading 5 Char"/>
    <w:basedOn w:val="841"/>
    <w:link w:val="836"/>
    <w:pPr>
      <w:pBdr/>
      <w:spacing/>
      <w:ind/>
    </w:pPr>
    <w:rPr>
      <w:rFonts w:ascii="Times New Roman" w:hAnsi="Times New Roman" w:eastAsia="Times New Roman" w:cs="Times New Roman"/>
      <w:sz w:val="28"/>
      <w:szCs w:val="20"/>
      <w:lang w:val="ro-RO" w:eastAsia="ru-RU"/>
    </w:rPr>
  </w:style>
  <w:style w:type="character" w:styleId="995" w:customStyle="1">
    <w:name w:val="Heading 8 Char"/>
    <w:basedOn w:val="841"/>
    <w:link w:val="839"/>
    <w:semiHidden/>
    <w:pPr>
      <w:pBdr/>
      <w:spacing/>
      <w:ind/>
    </w:pPr>
    <w:rPr>
      <w:rFonts w:ascii="Calibri" w:hAnsi="Calibri" w:eastAsia="Times New Roman" w:cs="Times New Roman"/>
      <w:i/>
      <w:iCs/>
      <w:sz w:val="24"/>
      <w:szCs w:val="24"/>
      <w:lang w:val="ro-RO"/>
    </w:rPr>
  </w:style>
  <w:style w:type="character" w:styleId="996" w:customStyle="1">
    <w:name w:val="Heading 9 Char"/>
    <w:basedOn w:val="841"/>
    <w:link w:val="840"/>
    <w:semiHidden/>
    <w:pPr>
      <w:pBdr/>
      <w:spacing/>
      <w:ind/>
    </w:pPr>
    <w:rPr>
      <w:rFonts w:ascii="Cambria" w:hAnsi="Cambria" w:eastAsia="Times New Roman" w:cs="Times New Roman"/>
      <w:lang w:val="ro-RO"/>
    </w:rPr>
  </w:style>
  <w:style w:type="paragraph" w:styleId="997">
    <w:name w:val="Footer"/>
    <w:basedOn w:val="831"/>
    <w:link w:val="998"/>
    <w:uiPriority w:val="99"/>
    <w:pPr>
      <w:pBdr/>
      <w:tabs>
        <w:tab w:val="center" w:leader="none" w:pos="4536"/>
        <w:tab w:val="right" w:leader="none" w:pos="9072"/>
      </w:tabs>
      <w:spacing/>
      <w:ind/>
    </w:pPr>
  </w:style>
  <w:style w:type="character" w:styleId="998" w:customStyle="1">
    <w:name w:val="Footer Char"/>
    <w:basedOn w:val="841"/>
    <w:link w:val="997"/>
    <w:uiPriority w:val="99"/>
    <w:pPr>
      <w:pBdr/>
      <w:spacing/>
      <w:ind/>
    </w:pPr>
    <w:rPr>
      <w:rFonts w:ascii="Times New Roman" w:hAnsi="Times New Roman" w:eastAsia="Times New Roman" w:cs="Times New Roman"/>
      <w:sz w:val="24"/>
      <w:szCs w:val="24"/>
      <w:lang w:val="ro-RO"/>
    </w:rPr>
  </w:style>
  <w:style w:type="character" w:styleId="999">
    <w:name w:val="page number"/>
    <w:basedOn w:val="841"/>
    <w:pPr>
      <w:pBdr/>
      <w:spacing/>
      <w:ind/>
    </w:pPr>
  </w:style>
  <w:style w:type="paragraph" w:styleId="1000">
    <w:name w:val="List Paragraph"/>
    <w:basedOn w:val="831"/>
    <w:link w:val="1073"/>
    <w:uiPriority w:val="34"/>
    <w:qFormat/>
    <w:pPr>
      <w:numPr>
        <w:numId w:val="2"/>
      </w:numPr>
      <w:pBdr/>
      <w:tabs>
        <w:tab w:val="left" w:leader="none" w:pos="1134"/>
      </w:tabs>
      <w:spacing/>
      <w:ind/>
      <w:jc w:val="both"/>
    </w:pPr>
    <w:rPr>
      <w:lang w:val="en-US"/>
    </w:rPr>
  </w:style>
  <w:style w:type="paragraph" w:styleId="1001">
    <w:name w:val="Body Text"/>
    <w:basedOn w:val="831"/>
    <w:link w:val="1002"/>
    <w:pPr>
      <w:pBdr/>
      <w:spacing/>
      <w:ind/>
    </w:pPr>
    <w:rPr>
      <w:rFonts w:ascii="Baltica RR" w:hAnsi="Baltica RR"/>
      <w:szCs w:val="20"/>
    </w:rPr>
  </w:style>
  <w:style w:type="character" w:styleId="1002" w:customStyle="1">
    <w:name w:val="Body Text Char"/>
    <w:basedOn w:val="841"/>
    <w:link w:val="1001"/>
    <w:pPr>
      <w:pBdr/>
      <w:spacing/>
      <w:ind/>
    </w:pPr>
    <w:rPr>
      <w:rFonts w:ascii="Baltica RR" w:hAnsi="Baltica RR" w:eastAsia="Times New Roman" w:cs="Times New Roman"/>
      <w:sz w:val="24"/>
      <w:szCs w:val="20"/>
      <w:lang w:val="ro-RO"/>
    </w:rPr>
  </w:style>
  <w:style w:type="paragraph" w:styleId="1003">
    <w:name w:val="Header"/>
    <w:basedOn w:val="831"/>
    <w:link w:val="1004"/>
    <w:pPr>
      <w:pBdr/>
      <w:tabs>
        <w:tab w:val="center" w:leader="none" w:pos="4703"/>
        <w:tab w:val="right" w:leader="none" w:pos="9406"/>
      </w:tabs>
      <w:spacing/>
      <w:ind/>
    </w:pPr>
    <w:rPr>
      <w:sz w:val="20"/>
      <w:szCs w:val="20"/>
      <w:lang w:val="ru-RU" w:eastAsia="ru-RU"/>
    </w:rPr>
  </w:style>
  <w:style w:type="character" w:styleId="1004" w:customStyle="1">
    <w:name w:val="Header Char"/>
    <w:basedOn w:val="841"/>
    <w:link w:val="1003"/>
    <w:pPr>
      <w:pBdr/>
      <w:spacing/>
      <w:ind/>
    </w:pPr>
    <w:rPr>
      <w:rFonts w:ascii="Times New Roman" w:hAnsi="Times New Roman" w:eastAsia="Times New Roman" w:cs="Times New Roman"/>
      <w:sz w:val="20"/>
      <w:szCs w:val="20"/>
      <w:lang w:val="ru-RU" w:eastAsia="ru-RU"/>
    </w:rPr>
  </w:style>
  <w:style w:type="paragraph" w:styleId="1005">
    <w:name w:val="Subtitle"/>
    <w:basedOn w:val="831"/>
    <w:link w:val="1006"/>
    <w:qFormat/>
    <w:pPr>
      <w:pBdr/>
      <w:spacing/>
      <w:ind/>
      <w:jc w:val="center"/>
    </w:pPr>
    <w:rPr>
      <w:b/>
      <w:sz w:val="32"/>
      <w:szCs w:val="20"/>
      <w:lang w:val="en-US" w:eastAsia="ru-RU"/>
    </w:rPr>
  </w:style>
  <w:style w:type="character" w:styleId="1006" w:customStyle="1">
    <w:name w:val="Subtitle Char"/>
    <w:basedOn w:val="841"/>
    <w:link w:val="1005"/>
    <w:pPr>
      <w:pBdr/>
      <w:spacing/>
      <w:ind/>
    </w:pPr>
    <w:rPr>
      <w:rFonts w:ascii="Times New Roman" w:hAnsi="Times New Roman" w:eastAsia="Times New Roman" w:cs="Times New Roman"/>
      <w:b/>
      <w:sz w:val="32"/>
      <w:szCs w:val="20"/>
      <w:lang w:val="en-US" w:eastAsia="ru-RU"/>
    </w:rPr>
  </w:style>
  <w:style w:type="paragraph" w:styleId="1007">
    <w:name w:val="Body Text Indent"/>
    <w:basedOn w:val="831"/>
    <w:link w:val="1008"/>
    <w:pPr>
      <w:pBdr/>
      <w:spacing/>
      <w:ind w:firstLine="720"/>
      <w:jc w:val="both"/>
    </w:pPr>
    <w:rPr>
      <w:sz w:val="20"/>
      <w:szCs w:val="20"/>
      <w:lang w:eastAsia="ru-RU"/>
    </w:rPr>
  </w:style>
  <w:style w:type="character" w:styleId="1008" w:customStyle="1">
    <w:name w:val="Body Text Indent Char"/>
    <w:basedOn w:val="841"/>
    <w:link w:val="1007"/>
    <w:pPr>
      <w:pBdr/>
      <w:spacing/>
      <w:ind/>
    </w:pPr>
    <w:rPr>
      <w:rFonts w:ascii="Times New Roman" w:hAnsi="Times New Roman" w:eastAsia="Times New Roman" w:cs="Times New Roman"/>
      <w:sz w:val="20"/>
      <w:szCs w:val="20"/>
      <w:lang w:val="ro-RO" w:eastAsia="ru-RU"/>
    </w:rPr>
  </w:style>
  <w:style w:type="paragraph" w:styleId="1009">
    <w:name w:val="Body Text Indent 2"/>
    <w:basedOn w:val="831"/>
    <w:link w:val="1010"/>
    <w:pPr>
      <w:pBdr/>
      <w:spacing/>
      <w:ind w:firstLine="567"/>
    </w:pPr>
    <w:rPr>
      <w:rFonts w:ascii="Baltica RR" w:hAnsi="Baltica RR"/>
      <w:szCs w:val="20"/>
      <w:lang w:eastAsia="ru-RU"/>
    </w:rPr>
  </w:style>
  <w:style w:type="character" w:styleId="1010" w:customStyle="1">
    <w:name w:val="Body Text Indent 2 Char"/>
    <w:basedOn w:val="841"/>
    <w:link w:val="1009"/>
    <w:pPr>
      <w:pBdr/>
      <w:spacing/>
      <w:ind/>
    </w:pPr>
    <w:rPr>
      <w:rFonts w:ascii="Baltica RR" w:hAnsi="Baltica RR" w:eastAsia="Times New Roman" w:cs="Times New Roman"/>
      <w:sz w:val="24"/>
      <w:szCs w:val="20"/>
      <w:lang w:val="ro-RO" w:eastAsia="ru-RU"/>
    </w:rPr>
  </w:style>
  <w:style w:type="paragraph" w:styleId="1011">
    <w:name w:val="Body Text 2"/>
    <w:basedOn w:val="831"/>
    <w:link w:val="1012"/>
    <w:pPr>
      <w:pBdr/>
      <w:tabs>
        <w:tab w:val="left" w:leader="none" w:pos="426"/>
      </w:tabs>
      <w:spacing/>
      <w:ind/>
      <w:jc w:val="both"/>
    </w:pPr>
    <w:rPr>
      <w:rFonts w:ascii="Baltica RR" w:hAnsi="Baltica RR"/>
      <w:szCs w:val="20"/>
      <w:lang w:eastAsia="ru-RU"/>
    </w:rPr>
  </w:style>
  <w:style w:type="character" w:styleId="1012" w:customStyle="1">
    <w:name w:val="Body Text 2 Char"/>
    <w:basedOn w:val="841"/>
    <w:link w:val="1011"/>
    <w:pPr>
      <w:pBdr/>
      <w:spacing/>
      <w:ind/>
    </w:pPr>
    <w:rPr>
      <w:rFonts w:ascii="Baltica RR" w:hAnsi="Baltica RR" w:eastAsia="Times New Roman" w:cs="Times New Roman"/>
      <w:sz w:val="24"/>
      <w:szCs w:val="20"/>
      <w:lang w:val="ro-RO" w:eastAsia="ru-RU"/>
    </w:rPr>
  </w:style>
  <w:style w:type="paragraph" w:styleId="1013">
    <w:name w:val="Balloon Text"/>
    <w:basedOn w:val="831"/>
    <w:link w:val="1014"/>
    <w:semiHidden/>
    <w:pPr>
      <w:pBdr/>
      <w:spacing/>
      <w:ind/>
    </w:pPr>
    <w:rPr>
      <w:rFonts w:ascii="Tahoma" w:hAnsi="Tahoma" w:cs="Tahoma"/>
      <w:sz w:val="16"/>
      <w:szCs w:val="16"/>
      <w:lang w:val="ru-RU" w:eastAsia="ru-RU"/>
    </w:rPr>
  </w:style>
  <w:style w:type="character" w:styleId="1014" w:customStyle="1">
    <w:name w:val="Balloon Text Char"/>
    <w:basedOn w:val="841"/>
    <w:link w:val="1013"/>
    <w:semiHidden/>
    <w:pPr>
      <w:pBdr/>
      <w:spacing/>
      <w:ind/>
    </w:pPr>
    <w:rPr>
      <w:rFonts w:ascii="Tahoma" w:hAnsi="Tahoma" w:eastAsia="Times New Roman" w:cs="Tahoma"/>
      <w:sz w:val="16"/>
      <w:szCs w:val="16"/>
      <w:lang w:val="ru-RU" w:eastAsia="ru-RU"/>
    </w:rPr>
  </w:style>
  <w:style w:type="table" w:styleId="1015">
    <w:name w:val="Table Grid"/>
    <w:basedOn w:val="842"/>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6">
    <w:name w:val="Normal (Web)"/>
    <w:basedOn w:val="831"/>
    <w:unhideWhenUsed/>
    <w:pPr>
      <w:pBdr/>
      <w:spacing/>
      <w:ind w:firstLine="567"/>
      <w:jc w:val="both"/>
    </w:pPr>
    <w:rPr>
      <w:lang w:val="ru-RU" w:eastAsia="ru-RU"/>
    </w:rPr>
  </w:style>
  <w:style w:type="paragraph" w:styleId="1017" w:customStyle="1">
    <w:name w:val="cn"/>
    <w:basedOn w:val="831"/>
    <w:pPr>
      <w:pBdr/>
      <w:spacing/>
      <w:ind/>
      <w:jc w:val="center"/>
    </w:pPr>
    <w:rPr>
      <w:lang w:val="ru-RU" w:eastAsia="ru-RU"/>
    </w:rPr>
  </w:style>
  <w:style w:type="paragraph" w:styleId="1018" w:customStyle="1">
    <w:name w:val="cb"/>
    <w:basedOn w:val="831"/>
    <w:pPr>
      <w:pBdr/>
      <w:spacing/>
      <w:ind/>
      <w:jc w:val="center"/>
    </w:pPr>
    <w:rPr>
      <w:b/>
      <w:bCs/>
      <w:lang w:val="ru-RU" w:eastAsia="ru-RU"/>
    </w:rPr>
  </w:style>
  <w:style w:type="paragraph" w:styleId="1019">
    <w:name w:val="Body Text Indent 3"/>
    <w:basedOn w:val="831"/>
    <w:link w:val="1020"/>
    <w:pPr>
      <w:pBdr/>
      <w:spacing w:after="120"/>
      <w:ind w:left="283"/>
    </w:pPr>
    <w:rPr>
      <w:sz w:val="16"/>
      <w:szCs w:val="16"/>
    </w:rPr>
  </w:style>
  <w:style w:type="character" w:styleId="1020" w:customStyle="1">
    <w:name w:val="Body Text Indent 3 Char"/>
    <w:basedOn w:val="841"/>
    <w:link w:val="1019"/>
    <w:pPr>
      <w:pBdr/>
      <w:spacing/>
      <w:ind/>
    </w:pPr>
    <w:rPr>
      <w:rFonts w:ascii="Times New Roman" w:hAnsi="Times New Roman" w:eastAsia="Times New Roman" w:cs="Times New Roman"/>
      <w:sz w:val="16"/>
      <w:szCs w:val="16"/>
      <w:lang w:val="ro-RO"/>
    </w:rPr>
  </w:style>
  <w:style w:type="character" w:styleId="1021">
    <w:name w:val="Hyperlink"/>
    <w:uiPriority w:val="99"/>
    <w:pPr>
      <w:pBdr/>
      <w:spacing/>
      <w:ind/>
    </w:pPr>
    <w:rPr>
      <w:color w:val="0000ff"/>
      <w:u w:val="single"/>
    </w:rPr>
  </w:style>
  <w:style w:type="paragraph" w:styleId="1022" w:customStyle="1">
    <w:name w:val="cp"/>
    <w:basedOn w:val="831"/>
    <w:pPr>
      <w:pBdr/>
      <w:spacing/>
      <w:ind/>
      <w:jc w:val="center"/>
    </w:pPr>
    <w:rPr>
      <w:b/>
      <w:bCs/>
      <w:lang w:eastAsia="ru-RU"/>
    </w:rPr>
  </w:style>
  <w:style w:type="paragraph" w:styleId="1023" w:customStyle="1">
    <w:name w:val="rg"/>
    <w:basedOn w:val="831"/>
    <w:pPr>
      <w:pBdr/>
      <w:spacing/>
      <w:ind/>
      <w:jc w:val="right"/>
    </w:pPr>
    <w:rPr>
      <w:lang w:val="ru-RU" w:eastAsia="ru-RU"/>
    </w:rPr>
  </w:style>
  <w:style w:type="paragraph" w:styleId="1024" w:customStyle="1">
    <w:name w:val="Listă paragraf1"/>
    <w:basedOn w:val="831"/>
    <w:qFormat/>
    <w:pPr>
      <w:pBdr/>
      <w:spacing/>
      <w:ind w:left="708"/>
    </w:pPr>
    <w:rPr>
      <w:lang w:eastAsia="ru-RU"/>
    </w:rPr>
  </w:style>
  <w:style w:type="paragraph" w:styleId="1025" w:customStyle="1">
    <w:name w:val="Sub-Clause Text"/>
    <w:basedOn w:val="831"/>
    <w:pPr>
      <w:pBdr/>
      <w:spacing w:after="120" w:before="120"/>
      <w:ind/>
      <w:jc w:val="both"/>
    </w:pPr>
    <w:rPr>
      <w:spacing w:val="-4"/>
      <w:szCs w:val="20"/>
      <w:lang w:val="en-US"/>
    </w:rPr>
  </w:style>
  <w:style w:type="paragraph" w:styleId="1026" w:customStyle="1">
    <w:name w:val="(i)"/>
    <w:basedOn w:val="831"/>
    <w:pPr>
      <w:pBdr/>
      <w:spacing/>
      <w:ind/>
      <w:jc w:val="both"/>
    </w:pPr>
    <w:rPr>
      <w:rFonts w:ascii="Tms Rmn" w:hAnsi="Tms Rmn"/>
      <w:szCs w:val="20"/>
      <w:lang w:val="en-US"/>
    </w:rPr>
  </w:style>
  <w:style w:type="paragraph" w:styleId="1027" w:customStyle="1">
    <w:name w:val="List Paragraph1"/>
    <w:basedOn w:val="831"/>
    <w:qFormat/>
    <w:pPr>
      <w:pBdr/>
      <w:spacing w:after="200" w:line="276" w:lineRule="auto"/>
      <w:ind w:left="720"/>
      <w:contextualSpacing w:val="true"/>
    </w:pPr>
    <w:rPr>
      <w:rFonts w:ascii="Calibri" w:hAnsi="Calibri" w:eastAsia="PMingLiU"/>
      <w:sz w:val="22"/>
      <w:szCs w:val="22"/>
      <w:lang w:val="en-US" w:eastAsia="zh-CN"/>
    </w:rPr>
  </w:style>
  <w:style w:type="paragraph" w:styleId="1028" w:customStyle="1">
    <w:name w:val="BankNormal"/>
    <w:basedOn w:val="831"/>
    <w:pPr>
      <w:pBdr/>
      <w:spacing w:after="240"/>
      <w:ind/>
    </w:pPr>
    <w:rPr>
      <w:szCs w:val="20"/>
      <w:lang w:val="en-US"/>
    </w:rPr>
  </w:style>
  <w:style w:type="paragraph" w:styleId="1029">
    <w:name w:val="TOC Heading"/>
    <w:basedOn w:val="832"/>
    <w:next w:val="831"/>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30">
    <w:name w:val="toc 2"/>
    <w:basedOn w:val="831"/>
    <w:next w:val="831"/>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31">
    <w:name w:val="toc 1"/>
    <w:basedOn w:val="831"/>
    <w:next w:val="831"/>
    <w:uiPriority w:val="39"/>
    <w:unhideWhenUsed/>
    <w:pPr>
      <w:pBdr/>
      <w:tabs>
        <w:tab w:val="right" w:leader="dot" w:pos="9638"/>
      </w:tabs>
      <w:spacing w:after="100" w:line="259" w:lineRule="auto"/>
      <w:ind/>
    </w:pPr>
    <w:rPr>
      <w:rFonts w:eastAsia="SimSun"/>
      <w:b/>
      <w:lang w:val="en-US"/>
    </w:rPr>
  </w:style>
  <w:style w:type="paragraph" w:styleId="1032">
    <w:name w:val="toc 3"/>
    <w:basedOn w:val="831"/>
    <w:next w:val="831"/>
    <w:uiPriority w:val="39"/>
    <w:unhideWhenUsed/>
    <w:pPr>
      <w:pBdr/>
      <w:spacing w:after="100" w:line="259" w:lineRule="auto"/>
      <w:ind w:left="440"/>
    </w:pPr>
    <w:rPr>
      <w:rFonts w:ascii="Calibri" w:hAnsi="Calibri" w:eastAsia="SimSun"/>
      <w:sz w:val="22"/>
      <w:szCs w:val="22"/>
      <w:lang w:val="en-US"/>
    </w:rPr>
  </w:style>
  <w:style w:type="paragraph" w:styleId="1033">
    <w:name w:val="footnote text"/>
    <w:basedOn w:val="831"/>
    <w:link w:val="1034"/>
    <w:pPr>
      <w:pBdr/>
      <w:spacing/>
      <w:ind/>
      <w:jc w:val="both"/>
    </w:pPr>
    <w:rPr>
      <w:sz w:val="20"/>
      <w:szCs w:val="20"/>
      <w:lang w:val="en-US"/>
    </w:rPr>
  </w:style>
  <w:style w:type="character" w:styleId="1034" w:customStyle="1">
    <w:name w:val="Footnote Text Char"/>
    <w:basedOn w:val="841"/>
    <w:link w:val="1033"/>
    <w:pPr>
      <w:pBdr/>
      <w:spacing/>
      <w:ind/>
    </w:pPr>
    <w:rPr>
      <w:rFonts w:ascii="Times New Roman" w:hAnsi="Times New Roman" w:eastAsia="Times New Roman" w:cs="Times New Roman"/>
      <w:sz w:val="20"/>
      <w:szCs w:val="20"/>
      <w:lang w:val="en-US"/>
    </w:rPr>
  </w:style>
  <w:style w:type="character" w:styleId="1035">
    <w:name w:val="footnote reference"/>
    <w:pPr>
      <w:pBdr/>
      <w:spacing/>
      <w:ind/>
    </w:pPr>
    <w:rPr>
      <w:vertAlign w:val="superscript"/>
    </w:rPr>
  </w:style>
  <w:style w:type="character" w:styleId="1036">
    <w:name w:val="annotation reference"/>
    <w:uiPriority w:val="99"/>
    <w:pPr>
      <w:pBdr/>
      <w:spacing/>
      <w:ind/>
    </w:pPr>
    <w:rPr>
      <w:sz w:val="16"/>
      <w:szCs w:val="16"/>
    </w:rPr>
  </w:style>
  <w:style w:type="paragraph" w:styleId="1037">
    <w:name w:val="annotation text"/>
    <w:basedOn w:val="831"/>
    <w:link w:val="1038"/>
    <w:uiPriority w:val="99"/>
    <w:pPr>
      <w:pBdr/>
      <w:spacing/>
      <w:ind/>
    </w:pPr>
    <w:rPr>
      <w:sz w:val="20"/>
      <w:szCs w:val="20"/>
      <w:lang w:val="ru-RU" w:eastAsia="ru-RU"/>
    </w:rPr>
  </w:style>
  <w:style w:type="character" w:styleId="1038" w:customStyle="1">
    <w:name w:val="Comment Text Char"/>
    <w:basedOn w:val="841"/>
    <w:link w:val="1037"/>
    <w:uiPriority w:val="99"/>
    <w:pPr>
      <w:pBdr/>
      <w:spacing/>
      <w:ind/>
    </w:pPr>
    <w:rPr>
      <w:rFonts w:ascii="Times New Roman" w:hAnsi="Times New Roman" w:eastAsia="Times New Roman" w:cs="Times New Roman"/>
      <w:sz w:val="20"/>
      <w:szCs w:val="20"/>
      <w:lang w:val="ru-RU" w:eastAsia="ru-RU"/>
    </w:rPr>
  </w:style>
  <w:style w:type="paragraph" w:styleId="1039">
    <w:name w:val="annotation subject"/>
    <w:basedOn w:val="1037"/>
    <w:next w:val="1037"/>
    <w:link w:val="1040"/>
    <w:pPr>
      <w:pBdr/>
      <w:spacing/>
      <w:ind/>
    </w:pPr>
    <w:rPr>
      <w:b/>
      <w:bCs/>
    </w:rPr>
  </w:style>
  <w:style w:type="character" w:styleId="1040" w:customStyle="1">
    <w:name w:val="Comment Subject Char"/>
    <w:basedOn w:val="1038"/>
    <w:link w:val="1039"/>
    <w:pPr>
      <w:pBdr/>
      <w:spacing/>
      <w:ind/>
    </w:pPr>
    <w:rPr>
      <w:rFonts w:ascii="Times New Roman" w:hAnsi="Times New Roman" w:eastAsia="Times New Roman" w:cs="Times New Roman"/>
      <w:b/>
      <w:bCs/>
      <w:sz w:val="20"/>
      <w:szCs w:val="20"/>
      <w:lang w:val="ru-RU" w:eastAsia="ru-RU"/>
    </w:rPr>
  </w:style>
  <w:style w:type="paragraph" w:styleId="1041"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42" w:customStyle="1">
    <w:name w:val="Standard"/>
    <w:pPr>
      <w:pBdr/>
      <w:spacing w:after="200" w:line="276" w:lineRule="auto"/>
      <w:ind/>
    </w:pPr>
    <w:rPr>
      <w:rFonts w:ascii="Calibri" w:hAnsi="Calibri" w:eastAsia="Calibri" w:cs="Calibri"/>
      <w:lang w:val="en-US"/>
    </w:rPr>
  </w:style>
  <w:style w:type="character" w:styleId="1043" w:customStyle="1">
    <w:name w:val="apple-converted-space"/>
    <w:pPr>
      <w:pBdr/>
      <w:spacing/>
      <w:ind/>
    </w:pPr>
  </w:style>
  <w:style w:type="paragraph" w:styleId="1044" w:customStyle="1">
    <w:name w:val="Style3"/>
    <w:basedOn w:val="834"/>
    <w:link w:val="1045"/>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45" w:customStyle="1">
    <w:name w:val="Style3 Char"/>
    <w:link w:val="1044"/>
    <w:pPr>
      <w:pBdr/>
      <w:spacing/>
      <w:ind/>
    </w:pPr>
    <w:rPr>
      <w:rFonts w:ascii="Times New Roman" w:hAnsi="Times New Roman" w:eastAsia="Times New Roman" w:cs="Times New Roman"/>
      <w:b/>
      <w:sz w:val="24"/>
      <w:szCs w:val="24"/>
      <w:lang w:val="en-US" w:eastAsia="ru-RU"/>
    </w:rPr>
  </w:style>
  <w:style w:type="paragraph" w:styleId="1046">
    <w:name w:val="toc 4"/>
    <w:basedOn w:val="831"/>
    <w:next w:val="831"/>
    <w:uiPriority w:val="39"/>
    <w:unhideWhenUsed/>
    <w:pPr>
      <w:pBdr/>
      <w:spacing w:after="100" w:line="276" w:lineRule="auto"/>
      <w:ind w:left="660"/>
    </w:pPr>
    <w:rPr>
      <w:rFonts w:ascii="Calibri" w:hAnsi="Calibri"/>
      <w:sz w:val="22"/>
      <w:szCs w:val="22"/>
      <w:lang w:val="en-US"/>
    </w:rPr>
  </w:style>
  <w:style w:type="paragraph" w:styleId="1047">
    <w:name w:val="toc 5"/>
    <w:basedOn w:val="831"/>
    <w:next w:val="831"/>
    <w:uiPriority w:val="39"/>
    <w:unhideWhenUsed/>
    <w:pPr>
      <w:pBdr/>
      <w:spacing w:after="100" w:line="276" w:lineRule="auto"/>
      <w:ind w:left="880"/>
    </w:pPr>
    <w:rPr>
      <w:rFonts w:ascii="Calibri" w:hAnsi="Calibri"/>
      <w:sz w:val="22"/>
      <w:szCs w:val="22"/>
      <w:lang w:val="en-US"/>
    </w:rPr>
  </w:style>
  <w:style w:type="paragraph" w:styleId="1048">
    <w:name w:val="toc 6"/>
    <w:basedOn w:val="831"/>
    <w:next w:val="831"/>
    <w:uiPriority w:val="39"/>
    <w:unhideWhenUsed/>
    <w:pPr>
      <w:pBdr/>
      <w:spacing w:after="100" w:line="276" w:lineRule="auto"/>
      <w:ind w:left="1100"/>
    </w:pPr>
    <w:rPr>
      <w:rFonts w:ascii="Calibri" w:hAnsi="Calibri"/>
      <w:sz w:val="22"/>
      <w:szCs w:val="22"/>
      <w:lang w:val="en-US"/>
    </w:rPr>
  </w:style>
  <w:style w:type="paragraph" w:styleId="1049">
    <w:name w:val="toc 7"/>
    <w:basedOn w:val="831"/>
    <w:next w:val="831"/>
    <w:uiPriority w:val="39"/>
    <w:unhideWhenUsed/>
    <w:pPr>
      <w:pBdr/>
      <w:spacing w:after="100" w:line="276" w:lineRule="auto"/>
      <w:ind w:left="1320"/>
    </w:pPr>
    <w:rPr>
      <w:rFonts w:ascii="Calibri" w:hAnsi="Calibri"/>
      <w:sz w:val="22"/>
      <w:szCs w:val="22"/>
      <w:lang w:val="en-US"/>
    </w:rPr>
  </w:style>
  <w:style w:type="paragraph" w:styleId="1050">
    <w:name w:val="toc 8"/>
    <w:basedOn w:val="831"/>
    <w:next w:val="831"/>
    <w:uiPriority w:val="39"/>
    <w:unhideWhenUsed/>
    <w:pPr>
      <w:pBdr/>
      <w:spacing w:after="100" w:line="276" w:lineRule="auto"/>
      <w:ind w:left="1540"/>
    </w:pPr>
    <w:rPr>
      <w:rFonts w:ascii="Calibri" w:hAnsi="Calibri"/>
      <w:sz w:val="22"/>
      <w:szCs w:val="22"/>
      <w:lang w:val="en-US"/>
    </w:rPr>
  </w:style>
  <w:style w:type="paragraph" w:styleId="1051">
    <w:name w:val="toc 9"/>
    <w:basedOn w:val="831"/>
    <w:next w:val="831"/>
    <w:uiPriority w:val="39"/>
    <w:unhideWhenUsed/>
    <w:pPr>
      <w:pBdr/>
      <w:spacing w:after="100" w:line="276" w:lineRule="auto"/>
      <w:ind w:left="1760"/>
    </w:pPr>
    <w:rPr>
      <w:rFonts w:ascii="Calibri" w:hAnsi="Calibri"/>
      <w:sz w:val="22"/>
      <w:szCs w:val="22"/>
      <w:lang w:val="en-US"/>
    </w:rPr>
  </w:style>
  <w:style w:type="paragraph" w:styleId="1052" w:customStyle="1">
    <w:name w:val="Style153"/>
    <w:basedOn w:val="831"/>
    <w:uiPriority w:val="99"/>
    <w:pPr>
      <w:widowControl w:val="false"/>
      <w:pBdr/>
      <w:spacing w:line="317" w:lineRule="exact"/>
      <w:ind/>
      <w:jc w:val="both"/>
    </w:pPr>
    <w:rPr>
      <w:lang w:eastAsia="ro-RO"/>
    </w:rPr>
  </w:style>
  <w:style w:type="character" w:styleId="1053" w:customStyle="1">
    <w:name w:val="Font Style195"/>
    <w:uiPriority w:val="99"/>
    <w:pPr>
      <w:pBdr/>
      <w:spacing/>
      <w:ind/>
    </w:pPr>
    <w:rPr>
      <w:rFonts w:ascii="Times New Roman" w:hAnsi="Times New Roman" w:cs="Times New Roman"/>
      <w:b/>
      <w:bCs/>
      <w:i/>
      <w:iCs/>
      <w:sz w:val="22"/>
      <w:szCs w:val="22"/>
    </w:rPr>
  </w:style>
  <w:style w:type="paragraph" w:styleId="1054" w:customStyle="1">
    <w:name w:val="Style73"/>
    <w:basedOn w:val="831"/>
    <w:uiPriority w:val="99"/>
    <w:pPr>
      <w:widowControl w:val="false"/>
      <w:pBdr/>
      <w:spacing w:line="314" w:lineRule="exact"/>
      <w:ind/>
      <w:jc w:val="both"/>
    </w:pPr>
    <w:rPr>
      <w:lang w:eastAsia="ro-RO"/>
    </w:rPr>
  </w:style>
  <w:style w:type="character" w:styleId="1055" w:customStyle="1">
    <w:name w:val="Font Style197"/>
    <w:uiPriority w:val="99"/>
    <w:pPr>
      <w:pBdr/>
      <w:spacing/>
      <w:ind/>
    </w:pPr>
    <w:rPr>
      <w:rFonts w:ascii="Times New Roman" w:hAnsi="Times New Roman" w:cs="Times New Roman"/>
      <w:sz w:val="22"/>
      <w:szCs w:val="22"/>
    </w:rPr>
  </w:style>
  <w:style w:type="paragraph" w:styleId="1056">
    <w:name w:val="HTML Preformatted"/>
    <w:basedOn w:val="831"/>
    <w:link w:val="1057"/>
    <w:uiPriority w:val="99"/>
    <w:semiHidden/>
    <w:unhideWhenUsed/>
    <w:pPr>
      <w:pBdr/>
      <w:spacing/>
      <w:ind/>
    </w:pPr>
    <w:rPr>
      <w:rFonts w:ascii="Consolas" w:hAnsi="Consolas"/>
      <w:sz w:val="20"/>
      <w:szCs w:val="20"/>
    </w:rPr>
  </w:style>
  <w:style w:type="character" w:styleId="1057" w:customStyle="1">
    <w:name w:val="HTML Preformatted Char"/>
    <w:basedOn w:val="841"/>
    <w:link w:val="1056"/>
    <w:uiPriority w:val="99"/>
    <w:semiHidden/>
    <w:pPr>
      <w:pBdr/>
      <w:spacing/>
      <w:ind/>
    </w:pPr>
    <w:rPr>
      <w:rFonts w:ascii="Consolas" w:hAnsi="Consolas" w:eastAsia="Times New Roman" w:cs="Times New Roman"/>
      <w:sz w:val="20"/>
      <w:szCs w:val="20"/>
      <w:lang w:val="ro-RO"/>
    </w:rPr>
  </w:style>
  <w:style w:type="character" w:styleId="1058" w:customStyle="1">
    <w:name w:val="Style4 Char"/>
    <w:basedOn w:val="1045"/>
    <w:pPr>
      <w:pBdr/>
      <w:spacing/>
      <w:ind/>
    </w:pPr>
    <w:rPr>
      <w:rFonts w:ascii="Times New Roman" w:hAnsi="Times New Roman" w:eastAsia="Calibri" w:cs="Times New Roman"/>
      <w:b/>
      <w:sz w:val="24"/>
      <w:szCs w:val="24"/>
      <w:lang w:val="ru-RU" w:eastAsia="ru-RU" w:bidi="ar-SA"/>
    </w:rPr>
  </w:style>
  <w:style w:type="character" w:styleId="1059" w:customStyle="1">
    <w:name w:val="short_text"/>
    <w:pPr>
      <w:pBdr/>
      <w:spacing/>
      <w:ind/>
    </w:pPr>
  </w:style>
  <w:style w:type="paragraph" w:styleId="1060">
    <w:name w:val="Caption"/>
    <w:basedOn w:val="831"/>
    <w:qFormat/>
    <w:pPr>
      <w:pBdr/>
      <w:spacing w:after="60" w:before="240"/>
      <w:ind/>
      <w:jc w:val="center"/>
    </w:pPr>
    <w:rPr>
      <w:rFonts w:ascii="Arial" w:hAnsi="Arial"/>
      <w:b/>
      <w:sz w:val="32"/>
      <w:szCs w:val="20"/>
      <w:lang w:val="ru-RU" w:eastAsia="ru-RU"/>
    </w:rPr>
  </w:style>
  <w:style w:type="character" w:styleId="1061"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62">
    <w:name w:val="Strong"/>
    <w:basedOn w:val="841"/>
    <w:uiPriority w:val="22"/>
    <w:qFormat/>
    <w:pPr>
      <w:pBdr/>
      <w:spacing/>
      <w:ind/>
    </w:pPr>
    <w:rPr>
      <w:b/>
      <w:bCs/>
    </w:rPr>
  </w:style>
  <w:style w:type="paragraph" w:styleId="1063">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64" w:customStyle="1">
    <w:name w:val="Griglia tabella1"/>
    <w:basedOn w:val="842"/>
    <w:next w:val="101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Griglia tabella2"/>
    <w:basedOn w:val="842"/>
    <w:next w:val="1015"/>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Griglia tabella3"/>
    <w:basedOn w:val="842"/>
    <w:next w:val="101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Table Grid2"/>
    <w:basedOn w:val="842"/>
    <w:next w:val="101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Griglia tabella4"/>
    <w:basedOn w:val="842"/>
    <w:next w:val="101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69">
    <w:name w:val="Placeholder Text"/>
    <w:basedOn w:val="841"/>
    <w:uiPriority w:val="99"/>
    <w:semiHidden/>
    <w:pPr>
      <w:pBdr/>
      <w:spacing/>
      <w:ind/>
    </w:pPr>
    <w:rPr>
      <w:color w:val="808080"/>
    </w:rPr>
  </w:style>
  <w:style w:type="character" w:styleId="1070" w:customStyle="1">
    <w:name w:val="ln2paragraf1"/>
    <w:pPr>
      <w:pBdr/>
      <w:spacing/>
      <w:ind/>
    </w:pPr>
    <w:rPr>
      <w:b/>
      <w:bCs/>
    </w:rPr>
  </w:style>
  <w:style w:type="character" w:styleId="1071" w:customStyle="1">
    <w:name w:val="ln2tparagraf"/>
    <w:pPr>
      <w:pBdr/>
      <w:spacing/>
      <w:ind/>
    </w:pPr>
  </w:style>
  <w:style w:type="character" w:styleId="1072" w:customStyle="1">
    <w:name w:val="ln2tpunct"/>
    <w:pPr>
      <w:pBdr/>
      <w:spacing/>
      <w:ind/>
    </w:pPr>
  </w:style>
  <w:style w:type="character" w:styleId="1073" w:customStyle="1">
    <w:name w:val="List Paragraph Char"/>
    <w:link w:val="1000"/>
    <w:uiPriority w:val="34"/>
    <w:pPr>
      <w:pBdr/>
      <w:spacing/>
      <w:ind/>
    </w:pPr>
    <w:rPr>
      <w:rFonts w:ascii="Times New Roman" w:hAnsi="Times New Roman" w:eastAsia="Times New Roman" w:cs="Times New Roman"/>
      <w:sz w:val="24"/>
      <w:szCs w:val="24"/>
      <w:lang w:val="en-US"/>
    </w:rPr>
  </w:style>
  <w:style w:type="character" w:styleId="1074" w:customStyle="1">
    <w:name w:val="Unresolved Mention1"/>
    <w:basedOn w:val="841"/>
    <w:uiPriority w:val="99"/>
    <w:semiHidden/>
    <w:unhideWhenUsed/>
    <w:pPr>
      <w:pBdr/>
      <w:spacing/>
      <w:ind/>
    </w:pPr>
    <w:rPr>
      <w:color w:val="605e5c"/>
      <w:shd w:val="clear" w:color="auto" w:fill="e1dfdd"/>
    </w:rPr>
  </w:style>
  <w:style w:type="character" w:styleId="1075" w:customStyle="1">
    <w:name w:val="Unresolved Mention2"/>
    <w:basedOn w:val="841"/>
    <w:uiPriority w:val="99"/>
    <w:semiHidden/>
    <w:unhideWhenUsed/>
    <w:pPr>
      <w:pBdr/>
      <w:spacing/>
      <w:ind/>
    </w:pPr>
    <w:rPr>
      <w:color w:val="605e5c"/>
      <w:shd w:val="clear" w:color="auto" w:fill="e1dfdd"/>
    </w:rPr>
  </w:style>
  <w:style w:type="character" w:styleId="1076" w:customStyle="1">
    <w:name w:val="tax1"/>
    <w:pPr>
      <w:pBdr/>
      <w:spacing/>
      <w:ind/>
    </w:pPr>
    <w:rPr>
      <w:b/>
      <w:bCs/>
      <w:sz w:val="26"/>
      <w:szCs w:val="26"/>
    </w:rPr>
  </w:style>
  <w:style w:type="paragraph" w:styleId="1077" w:customStyle="1">
    <w:name w:val="Default Text"/>
    <w:basedOn w:val="831"/>
    <w:link w:val="1078"/>
    <w:uiPriority w:val="99"/>
    <w:pPr>
      <w:pBdr/>
      <w:spacing/>
      <w:ind/>
    </w:pPr>
    <w:rPr>
      <w:szCs w:val="20"/>
      <w:lang w:val="en-US"/>
    </w:rPr>
  </w:style>
  <w:style w:type="character" w:styleId="1078" w:customStyle="1">
    <w:name w:val="Default Text Char"/>
    <w:link w:val="1077"/>
    <w:uiPriority w:val="99"/>
    <w:pPr>
      <w:pBdr/>
      <w:spacing/>
      <w:ind/>
    </w:pPr>
    <w:rPr>
      <w:rFonts w:ascii="Times New Roman" w:hAnsi="Times New Roman" w:eastAsia="Times New Roman" w:cs="Times New Roman"/>
      <w:sz w:val="24"/>
      <w:szCs w:val="20"/>
      <w:lang w:val="en-US"/>
    </w:rPr>
  </w:style>
  <w:style w:type="paragraph" w:styleId="1079" w:customStyle="1">
    <w:name w:val="Table Paragraph"/>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105"/>
      <w:contextualSpacing w:val="false"/>
      <w:jc w:val="left"/>
    </w:pPr>
    <w:rPr>
      <w:rFonts w:ascii="Times New Roman" w:hAnsi="Times New Roman" w:eastAsia="Times New Roman" w:cs="Times New Roman"/>
      <w:b w:val="0"/>
      <w:bCs w:val="0"/>
      <w:i w:val="0"/>
      <w:iCs w:val="0"/>
      <w:caps w:val="0"/>
      <w:smallCaps w:val="0"/>
      <w:strike w:val="0"/>
      <w:vanish w:val="0"/>
      <w:color w:val="auto"/>
      <w:spacing w:val="0"/>
      <w:position w:val="0"/>
      <w:sz w:val="22"/>
      <w:szCs w:val="22"/>
      <w:highlight w:val="none"/>
      <w:u w:val="none"/>
      <w:vertAlign w:val="baseline"/>
      <w:rtl w:val="0"/>
      <w:cs w:val="0"/>
      <w:lang w:val="ro-RO" w:eastAsia="ro-RO" w:bidi="ro-RO"/>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 Id="rId13"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14</cp:revision>
  <dcterms:created xsi:type="dcterms:W3CDTF">2025-01-30T09:59:00Z</dcterms:created>
  <dcterms:modified xsi:type="dcterms:W3CDTF">2026-01-21T09:22:18Z</dcterms:modified>
</cp:coreProperties>
</file>