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26.05.2026 </w:t>
            </w:r>
            <w:r>
              <w:rPr>
                <w:rFonts w:hint="default" w:ascii="Times New Roman" w:hAnsi="Times New Roman" w:cs="Times New Roman"/>
                <w:u w:val="none"/>
                <w:vertAlign w:val="baseline"/>
              </w:rPr>
              <w:t xml:space="preserve"> </w:t>
            </w:r>
          </w:p>
          <w:p>
            <w:pPr>
              <w:keepNext w:val="0"/>
              <w:keepLines w:val="0"/>
              <w:pageBreakBefore w:val="0"/>
              <w:widowControl/>
              <w:kinsoku/>
              <w:wordWrap/>
              <w:overflowPunct/>
              <w:topLinePunct w:val="0"/>
              <w:autoSpaceDE/>
              <w:autoSpaceDN/>
              <w:bidi w:val="0"/>
              <w:adjustRightInd/>
              <w:snapToGrid/>
              <w:spacing w:line="264" w:lineRule="auto"/>
              <w:ind w:firstLine="3040" w:firstLineChars="1900"/>
              <w:jc w:val="both"/>
              <w:textAlignment w:val="auto"/>
              <w:rPr>
                <w:rFonts w:hint="default" w:ascii="Times New Roman" w:hAnsi="Times New Roman" w:cs="Times New Roman"/>
                <w:u w:val="none"/>
                <w:vertAlign w:val="baseline"/>
              </w:rPr>
            </w:pPr>
            <w:r>
              <w:rPr>
                <w:rFonts w:hint="default" w:ascii="Times New Roman" w:hAnsi="Times New Roman"/>
                <w:i/>
                <w:iCs/>
                <w:color w:val="000000" w:themeColor="text1"/>
                <w:sz w:val="16"/>
                <w:szCs w:val="16"/>
                <w:u w:val="none"/>
                <w:vertAlign w:val="baseline"/>
                <w14:textFill>
                  <w14:solidFill>
                    <w14:schemeClr w14:val="tx1"/>
                  </w14:solidFill>
                </w14:textFill>
              </w:rPr>
              <w:t>(MTender ID-ul procedurii)          (data publicării)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proiectare - Consolidarea coșului de fum H=180m, inclusiv verificarea documentației de proiect, exercitarea supravegherii de autor, inspecție și consultanță tehnică</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35"/>
        <w:gridCol w:w="1828"/>
        <w:gridCol w:w="1128"/>
        <w:gridCol w:w="1380"/>
        <w:gridCol w:w="3196"/>
        <w:gridCol w:w="3197"/>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1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19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sz w:val="20"/>
                <w:szCs w:val="20"/>
                <w:vertAlign w:val="baseline"/>
              </w:rPr>
            </w:pPr>
            <w:r>
              <w:rPr>
                <w:rFonts w:hint="default" w:ascii="Times New Roman" w:hAnsi="Times New Roman" w:cs="Times New Roman"/>
                <w:b/>
                <w:bCs/>
                <w:sz w:val="20"/>
                <w:szCs w:val="20"/>
                <w:vertAlign w:val="baseline"/>
              </w:rPr>
              <w:t xml:space="preserve">Lotul nr. 1 </w:t>
            </w:r>
            <w:r>
              <w:rPr>
                <w:rFonts w:hint="default" w:ascii="Times New Roman" w:hAnsi="Times New Roman"/>
                <w:b/>
                <w:bCs/>
                <w:sz w:val="20"/>
                <w:szCs w:val="20"/>
                <w:vertAlign w:val="baseline"/>
              </w:rPr>
              <w:t>Elaborarea documentației de proiect „Consolidarea coșului de fum H=180m”, inclusiv verificarea acesteia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o-RO"/>
              </w:rPr>
            </w:pPr>
            <w:r>
              <w:rPr>
                <w:rFonts w:hint="default" w:ascii="Times New Roman" w:hAnsi="Times New Roman"/>
                <w:i w:val="0"/>
                <w:iCs w:val="0"/>
                <w:sz w:val="20"/>
                <w:szCs w:val="20"/>
                <w:lang w:val="zh-CN" w:eastAsia="ru-RU"/>
              </w:rPr>
              <w:t>Elaborarea documentației de proiect</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Elaborarea documentației de proiect (faza de proiectare - proiect de execuție a lucrărilor „PEL”; proiect de organizare a șantierului „POS”), având la bază Raportul de expertiză tehnică nr. 170/2025 precum și documentele normative în vigoare.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ru-RU"/>
              </w:rPr>
              <w:t>Verificarea documentației de proiect elaborate</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Verificarea documentației de proiect elaborate, conform documentelor normative naționale.</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bCs/>
                <w:sz w:val="20"/>
                <w:szCs w:val="20"/>
                <w:vertAlign w:val="baseline"/>
              </w:rPr>
            </w:pPr>
            <w:r>
              <w:rPr>
                <w:rFonts w:hint="default" w:ascii="Times New Roman" w:hAnsi="Times New Roman" w:cs="Times New Roman"/>
                <w:b/>
                <w:bCs/>
                <w:sz w:val="20"/>
                <w:szCs w:val="20"/>
                <w:vertAlign w:val="baseline"/>
              </w:rPr>
              <w:t xml:space="preserve">Lotul nr. 2 </w:t>
            </w:r>
            <w:r>
              <w:rPr>
                <w:rFonts w:hint="default" w:ascii="Times New Roman" w:hAnsi="Times New Roman"/>
                <w:b/>
                <w:bCs/>
                <w:sz w:val="20"/>
                <w:szCs w:val="20"/>
                <w:vertAlign w:val="baseline"/>
              </w:rPr>
              <w:t>Monitorizarea aplicării prevederilor documentației de proiect în procesul de execuție a lucrărilor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54"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303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sz w:val="20"/>
                <w:szCs w:val="20"/>
                <w:lang w:val="zh-CN" w:eastAsia="ru-RU"/>
              </w:rPr>
            </w:pPr>
            <w:r>
              <w:rPr>
                <w:rFonts w:hint="default" w:ascii="Times New Roman" w:hAnsi="Times New Roman"/>
                <w:i w:val="0"/>
                <w:iCs w:val="0"/>
                <w:sz w:val="20"/>
                <w:szCs w:val="20"/>
                <w:lang w:val="zh-CN" w:eastAsia="ru-RU"/>
              </w:rPr>
              <w:t>Monitorizarea aplicării prevederilor documentației de proiect în procesul de execuție a lucrărilor</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3196"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after="0"/>
              <w:ind w:leftChars="0" w:right="-57" w:rightChars="0"/>
              <w:jc w:val="both"/>
              <w:textAlignment w:val="auto"/>
              <w:rPr>
                <w:rFonts w:hint="default" w:ascii="Times New Roman" w:hAnsi="Times New Roman"/>
                <w:i w:val="0"/>
                <w:iCs w:val="0"/>
                <w:sz w:val="20"/>
                <w:szCs w:val="20"/>
                <w:lang w:eastAsia="ro-RO"/>
              </w:rPr>
            </w:pPr>
            <w:r>
              <w:rPr>
                <w:rFonts w:hint="default" w:ascii="Times New Roman" w:hAnsi="Times New Roman"/>
                <w:i w:val="0"/>
                <w:iCs w:val="0"/>
                <w:sz w:val="20"/>
                <w:szCs w:val="20"/>
                <w:lang w:eastAsia="ro-RO"/>
              </w:rPr>
              <w:t>Monitorizarea aplicării prevederilor documentației de proiect în procesul de execuție a lucrărilor de construcții, în baza contractului de supraveghere de autor. Participarea la inspecțiile în teren și oferirea de consultanță pentru soluționarea eventualelor probleme tehnice apărute. În caz de necesitate, operarea modificărilor, coordonarea și verificarea documentației de proiect.</w:t>
            </w:r>
          </w:p>
        </w:tc>
        <w:tc>
          <w:tcPr>
            <w:tcW w:w="319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p>
        </w:tc>
      </w:tr>
    </w:tbl>
    <w:p>
      <w:pPr>
        <w:keepNext w:val="0"/>
        <w:keepLines w:val="0"/>
        <w:pageBreakBefore w:val="0"/>
        <w:widowControl/>
        <w:kinsoku/>
        <w:wordWrap/>
        <w:overflowPunct/>
        <w:topLinePunct w:val="0"/>
        <w:autoSpaceDE/>
        <w:autoSpaceDN/>
        <w:bidi w:val="0"/>
        <w:adjustRightInd/>
        <w:snapToGrid/>
        <w:spacing w:before="181" w:beforeLines="50" w:line="360" w:lineRule="auto"/>
        <w:textAlignment w:val="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rPr>
          <w:rFonts w:hint="default" w:ascii="Times New Roman" w:hAnsi="Times New Roman" w:cs="Times New Roman"/>
          <w:u w:val="single"/>
        </w:rPr>
      </w:pP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u w:val="single"/>
                <w:vertAlign w:val="baseline"/>
              </w:rPr>
              <w:t>26.05.2026</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p>
          <w:p>
            <w:pPr>
              <w:keepNext w:val="0"/>
              <w:keepLines w:val="0"/>
              <w:pageBreakBefore w:val="0"/>
              <w:widowControl/>
              <w:kinsoku/>
              <w:wordWrap/>
              <w:overflowPunct/>
              <w:topLinePunct w:val="0"/>
              <w:autoSpaceDE/>
              <w:autoSpaceDN/>
              <w:bidi w:val="0"/>
              <w:adjustRightInd/>
              <w:snapToGrid/>
              <w:spacing w:line="264" w:lineRule="auto"/>
              <w:ind w:firstLine="3040" w:firstLineChars="1900"/>
              <w:jc w:val="both"/>
              <w:textAlignment w:val="auto"/>
              <w:rPr>
                <w:rFonts w:hint="default" w:ascii="Times New Roman" w:hAnsi="Times New Roman" w:cs="Times New Roman"/>
                <w:u w:val="none"/>
                <w:vertAlign w:val="baseline"/>
              </w:rPr>
            </w:pPr>
            <w:r>
              <w:rPr>
                <w:rFonts w:hint="default" w:ascii="Times New Roman" w:hAnsi="Times New Roman"/>
                <w:i/>
                <w:iCs/>
                <w:color w:val="000000" w:themeColor="text1"/>
                <w:sz w:val="16"/>
                <w:szCs w:val="16"/>
                <w:u w:val="none"/>
                <w:vertAlign w:val="baseline"/>
                <w14:textFill>
                  <w14:solidFill>
                    <w14:schemeClr w14:val="tx1"/>
                  </w14:solidFill>
                </w14:textFill>
              </w:rPr>
              <w:t>(MTender ID-ul procedurii)          (data publicării)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Servicii de proiectare - Consolidarea coșului de fum H=180m, inclusiv verificarea documentației de proiect, exercitarea supravegherii de autor, inspecție și consultanță tehnică</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54"/>
        <w:gridCol w:w="2631"/>
        <w:gridCol w:w="1059"/>
        <w:gridCol w:w="998"/>
        <w:gridCol w:w="1265"/>
        <w:gridCol w:w="1391"/>
        <w:gridCol w:w="1391"/>
        <w:gridCol w:w="1394"/>
        <w:gridCol w:w="1850"/>
        <w:gridCol w:w="1214"/>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Nr. lot</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color w:val="000000" w:themeColor="text1"/>
                <w:sz w:val="20"/>
                <w:szCs w:val="24"/>
                <w:u w:val="none"/>
                <w:lang w:eastAsia="en-US"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Cod CPV</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Denumirea bunurilor/serviciilor</w:t>
            </w:r>
          </w:p>
        </w:tc>
        <w:tc>
          <w:tcPr>
            <w:tcW w:w="105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Unitatea de măsură</w:t>
            </w:r>
          </w:p>
        </w:tc>
        <w:tc>
          <w:tcPr>
            <w:tcW w:w="99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tatea</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Preţ unitar (fără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Preţ unitar (cu TVA)</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fără TVA</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u w:val="none"/>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u w:val="none"/>
                <w14:textFill>
                  <w14:solidFill>
                    <w14:schemeClr w14:val="tx1"/>
                  </w14:solidFill>
                </w14:textFill>
              </w:rPr>
              <w:t>cu TVA</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szCs w:val="28"/>
                <w:u w:val="none"/>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livrare/prestare</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szCs w:val="28"/>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Clasificație bugetară (IBAN)</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color w:val="000000" w:themeColor="text1"/>
                <w:sz w:val="20"/>
                <w:szCs w:val="28"/>
                <w:u w:val="none"/>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color w:val="000000" w:themeColor="text1"/>
                <w:sz w:val="20"/>
                <w:szCs w:val="28"/>
                <w:u w:val="none"/>
                <w:lang w:eastAsia="zh-CN" w:bidi="ar-SA"/>
                <w14:textFill>
                  <w14:solidFill>
                    <w14:schemeClr w14:val="tx1"/>
                  </w14:solidFill>
                </w14:textFill>
              </w:rPr>
            </w:pPr>
            <w:r>
              <w:rPr>
                <w:rFonts w:hint="default" w:ascii="Times New Roman" w:hAnsi="Times New Roman" w:cs="Times New Roman"/>
                <w:b/>
                <w:color w:val="000000" w:themeColor="text1"/>
                <w:sz w:val="20"/>
                <w:szCs w:val="28"/>
                <w:u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0</w:t>
            </w:r>
          </w:p>
        </w:tc>
        <w:tc>
          <w:tcPr>
            <w:tcW w:w="9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w:t>
            </w:r>
          </w:p>
        </w:tc>
        <w:tc>
          <w:tcPr>
            <w:tcW w:w="263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2</w:t>
            </w:r>
          </w:p>
        </w:tc>
        <w:tc>
          <w:tcPr>
            <w:tcW w:w="105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3</w:t>
            </w:r>
          </w:p>
        </w:tc>
        <w:tc>
          <w:tcPr>
            <w:tcW w:w="99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4</w:t>
            </w:r>
          </w:p>
        </w:tc>
        <w:tc>
          <w:tcPr>
            <w:tcW w:w="126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5</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6</w:t>
            </w:r>
          </w:p>
        </w:tc>
        <w:tc>
          <w:tcPr>
            <w:tcW w:w="13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7</w:t>
            </w:r>
          </w:p>
        </w:tc>
        <w:tc>
          <w:tcPr>
            <w:tcW w:w="1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8</w:t>
            </w:r>
          </w:p>
        </w:tc>
        <w:tc>
          <w:tcPr>
            <w:tcW w:w="185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9</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10</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color w:val="000000" w:themeColor="text1"/>
                <w:sz w:val="20"/>
                <w:u w:val="none"/>
                <w:lang w:eastAsia="zh-CN" w:bidi="ar-SA"/>
                <w14:textFill>
                  <w14:solidFill>
                    <w14:schemeClr w14:val="tx1"/>
                  </w14:solidFill>
                </w14:textFill>
              </w:rPr>
            </w:pPr>
            <w:r>
              <w:rPr>
                <w:rFonts w:hint="default" w:ascii="Times New Roman" w:hAnsi="Times New Roman" w:cs="Times New Roman"/>
                <w:color w:val="000000" w:themeColor="text1"/>
                <w:sz w:val="20"/>
                <w:u w:val="none"/>
                <w14:textFill>
                  <w14:solidFill>
                    <w14:schemeClr w14:val="tx1"/>
                  </w14:solidFill>
                </w14:textFill>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color w:val="000000" w:themeColor="text1"/>
                <w:u w:val="none"/>
                <w:vertAlign w:val="baseline"/>
                <w14:textFill>
                  <w14:solidFill>
                    <w14:schemeClr w14:val="tx1"/>
                  </w14:solidFill>
                </w14:textFill>
              </w:rPr>
            </w:pPr>
            <w:r>
              <w:rPr>
                <w:rFonts w:hint="default" w:ascii="Times New Roman" w:hAnsi="Times New Roman" w:cs="Times New Roman"/>
                <w:b/>
                <w:bCs/>
                <w:color w:val="000000" w:themeColor="text1"/>
                <w:vertAlign w:val="baseline"/>
                <w14:textFill>
                  <w14:solidFill>
                    <w14:schemeClr w14:val="tx1"/>
                  </w14:solidFill>
                </w14:textFill>
              </w:rPr>
              <w:t xml:space="preserve">Lotul nr. 1 </w:t>
            </w:r>
            <w:r>
              <w:rPr>
                <w:rFonts w:hint="default" w:ascii="Times New Roman" w:hAnsi="Times New Roman"/>
                <w:b/>
                <w:bCs/>
                <w:color w:val="000000" w:themeColor="text1"/>
                <w:vertAlign w:val="baseline"/>
                <w14:textFill>
                  <w14:solidFill>
                    <w14:schemeClr w14:val="tx1"/>
                  </w14:solidFill>
                </w14:textFill>
              </w:rPr>
              <w:t>Elaborarea documentației de proiect „Consolidarea coșului de fum H=180m”, inclusiv verificarea acesteia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532"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71320000-7</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o-RO"/>
                <w14:textFill>
                  <w14:solidFill>
                    <w14:schemeClr w14:val="tx1"/>
                  </w14:solidFill>
                </w14:textFill>
              </w:rPr>
            </w:pPr>
            <w:r>
              <w:rPr>
                <w:rFonts w:hint="default" w:ascii="Times New Roman" w:hAnsi="Times New Roman"/>
                <w:i w:val="0"/>
                <w:iCs w:val="0"/>
                <w:color w:val="000000" w:themeColor="text1"/>
                <w:sz w:val="20"/>
                <w:szCs w:val="20"/>
                <w:lang w:val="zh-CN" w:eastAsia="en-US"/>
                <w14:textFill>
                  <w14:solidFill>
                    <w14:schemeClr w14:val="tx1"/>
                  </w14:solidFill>
                </w14:textFill>
              </w:rPr>
              <w:t>Elaborarea documentației de proiect</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vertAlign w:val="superscript"/>
                <w:lang w:eastAsia="en-US" w:bidi="ar-SA"/>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serv.</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18"/>
                <w:szCs w:val="18"/>
                <w:u w:val="none"/>
                <w:vertAlign w:val="baseline"/>
                <w:lang w:eastAsia="zh-CN" w:bidi="ar-SA"/>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în termen de 60 (șaizeci)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15"/>
                <w:szCs w:val="15"/>
                <w:lang w:val="en-US" w:eastAsia="en-US" w:bidi="ar-SA"/>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71320000-7</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en-US"/>
                <w14:textFill>
                  <w14:solidFill>
                    <w14:schemeClr w14:val="tx1"/>
                  </w14:solidFill>
                </w14:textFill>
              </w:rPr>
            </w:pPr>
            <w:r>
              <w:rPr>
                <w:rFonts w:hint="default" w:ascii="Times New Roman" w:hAnsi="Times New Roman"/>
                <w:i w:val="0"/>
                <w:iCs w:val="0"/>
                <w:color w:val="000000" w:themeColor="text1"/>
                <w:sz w:val="20"/>
                <w:szCs w:val="20"/>
                <w:lang w:val="zh-CN" w:eastAsia="en-US"/>
                <w14:textFill>
                  <w14:solidFill>
                    <w14:schemeClr w14:val="tx1"/>
                  </w14:solidFill>
                </w14:textFill>
              </w:rPr>
              <w:t>Verificarea documentației de proiect elaborate</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vertAlign w:val="superscript"/>
                <w:lang w:val="en-US" w:eastAsia="en-US" w:bidi="ar-SA"/>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serv.</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20"/>
                <w:lang w:eastAsia="en-US"/>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8"/>
                <w:szCs w:val="18"/>
                <w:u w:val="none"/>
                <w:vertAlign w:val="baseline"/>
                <w:lang w:eastAsia="zh-CN"/>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în termen de 60 (șaizeci) zile din momentul semnării contractului</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color w:val="000000" w:themeColor="text1"/>
                <w:sz w:val="20"/>
                <w:szCs w:val="20"/>
                <w:lang w:eastAsia="ru-RU" w:bidi="ar-SA"/>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 lot 1</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color w:val="000000" w:themeColor="text1"/>
                <w:u w:val="none"/>
                <w:vertAlign w:val="baseline"/>
                <w14:textFill>
                  <w14:solidFill>
                    <w14:schemeClr w14:val="tx1"/>
                  </w14:solidFill>
                </w14:textFill>
              </w:rPr>
            </w:pPr>
            <w:r>
              <w:rPr>
                <w:rFonts w:hint="default" w:ascii="Times New Roman" w:hAnsi="Times New Roman" w:cs="Times New Roman"/>
                <w:b/>
                <w:bCs/>
                <w:color w:val="000000" w:themeColor="text1"/>
                <w:vertAlign w:val="baseline"/>
                <w14:textFill>
                  <w14:solidFill>
                    <w14:schemeClr w14:val="tx1"/>
                  </w14:solidFill>
                </w14:textFill>
              </w:rPr>
              <w:t xml:space="preserve">Lotul nr. </w:t>
            </w:r>
            <w:r>
              <w:rPr>
                <w:rFonts w:hint="default" w:ascii="Times New Roman" w:hAnsi="Times New Roman" w:cs="Times New Roman"/>
                <w:b/>
                <w:bCs/>
                <w:color w:val="000000" w:themeColor="text1"/>
                <w:vertAlign w:val="baseline"/>
                <w:lang/>
                <w14:textFill>
                  <w14:solidFill>
                    <w14:schemeClr w14:val="tx1"/>
                  </w14:solidFill>
                </w14:textFill>
              </w:rPr>
              <w:t>2</w:t>
            </w:r>
            <w:r>
              <w:rPr>
                <w:rFonts w:hint="default" w:ascii="Times New Roman" w:hAnsi="Times New Roman" w:cs="Times New Roman"/>
                <w:b/>
                <w:bCs/>
                <w:color w:val="000000" w:themeColor="text1"/>
                <w:vertAlign w:val="baseline"/>
                <w14:textFill>
                  <w14:solidFill>
                    <w14:schemeClr w14:val="tx1"/>
                  </w14:solidFill>
                </w14:textFill>
              </w:rPr>
              <w:t xml:space="preserve"> </w:t>
            </w:r>
            <w:r>
              <w:rPr>
                <w:rFonts w:hint="default" w:ascii="Times New Roman" w:hAnsi="Times New Roman"/>
                <w:b/>
                <w:bCs/>
                <w:color w:val="000000" w:themeColor="text1"/>
                <w:vertAlign w:val="baseline"/>
                <w14:textFill>
                  <w14:solidFill>
                    <w14:schemeClr w14:val="tx1"/>
                  </w14:solidFill>
                </w14:textFill>
              </w:rPr>
              <w:t>Monitorizarea aplicării prevederilor documentației de proiect în procesul de execuție a lucrărilor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532" w:type="dxa"/>
            <w:vAlign w:val="center"/>
          </w:tcPr>
          <w:p>
            <w:pPr>
              <w:keepNext w:val="0"/>
              <w:keepLines w:val="0"/>
              <w:pageBreakBefore w:val="0"/>
              <w:widowControl/>
              <w:numPr>
                <w:ilvl w:val="0"/>
                <w:numId w:val="4"/>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olor w:val="000000" w:themeColor="text1"/>
                <w:sz w:val="15"/>
                <w:szCs w:val="15"/>
                <w14:textFill>
                  <w14:solidFill>
                    <w14:schemeClr w14:val="tx1"/>
                  </w14:solidFill>
                </w14:textFill>
              </w:rPr>
              <w:t>71240000-</w:t>
            </w:r>
            <w:r>
              <w:rPr>
                <w:rFonts w:hint="default" w:ascii="Times New Roman" w:hAnsi="Times New Roman"/>
                <w:color w:val="000000" w:themeColor="text1"/>
                <w:sz w:val="15"/>
                <w:szCs w:val="15"/>
                <w:lang/>
                <w14:textFill>
                  <w14:solidFill>
                    <w14:schemeClr w14:val="tx1"/>
                  </w14:solidFill>
                </w14:textFill>
              </w:rPr>
              <w:t>2</w:t>
            </w: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val="zh-CN" w:eastAsia="ro-RO"/>
                <w14:textFill>
                  <w14:solidFill>
                    <w14:schemeClr w14:val="tx1"/>
                  </w14:solidFill>
                </w14:textFill>
              </w:rPr>
            </w:pPr>
            <w:r>
              <w:rPr>
                <w:rFonts w:hint="default" w:ascii="Times New Roman" w:hAnsi="Times New Roman"/>
                <w:i w:val="0"/>
                <w:iCs w:val="0"/>
                <w:color w:val="000000" w:themeColor="text1"/>
                <w:sz w:val="20"/>
                <w:szCs w:val="20"/>
                <w:lang w:val="zh-CN" w:eastAsia="en-US"/>
                <w14:textFill>
                  <w14:solidFill>
                    <w14:schemeClr w14:val="tx1"/>
                  </w14:solidFill>
                </w14:textFill>
              </w:rPr>
              <w:t>Monitorizarea aplicării prevederilor documentației de proiect în procesul de execuție a lucrărilor</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vertAlign w:val="superscript"/>
                <w:lang w:eastAsia="en-US" w:bidi="ar-SA"/>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serv.</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14:textFill>
                  <w14:solidFill>
                    <w14:schemeClr w14:val="tx1"/>
                  </w14:solidFill>
                </w14:textFill>
              </w:rPr>
            </w:pPr>
            <w:r>
              <w:rPr>
                <w:rFonts w:hint="default" w:ascii="Times New Roman" w:hAnsi="Times New Roman"/>
                <w:color w:val="000000" w:themeColor="text1"/>
                <w:sz w:val="20"/>
                <w:lang w:eastAsia="en-US"/>
                <w14:textFill>
                  <w14:solidFill>
                    <w14:schemeClr w14:val="tx1"/>
                  </w14:solidFill>
                </w14:textFill>
              </w:rPr>
              <w:t>1,0</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bookmarkStart w:id="0" w:name="_GoBack"/>
            <w:bookmarkEnd w:id="0"/>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18"/>
                <w:szCs w:val="18"/>
                <w:u w:val="none"/>
                <w:vertAlign w:val="baseline"/>
                <w:lang w:eastAsia="zh-CN" w:bidi="ar-SA"/>
                <w14:textFill>
                  <w14:solidFill>
                    <w14:schemeClr w14:val="tx1"/>
                  </w14:solidFill>
                </w14:textFill>
              </w:rPr>
            </w:pPr>
            <w:r>
              <w:rPr>
                <w:rFonts w:hint="default" w:ascii="Times New Roman" w:hAnsi="Times New Roman"/>
                <w:color w:val="000000" w:themeColor="text1"/>
                <w:sz w:val="18"/>
                <w:szCs w:val="18"/>
                <w:u w:val="none"/>
                <w:vertAlign w:val="baseline"/>
                <w:lang w:eastAsia="zh-CN"/>
                <w14:textFill>
                  <w14:solidFill>
                    <w14:schemeClr w14:val="tx1"/>
                  </w14:solidFill>
                </w14:textFill>
              </w:rPr>
              <w:t>continuu pe întreaga durată de executare a lucrărilor</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r>
              <w:rPr>
                <w:rFonts w:hint="default" w:ascii="Times New Roman" w:hAnsi="Times New Roman" w:eastAsiaTheme="minorEastAsia"/>
                <w:color w:val="000000" w:themeColor="text1"/>
                <w:u w:val="none"/>
                <w:vertAlign w:val="baseline"/>
                <w:lang w:val="en-US" w:eastAsia="zh-CN"/>
                <w14:textFill>
                  <w14:solidFill>
                    <w14:schemeClr w14:val="tx1"/>
                  </w14:solidFill>
                </w14:textFill>
              </w:rPr>
              <w:t>MD21ML022510000000004015</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eastAsiaTheme="minorEastAsia"/>
                <w:color w:val="000000" w:themeColor="text1"/>
                <w:u w:val="none"/>
                <w:vertAlign w:val="baseline"/>
                <w:lang w:val="en-US" w:eastAsia="zh-CN" w:bidi="ar-SA"/>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color w:val="000000" w:themeColor="text1"/>
                <w:sz w:val="15"/>
                <w:szCs w:val="15"/>
                <w:lang w:val="en-US" w:eastAsia="zh-CN" w:bidi="ar-SA"/>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eastAsiaTheme="minorEastAsia" w:cstheme="minorBidi"/>
                <w:i w:val="0"/>
                <w:iCs w:val="0"/>
                <w:color w:val="000000" w:themeColor="text1"/>
                <w:sz w:val="20"/>
                <w:szCs w:val="20"/>
                <w:lang w:eastAsia="ru-RU" w:bidi="ar-SA"/>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 lot 1</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u-RU"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color w:val="000000" w:themeColor="text1"/>
                <w:sz w:val="20"/>
                <w:lang w:val="en-US" w:eastAsia="ro-RO" w:bidi="ar-SA"/>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0" w:leftChars="0" w:firstLine="0" w:firstLineChars="0"/>
              <w:jc w:val="both"/>
              <w:textAlignment w:val="auto"/>
              <w:rPr>
                <w:rFonts w:hint="default" w:ascii="Times New Roman" w:hAnsi="Times New Roman" w:cs="Times New Roman"/>
                <w:color w:val="000000" w:themeColor="text1"/>
                <w:u w:val="none"/>
                <w:vertAlign w:val="baseline"/>
                <w14:textFill>
                  <w14:solidFill>
                    <w14:schemeClr w14:val="tx1"/>
                  </w14:solidFill>
                </w14:textFill>
              </w:rPr>
            </w:pPr>
          </w:p>
        </w:tc>
        <w:tc>
          <w:tcPr>
            <w:tcW w:w="95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olor w:val="000000" w:themeColor="text1"/>
                <w:sz w:val="15"/>
                <w:szCs w:val="15"/>
                <w14:textFill>
                  <w14:solidFill>
                    <w14:schemeClr w14:val="tx1"/>
                  </w14:solidFill>
                </w14:textFill>
              </w:rPr>
            </w:pPr>
          </w:p>
        </w:tc>
        <w:tc>
          <w:tcPr>
            <w:tcW w:w="263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i w:val="0"/>
                <w:iCs w:val="0"/>
                <w:color w:val="000000" w:themeColor="text1"/>
                <w:sz w:val="20"/>
                <w:szCs w:val="20"/>
                <w:lang w:eastAsia="en-US"/>
                <w14:textFill>
                  <w14:solidFill>
                    <w14:schemeClr w14:val="tx1"/>
                  </w14:solidFill>
                </w14:textFill>
              </w:rPr>
            </w:pPr>
            <w:r>
              <w:rPr>
                <w:rFonts w:hint="default" w:ascii="Times New Roman" w:hAnsi="Times New Roman"/>
                <w:b/>
                <w:bCs/>
                <w:i w:val="0"/>
                <w:iCs w:val="0"/>
                <w:color w:val="000000" w:themeColor="text1"/>
                <w:sz w:val="20"/>
                <w:szCs w:val="20"/>
                <w:lang w:eastAsia="en-US"/>
                <w14:textFill>
                  <w14:solidFill>
                    <w14:schemeClr w14:val="tx1"/>
                  </w14:solidFill>
                </w14:textFill>
              </w:rPr>
              <w:t>TOTAL</w:t>
            </w:r>
          </w:p>
        </w:tc>
        <w:tc>
          <w:tcPr>
            <w:tcW w:w="1059"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bidi="ar-SA"/>
                <w14:textFill>
                  <w14:solidFill>
                    <w14:schemeClr w14:val="tx1"/>
                  </w14:solidFill>
                </w14:textFill>
              </w:rPr>
            </w:pPr>
            <w:r>
              <w:rPr>
                <w:rFonts w:hint="default" w:ascii="Times New Roman" w:hAnsi="Times New Roman" w:cs="Times New Roman"/>
                <w:color w:val="000000" w:themeColor="text1"/>
                <w:sz w:val="20"/>
                <w:lang w:eastAsia="en-US" w:bidi="ar-SA"/>
                <w14:textFill>
                  <w14:solidFill>
                    <w14:schemeClr w14:val="tx1"/>
                  </w14:solidFill>
                </w14:textFill>
              </w:rPr>
              <w:t>-</w:t>
            </w:r>
          </w:p>
        </w:tc>
        <w:tc>
          <w:tcPr>
            <w:tcW w:w="9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20"/>
                <w:lang w:eastAsia="en-US"/>
                <w14:textFill>
                  <w14:solidFill>
                    <w14:schemeClr w14:val="tx1"/>
                  </w14:solidFill>
                </w14:textFill>
              </w:rPr>
            </w:pPr>
            <w:r>
              <w:rPr>
                <w:rFonts w:hint="default" w:ascii="Times New Roman" w:hAnsi="Times New Roman" w:cs="Times New Roman"/>
                <w:color w:val="000000" w:themeColor="text1"/>
                <w:sz w:val="20"/>
                <w:lang w:eastAsia="en-US"/>
                <w14:textFill>
                  <w14:solidFill>
                    <w14:schemeClr w14:val="tx1"/>
                  </w14:solidFill>
                </w14:textFill>
              </w:rPr>
              <w:t>-</w:t>
            </w:r>
          </w:p>
        </w:tc>
        <w:tc>
          <w:tcPr>
            <w:tcW w:w="126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39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c>
          <w:tcPr>
            <w:tcW w:w="185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b/>
                <w:bCs/>
                <w:color w:val="000000" w:themeColor="text1"/>
                <w:u w:val="none"/>
                <w:vertAlign w:val="baseline"/>
                <w:lang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214" w:type="dxa"/>
            <w:vAlign w:val="center"/>
          </w:tcPr>
          <w:p>
            <w:pPr>
              <w:keepNext w:val="0"/>
              <w:keepLines w:val="0"/>
              <w:pageBreakBefore w:val="0"/>
              <w:widowControl/>
              <w:kinsoku/>
              <w:wordWrap/>
              <w:overflowPunct/>
              <w:topLinePunct w:val="0"/>
              <w:autoSpaceDE/>
              <w:autoSpaceDN/>
              <w:bidi w:val="0"/>
              <w:adjustRightInd/>
              <w:snapToGrid/>
              <w:spacing w:line="264" w:lineRule="auto"/>
              <w:ind w:left="0" w:leftChars="0" w:right="0" w:rightChars="0"/>
              <w:jc w:val="center"/>
              <w:textAlignment w:val="auto"/>
              <w:rPr>
                <w:rFonts w:hint="default" w:ascii="Times New Roman" w:hAnsi="Times New Roman" w:cs="Times New Roman" w:eastAsiaTheme="minorEastAsia"/>
                <w:b/>
                <w:bCs/>
                <w:color w:val="000000" w:themeColor="text1"/>
                <w:u w:val="none"/>
                <w:vertAlign w:val="baseline"/>
                <w:lang w:eastAsia="zh-CN" w:bidi="ar-SA"/>
                <w14:textFill>
                  <w14:solidFill>
                    <w14:schemeClr w14:val="tx1"/>
                  </w14:solidFill>
                </w14:textFill>
              </w:rPr>
            </w:pPr>
            <w:r>
              <w:rPr>
                <w:rFonts w:hint="default" w:ascii="Times New Roman" w:hAnsi="Times New Roman" w:cs="Times New Roman"/>
                <w:b/>
                <w:bCs/>
                <w:color w:val="000000" w:themeColor="text1"/>
                <w:u w:val="none"/>
                <w:vertAlign w:val="baseline"/>
                <w:lang w:eastAsia="zh-CN" w:bidi="ar-SA"/>
                <w14:textFill>
                  <w14:solidFill>
                    <w14:schemeClr w14:val="tx1"/>
                  </w14:solidFill>
                </w14:textFill>
              </w:rPr>
              <w:t>-</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b/>
                <w:bCs/>
                <w:color w:val="000000" w:themeColor="text1"/>
                <w:u w:val="none"/>
                <w:vertAlign w:val="baseline"/>
                <w14:textFill>
                  <w14:solidFill>
                    <w14:schemeClr w14:val="tx1"/>
                  </w14:solidFill>
                </w14:textFill>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D08A7F78"/>
    <w:multiLevelType w:val="singleLevel"/>
    <w:tmpl w:val="D08A7F78"/>
    <w:lvl w:ilvl="0" w:tentative="0">
      <w:start w:val="1"/>
      <w:numFmt w:val="decimal"/>
      <w:lvlText w:val="%1."/>
      <w:lvlJc w:val="left"/>
      <w:pPr>
        <w:tabs>
          <w:tab w:val="left" w:pos="425"/>
        </w:tabs>
        <w:ind w:left="425" w:leftChars="0" w:hanging="425" w:firstLineChars="0"/>
      </w:pPr>
      <w:rPr>
        <w:rFonts w:hint="default"/>
      </w:rPr>
    </w:lvl>
  </w:abstractNum>
  <w:abstractNum w:abstractNumId="2">
    <w:nsid w:val="365887EC"/>
    <w:multiLevelType w:val="singleLevel"/>
    <w:tmpl w:val="365887EC"/>
    <w:lvl w:ilvl="0" w:tentative="0">
      <w:start w:val="1"/>
      <w:numFmt w:val="decimal"/>
      <w:lvlText w:val="%1."/>
      <w:lvlJc w:val="left"/>
      <w:pPr>
        <w:tabs>
          <w:tab w:val="left" w:pos="425"/>
        </w:tabs>
        <w:ind w:left="425" w:leftChars="0" w:hanging="425" w:firstLineChars="0"/>
      </w:pPr>
      <w:rPr>
        <w:rFonts w:hint="default"/>
      </w:rPr>
    </w:lvl>
  </w:abstractNum>
  <w:abstractNum w:abstractNumId="3">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2C23"/>
    <w:rsid w:val="008A3100"/>
    <w:rsid w:val="00F213D0"/>
    <w:rsid w:val="00F73E22"/>
    <w:rsid w:val="01341857"/>
    <w:rsid w:val="0160637B"/>
    <w:rsid w:val="02462A4F"/>
    <w:rsid w:val="03057D24"/>
    <w:rsid w:val="03962305"/>
    <w:rsid w:val="049834F5"/>
    <w:rsid w:val="04B03BBE"/>
    <w:rsid w:val="04B32944"/>
    <w:rsid w:val="04B576E9"/>
    <w:rsid w:val="04FA0515"/>
    <w:rsid w:val="052F6783"/>
    <w:rsid w:val="06A30084"/>
    <w:rsid w:val="06C16E21"/>
    <w:rsid w:val="06FF2F0B"/>
    <w:rsid w:val="075B04E7"/>
    <w:rsid w:val="0856189A"/>
    <w:rsid w:val="08B253D3"/>
    <w:rsid w:val="08E32BEA"/>
    <w:rsid w:val="095835E2"/>
    <w:rsid w:val="09781919"/>
    <w:rsid w:val="0A064A00"/>
    <w:rsid w:val="0A1F41F1"/>
    <w:rsid w:val="0AEC39F9"/>
    <w:rsid w:val="0B1A6AC6"/>
    <w:rsid w:val="0BAA5EE2"/>
    <w:rsid w:val="0BCB2282"/>
    <w:rsid w:val="0C722C9C"/>
    <w:rsid w:val="0D26085E"/>
    <w:rsid w:val="0D34791F"/>
    <w:rsid w:val="0D6F4E6C"/>
    <w:rsid w:val="0D7F51EF"/>
    <w:rsid w:val="0D976E5A"/>
    <w:rsid w:val="0DE66214"/>
    <w:rsid w:val="0DFA0062"/>
    <w:rsid w:val="0F845381"/>
    <w:rsid w:val="0F96366E"/>
    <w:rsid w:val="0FE963AA"/>
    <w:rsid w:val="10204305"/>
    <w:rsid w:val="103764A9"/>
    <w:rsid w:val="10425480"/>
    <w:rsid w:val="10467BD0"/>
    <w:rsid w:val="10962649"/>
    <w:rsid w:val="10E36DA6"/>
    <w:rsid w:val="119028A6"/>
    <w:rsid w:val="11A256FB"/>
    <w:rsid w:val="11C71B03"/>
    <w:rsid w:val="11CF269B"/>
    <w:rsid w:val="124A57A9"/>
    <w:rsid w:val="12B44C98"/>
    <w:rsid w:val="12FC2E9E"/>
    <w:rsid w:val="136F4921"/>
    <w:rsid w:val="13AA13D0"/>
    <w:rsid w:val="13AE706D"/>
    <w:rsid w:val="13CB50AE"/>
    <w:rsid w:val="140A5C07"/>
    <w:rsid w:val="142C4DA5"/>
    <w:rsid w:val="145E6879"/>
    <w:rsid w:val="14714E0B"/>
    <w:rsid w:val="148C1946"/>
    <w:rsid w:val="149C2A0B"/>
    <w:rsid w:val="14C31A74"/>
    <w:rsid w:val="15433EAE"/>
    <w:rsid w:val="15690030"/>
    <w:rsid w:val="15CF515F"/>
    <w:rsid w:val="16176152"/>
    <w:rsid w:val="16690ECB"/>
    <w:rsid w:val="16B71ED0"/>
    <w:rsid w:val="16E8230B"/>
    <w:rsid w:val="17566556"/>
    <w:rsid w:val="18294330"/>
    <w:rsid w:val="19050E57"/>
    <w:rsid w:val="190553DB"/>
    <w:rsid w:val="192C06DB"/>
    <w:rsid w:val="194D5101"/>
    <w:rsid w:val="19D246EC"/>
    <w:rsid w:val="1A235F91"/>
    <w:rsid w:val="1AA40A6F"/>
    <w:rsid w:val="1AEB276C"/>
    <w:rsid w:val="1B0A44F5"/>
    <w:rsid w:val="1B717BA4"/>
    <w:rsid w:val="1BB90D09"/>
    <w:rsid w:val="1BCF2EAD"/>
    <w:rsid w:val="1BD23C9F"/>
    <w:rsid w:val="1BD54DB6"/>
    <w:rsid w:val="1BF974FC"/>
    <w:rsid w:val="1C095956"/>
    <w:rsid w:val="1C1C6023"/>
    <w:rsid w:val="1C7162B9"/>
    <w:rsid w:val="1C8708F3"/>
    <w:rsid w:val="1CAF2C3E"/>
    <w:rsid w:val="1CD96BE2"/>
    <w:rsid w:val="1D1F7306"/>
    <w:rsid w:val="1DB03E28"/>
    <w:rsid w:val="1DC53B37"/>
    <w:rsid w:val="1E2A35E1"/>
    <w:rsid w:val="1E475809"/>
    <w:rsid w:val="1E83119C"/>
    <w:rsid w:val="1ED12D01"/>
    <w:rsid w:val="1EEC7A8C"/>
    <w:rsid w:val="1F062428"/>
    <w:rsid w:val="1F807DBA"/>
    <w:rsid w:val="20181907"/>
    <w:rsid w:val="20345E87"/>
    <w:rsid w:val="206D14D0"/>
    <w:rsid w:val="213D1395"/>
    <w:rsid w:val="21A621B6"/>
    <w:rsid w:val="21AD61D1"/>
    <w:rsid w:val="21BC67F2"/>
    <w:rsid w:val="22575BBF"/>
    <w:rsid w:val="22A5472A"/>
    <w:rsid w:val="22BE600E"/>
    <w:rsid w:val="22F351E3"/>
    <w:rsid w:val="233D0DFF"/>
    <w:rsid w:val="235F5B97"/>
    <w:rsid w:val="238734D8"/>
    <w:rsid w:val="244417EA"/>
    <w:rsid w:val="24CC4FDE"/>
    <w:rsid w:val="250D45D9"/>
    <w:rsid w:val="25917193"/>
    <w:rsid w:val="259D1413"/>
    <w:rsid w:val="26665E8F"/>
    <w:rsid w:val="26957341"/>
    <w:rsid w:val="26D364C3"/>
    <w:rsid w:val="274043A6"/>
    <w:rsid w:val="27647C6B"/>
    <w:rsid w:val="277D7855"/>
    <w:rsid w:val="27FE6EAA"/>
    <w:rsid w:val="28921BC8"/>
    <w:rsid w:val="28D72411"/>
    <w:rsid w:val="28DE416E"/>
    <w:rsid w:val="28F306BC"/>
    <w:rsid w:val="28F43F3F"/>
    <w:rsid w:val="295419DA"/>
    <w:rsid w:val="299E0B55"/>
    <w:rsid w:val="2A41096D"/>
    <w:rsid w:val="2A9B7773"/>
    <w:rsid w:val="2AD51ED6"/>
    <w:rsid w:val="2B010DE5"/>
    <w:rsid w:val="2B8A559C"/>
    <w:rsid w:val="2BA128A4"/>
    <w:rsid w:val="2BEC169E"/>
    <w:rsid w:val="2C133ADC"/>
    <w:rsid w:val="2C1D34E2"/>
    <w:rsid w:val="2CDC6DA8"/>
    <w:rsid w:val="2CF2314A"/>
    <w:rsid w:val="2D566D3D"/>
    <w:rsid w:val="2D8B7E46"/>
    <w:rsid w:val="2DCC08AF"/>
    <w:rsid w:val="2E21026D"/>
    <w:rsid w:val="2E79424B"/>
    <w:rsid w:val="2E7C753E"/>
    <w:rsid w:val="2EE338FA"/>
    <w:rsid w:val="2EFB296D"/>
    <w:rsid w:val="2F7964B4"/>
    <w:rsid w:val="2FAB6462"/>
    <w:rsid w:val="2FB51617"/>
    <w:rsid w:val="30976DA2"/>
    <w:rsid w:val="3098299F"/>
    <w:rsid w:val="30DF4C88"/>
    <w:rsid w:val="30F139DA"/>
    <w:rsid w:val="31044BF9"/>
    <w:rsid w:val="319934B1"/>
    <w:rsid w:val="32117518"/>
    <w:rsid w:val="32691F42"/>
    <w:rsid w:val="32A40826"/>
    <w:rsid w:val="32DB0B8E"/>
    <w:rsid w:val="3380750C"/>
    <w:rsid w:val="33DF2DA8"/>
    <w:rsid w:val="34043CC4"/>
    <w:rsid w:val="34386CBA"/>
    <w:rsid w:val="3453761A"/>
    <w:rsid w:val="34C57BA3"/>
    <w:rsid w:val="34D058C0"/>
    <w:rsid w:val="34D348B8"/>
    <w:rsid w:val="35635123"/>
    <w:rsid w:val="35B4714A"/>
    <w:rsid w:val="36202A8B"/>
    <w:rsid w:val="367A5F70"/>
    <w:rsid w:val="36D37FA2"/>
    <w:rsid w:val="371C5779"/>
    <w:rsid w:val="374239A8"/>
    <w:rsid w:val="37AC3D63"/>
    <w:rsid w:val="37E12EB2"/>
    <w:rsid w:val="37F700BB"/>
    <w:rsid w:val="38286CC9"/>
    <w:rsid w:val="38627659"/>
    <w:rsid w:val="38874FCD"/>
    <w:rsid w:val="388B33D1"/>
    <w:rsid w:val="38A21BCA"/>
    <w:rsid w:val="38EF5674"/>
    <w:rsid w:val="3908401F"/>
    <w:rsid w:val="3957406F"/>
    <w:rsid w:val="39902C7F"/>
    <w:rsid w:val="3998008B"/>
    <w:rsid w:val="39AB195F"/>
    <w:rsid w:val="39E9692C"/>
    <w:rsid w:val="3A227FEF"/>
    <w:rsid w:val="3A2E45A5"/>
    <w:rsid w:val="3A564669"/>
    <w:rsid w:val="3ACD651F"/>
    <w:rsid w:val="3B2C03F0"/>
    <w:rsid w:val="3B314929"/>
    <w:rsid w:val="3C7030B7"/>
    <w:rsid w:val="3CD15AA7"/>
    <w:rsid w:val="3CEE333F"/>
    <w:rsid w:val="3D440A32"/>
    <w:rsid w:val="3D7F5473"/>
    <w:rsid w:val="3D98229D"/>
    <w:rsid w:val="3DF53D49"/>
    <w:rsid w:val="3DFA4DBC"/>
    <w:rsid w:val="3DFD24EF"/>
    <w:rsid w:val="3DFF4976"/>
    <w:rsid w:val="3E274987"/>
    <w:rsid w:val="3E3810ED"/>
    <w:rsid w:val="3EDF5891"/>
    <w:rsid w:val="3EEF3E6C"/>
    <w:rsid w:val="3F281FAB"/>
    <w:rsid w:val="3F9D79EB"/>
    <w:rsid w:val="3FA937FE"/>
    <w:rsid w:val="40655236"/>
    <w:rsid w:val="406903B9"/>
    <w:rsid w:val="40DF6FE1"/>
    <w:rsid w:val="41610951"/>
    <w:rsid w:val="422E6A20"/>
    <w:rsid w:val="423F0E1B"/>
    <w:rsid w:val="42F22356"/>
    <w:rsid w:val="42F9758A"/>
    <w:rsid w:val="430B6522"/>
    <w:rsid w:val="432230E1"/>
    <w:rsid w:val="433C115C"/>
    <w:rsid w:val="43EC32A0"/>
    <w:rsid w:val="442A257B"/>
    <w:rsid w:val="442B4CA6"/>
    <w:rsid w:val="446A7138"/>
    <w:rsid w:val="448F2A7E"/>
    <w:rsid w:val="44D212C3"/>
    <w:rsid w:val="458B32BF"/>
    <w:rsid w:val="45A72013"/>
    <w:rsid w:val="45ED64C7"/>
    <w:rsid w:val="460B5A77"/>
    <w:rsid w:val="460C79DA"/>
    <w:rsid w:val="46341E7B"/>
    <w:rsid w:val="4669356C"/>
    <w:rsid w:val="469D2B56"/>
    <w:rsid w:val="46C95B1B"/>
    <w:rsid w:val="48686BDB"/>
    <w:rsid w:val="488112E8"/>
    <w:rsid w:val="48927A1F"/>
    <w:rsid w:val="48D3628A"/>
    <w:rsid w:val="49057076"/>
    <w:rsid w:val="493C0430"/>
    <w:rsid w:val="49991CBB"/>
    <w:rsid w:val="49DB155E"/>
    <w:rsid w:val="4A3459A1"/>
    <w:rsid w:val="4A383A56"/>
    <w:rsid w:val="4A767D9F"/>
    <w:rsid w:val="4A7B35D0"/>
    <w:rsid w:val="4AB873A4"/>
    <w:rsid w:val="4B2B3590"/>
    <w:rsid w:val="4B8F7878"/>
    <w:rsid w:val="4B924B09"/>
    <w:rsid w:val="4C205671"/>
    <w:rsid w:val="4C6C31D0"/>
    <w:rsid w:val="4CF220F9"/>
    <w:rsid w:val="4D06246C"/>
    <w:rsid w:val="4D4E2860"/>
    <w:rsid w:val="4E1B06BB"/>
    <w:rsid w:val="4E4A6F22"/>
    <w:rsid w:val="4E820792"/>
    <w:rsid w:val="4F6D14D3"/>
    <w:rsid w:val="50146E1C"/>
    <w:rsid w:val="502C5217"/>
    <w:rsid w:val="503179CC"/>
    <w:rsid w:val="506121EE"/>
    <w:rsid w:val="508A0B0E"/>
    <w:rsid w:val="51276734"/>
    <w:rsid w:val="515D3A2F"/>
    <w:rsid w:val="51816D85"/>
    <w:rsid w:val="51AC1950"/>
    <w:rsid w:val="51FD0610"/>
    <w:rsid w:val="52085092"/>
    <w:rsid w:val="52272A53"/>
    <w:rsid w:val="5314398B"/>
    <w:rsid w:val="53380017"/>
    <w:rsid w:val="533D68E5"/>
    <w:rsid w:val="537E6888"/>
    <w:rsid w:val="538A03E0"/>
    <w:rsid w:val="539058A9"/>
    <w:rsid w:val="539865BA"/>
    <w:rsid w:val="539F323A"/>
    <w:rsid w:val="540839FD"/>
    <w:rsid w:val="542D135B"/>
    <w:rsid w:val="544F4A67"/>
    <w:rsid w:val="54DF2FCC"/>
    <w:rsid w:val="55280E42"/>
    <w:rsid w:val="554C7D7D"/>
    <w:rsid w:val="555A7093"/>
    <w:rsid w:val="558939DC"/>
    <w:rsid w:val="5617495D"/>
    <w:rsid w:val="56DA49C3"/>
    <w:rsid w:val="56FA0D19"/>
    <w:rsid w:val="56FE6A8B"/>
    <w:rsid w:val="57500440"/>
    <w:rsid w:val="577F10CA"/>
    <w:rsid w:val="578F06BB"/>
    <w:rsid w:val="579F77F4"/>
    <w:rsid w:val="57AC65E2"/>
    <w:rsid w:val="58510B4E"/>
    <w:rsid w:val="58BE2FA8"/>
    <w:rsid w:val="58D6288E"/>
    <w:rsid w:val="59051627"/>
    <w:rsid w:val="5A82561D"/>
    <w:rsid w:val="5AC72C37"/>
    <w:rsid w:val="5AE51DB9"/>
    <w:rsid w:val="5B0E1573"/>
    <w:rsid w:val="5B5176DD"/>
    <w:rsid w:val="5B8816A9"/>
    <w:rsid w:val="5BA22564"/>
    <w:rsid w:val="5BD42B40"/>
    <w:rsid w:val="5BEC315F"/>
    <w:rsid w:val="5C341831"/>
    <w:rsid w:val="5CF43F2D"/>
    <w:rsid w:val="5CF71093"/>
    <w:rsid w:val="5D04560C"/>
    <w:rsid w:val="5D5B5499"/>
    <w:rsid w:val="5D782062"/>
    <w:rsid w:val="5D9670B3"/>
    <w:rsid w:val="5E1636E9"/>
    <w:rsid w:val="5E4E14BA"/>
    <w:rsid w:val="5E940365"/>
    <w:rsid w:val="5EDD34B2"/>
    <w:rsid w:val="5F060DF3"/>
    <w:rsid w:val="5F107B83"/>
    <w:rsid w:val="5F291A68"/>
    <w:rsid w:val="5FCE083C"/>
    <w:rsid w:val="6091637B"/>
    <w:rsid w:val="60BA7FC0"/>
    <w:rsid w:val="610A2A1F"/>
    <w:rsid w:val="615F7CCE"/>
    <w:rsid w:val="61D80EC5"/>
    <w:rsid w:val="61F3273F"/>
    <w:rsid w:val="62D34565"/>
    <w:rsid w:val="62E27E4A"/>
    <w:rsid w:val="630F7A14"/>
    <w:rsid w:val="63A16619"/>
    <w:rsid w:val="63EF0380"/>
    <w:rsid w:val="63F91D0A"/>
    <w:rsid w:val="643A2FAC"/>
    <w:rsid w:val="64A123A9"/>
    <w:rsid w:val="650667B9"/>
    <w:rsid w:val="655E1B91"/>
    <w:rsid w:val="656776D4"/>
    <w:rsid w:val="657E520F"/>
    <w:rsid w:val="659F31C5"/>
    <w:rsid w:val="65A45331"/>
    <w:rsid w:val="66420389"/>
    <w:rsid w:val="668F7A22"/>
    <w:rsid w:val="67F81C99"/>
    <w:rsid w:val="681B32D5"/>
    <w:rsid w:val="688E4077"/>
    <w:rsid w:val="68976726"/>
    <w:rsid w:val="68E57E27"/>
    <w:rsid w:val="6920240C"/>
    <w:rsid w:val="693365A4"/>
    <w:rsid w:val="69AC0C58"/>
    <w:rsid w:val="6AF75CE4"/>
    <w:rsid w:val="6B0B538D"/>
    <w:rsid w:val="6B52785D"/>
    <w:rsid w:val="6B67048D"/>
    <w:rsid w:val="6B89226B"/>
    <w:rsid w:val="6C3413BA"/>
    <w:rsid w:val="6C827066"/>
    <w:rsid w:val="6CE60925"/>
    <w:rsid w:val="6DD726D7"/>
    <w:rsid w:val="6DE34AE4"/>
    <w:rsid w:val="6E3C219F"/>
    <w:rsid w:val="6ECC6BD6"/>
    <w:rsid w:val="6ED81B6E"/>
    <w:rsid w:val="6EE51CFE"/>
    <w:rsid w:val="6F4938C2"/>
    <w:rsid w:val="6F6C0CDE"/>
    <w:rsid w:val="6F935C45"/>
    <w:rsid w:val="6FD3369D"/>
    <w:rsid w:val="70022762"/>
    <w:rsid w:val="702F3C4D"/>
    <w:rsid w:val="70515D4C"/>
    <w:rsid w:val="709829C9"/>
    <w:rsid w:val="709D6E51"/>
    <w:rsid w:val="70FE5BF1"/>
    <w:rsid w:val="71076500"/>
    <w:rsid w:val="71D21478"/>
    <w:rsid w:val="71D4494F"/>
    <w:rsid w:val="71F0298C"/>
    <w:rsid w:val="71F22B08"/>
    <w:rsid w:val="72417502"/>
    <w:rsid w:val="72632F3A"/>
    <w:rsid w:val="727B22EE"/>
    <w:rsid w:val="72AA69C7"/>
    <w:rsid w:val="72AC1CC9"/>
    <w:rsid w:val="72E36382"/>
    <w:rsid w:val="73100AD4"/>
    <w:rsid w:val="733D60BC"/>
    <w:rsid w:val="739475D4"/>
    <w:rsid w:val="739E1612"/>
    <w:rsid w:val="73DD005B"/>
    <w:rsid w:val="743608B6"/>
    <w:rsid w:val="7477213F"/>
    <w:rsid w:val="74BD341A"/>
    <w:rsid w:val="74CB2F3E"/>
    <w:rsid w:val="74D74BBC"/>
    <w:rsid w:val="752949C6"/>
    <w:rsid w:val="75660FA8"/>
    <w:rsid w:val="75662603"/>
    <w:rsid w:val="756D0933"/>
    <w:rsid w:val="75CD2DB2"/>
    <w:rsid w:val="75E33D48"/>
    <w:rsid w:val="768F6393"/>
    <w:rsid w:val="76B10AC5"/>
    <w:rsid w:val="77207080"/>
    <w:rsid w:val="780C51F7"/>
    <w:rsid w:val="780D04DE"/>
    <w:rsid w:val="78585568"/>
    <w:rsid w:val="78667397"/>
    <w:rsid w:val="78F86B66"/>
    <w:rsid w:val="791068BD"/>
    <w:rsid w:val="79252C4D"/>
    <w:rsid w:val="79CE426D"/>
    <w:rsid w:val="7AE377C7"/>
    <w:rsid w:val="7B0B2BDE"/>
    <w:rsid w:val="7B5909EE"/>
    <w:rsid w:val="7B6B5529"/>
    <w:rsid w:val="7B974C50"/>
    <w:rsid w:val="7BF628C7"/>
    <w:rsid w:val="7C250887"/>
    <w:rsid w:val="7C39225B"/>
    <w:rsid w:val="7C4F1F14"/>
    <w:rsid w:val="7CE76266"/>
    <w:rsid w:val="7E0807F4"/>
    <w:rsid w:val="7E7365A2"/>
    <w:rsid w:val="7E806AE6"/>
    <w:rsid w:val="7FAE7080"/>
    <w:rsid w:val="7FF93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A_Basistii</cp:lastModifiedBy>
  <dcterms:modified xsi:type="dcterms:W3CDTF">2026-05-26T05:39:05Z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937674BB07F2438AABECF06612E9DF79_13</vt:lpwstr>
  </property>
</Properties>
</file>