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u1"/>
        <w:bidi w:val="0"/>
        <w:spacing w:before="120" w:after="0"/>
        <w:ind w:left="0" w:right="0" w:hanging="0"/>
        <w:rPr>
          <w:lang w:val="ro-MD"/>
        </w:rPr>
      </w:pPr>
      <w:r>
        <w:rPr>
          <w:lang w:val="ro-MD"/>
        </w:rPr>
        <w:t>ANUNȚ DE PARTICIPARE</w:t>
      </w:r>
    </w:p>
    <w:p>
      <w:pPr>
        <w:pStyle w:val="Normal"/>
        <w:bidi w:val="0"/>
        <w:spacing w:before="120" w:after="0"/>
        <w:jc w:val="center"/>
        <w:rPr>
          <w:b/>
          <w:sz w:val="24"/>
          <w:szCs w:val="24"/>
          <w:lang w:val="ro-MD"/>
        </w:rPr>
      </w:pPr>
      <w:r>
        <w:rPr>
          <w:b/>
          <w:sz w:val="24"/>
          <w:szCs w:val="24"/>
          <w:lang w:val="ro-MD"/>
        </w:rPr>
        <w:t xml:space="preserve">privind achiziționarea </w:t>
      </w:r>
      <w:r>
        <w:rPr>
          <w:b/>
          <w:sz w:val="24"/>
          <w:szCs w:val="24"/>
          <w:lang w:val="ro-RO"/>
        </w:rPr>
        <w:t>Reactivi și consumabile de laborator pentru</w:t>
      </w:r>
      <w:r>
        <w:rPr>
          <w:b/>
          <w:sz w:val="24"/>
          <w:szCs w:val="24"/>
          <w:lang w:val="ro-MD"/>
        </w:rPr>
        <w:t xml:space="preserve"> anul 2026</w:t>
        <w:br/>
      </w:r>
      <w:r>
        <w:rPr>
          <w:szCs w:val="24"/>
          <w:lang w:val="ro-MD"/>
        </w:rPr>
        <w:t>(se indică obiectul achiziției)</w:t>
      </w:r>
      <w:r>
        <w:rPr>
          <w:b/>
          <w:sz w:val="24"/>
          <w:szCs w:val="24"/>
          <w:lang w:val="ro-MD"/>
        </w:rPr>
        <w:br/>
        <w:t>prin procedura de achiziție</w:t>
      </w:r>
      <w:r>
        <w:rPr>
          <w:b/>
          <w:sz w:val="24"/>
          <w:szCs w:val="24"/>
          <w:shd w:fill="FFFF00" w:val="clear"/>
          <w:lang w:val="ro-MD"/>
        </w:rPr>
        <w:t xml:space="preserve"> Cererea Ofertelor de Prețuri </w:t>
      </w:r>
      <w:r>
        <w:rPr>
          <w:b/>
          <w:sz w:val="24"/>
          <w:szCs w:val="24"/>
          <w:lang w:val="ro-MD"/>
        </w:rPr>
        <w:br/>
      </w:r>
      <w:r>
        <w:rPr>
          <w:szCs w:val="24"/>
          <w:lang w:val="ro-MD"/>
        </w:rPr>
        <w:t>(tipul procedurii de achiziție)</w:t>
      </w:r>
    </w:p>
    <w:p>
      <w:pPr>
        <w:pStyle w:val="Normal"/>
        <w:bidi w:val="0"/>
        <w:jc w:val="left"/>
        <w:rPr>
          <w:lang w:val="ro-MD"/>
        </w:rPr>
      </w:pPr>
      <w:r>
        <w:rPr>
          <w:lang w:val="ro-MD"/>
        </w:rPr>
      </w:r>
    </w:p>
    <w:p>
      <w:pPr>
        <w:pStyle w:val="Normal"/>
        <w:numPr>
          <w:ilvl w:val="0"/>
          <w:numId w:val="1"/>
        </w:numPr>
        <w:tabs>
          <w:tab w:val="clear" w:pos="709"/>
          <w:tab w:val="left" w:pos="852" w:leader="none"/>
          <w:tab w:val="right" w:pos="10099" w:leader="none"/>
        </w:tabs>
        <w:bidi w:val="0"/>
        <w:spacing w:before="120" w:after="0"/>
        <w:ind w:left="284" w:right="0" w:hanging="284"/>
        <w:jc w:val="left"/>
        <w:rPr>
          <w:b/>
          <w:sz w:val="24"/>
          <w:szCs w:val="24"/>
          <w:lang w:val="ro-MD"/>
        </w:rPr>
      </w:pPr>
      <w:r>
        <w:rPr>
          <w:b/>
          <w:sz w:val="24"/>
          <w:szCs w:val="24"/>
          <w:lang w:val="ro-MD"/>
        </w:rPr>
        <w:t xml:space="preserve">Denumirea autorității contractante: </w:t>
      </w:r>
      <w:r>
        <w:rPr>
          <w:b/>
          <w:sz w:val="24"/>
          <w:szCs w:val="24"/>
          <w:shd w:fill="FFFF00" w:val="clear"/>
          <w:lang w:val="ro-MD"/>
        </w:rPr>
        <w:t>IMSP Centrul de sănătate Dondușeni</w:t>
      </w:r>
    </w:p>
    <w:p>
      <w:pPr>
        <w:pStyle w:val="Normal"/>
        <w:numPr>
          <w:ilvl w:val="0"/>
          <w:numId w:val="1"/>
        </w:numPr>
        <w:tabs>
          <w:tab w:val="clear" w:pos="709"/>
          <w:tab w:val="left" w:pos="852" w:leader="none"/>
          <w:tab w:val="right" w:pos="10099" w:leader="none"/>
        </w:tabs>
        <w:bidi w:val="0"/>
        <w:spacing w:before="120" w:after="0"/>
        <w:ind w:left="284" w:right="0" w:hanging="284"/>
        <w:jc w:val="left"/>
        <w:rPr>
          <w:b/>
          <w:sz w:val="24"/>
          <w:szCs w:val="24"/>
          <w:lang w:val="ro-MD"/>
        </w:rPr>
      </w:pPr>
      <w:r>
        <w:rPr>
          <w:b/>
          <w:sz w:val="24"/>
          <w:szCs w:val="24"/>
          <w:lang w:val="ro-MD"/>
        </w:rPr>
        <w:t xml:space="preserve">IDNO: </w:t>
      </w:r>
      <w:r>
        <w:rPr>
          <w:b/>
          <w:sz w:val="24"/>
          <w:szCs w:val="24"/>
          <w:shd w:fill="FFFF00" w:val="clear"/>
          <w:lang w:val="ro-MD"/>
        </w:rPr>
        <w:t>1007604006808</w:t>
      </w:r>
    </w:p>
    <w:p>
      <w:pPr>
        <w:pStyle w:val="Normal"/>
        <w:numPr>
          <w:ilvl w:val="0"/>
          <w:numId w:val="1"/>
        </w:numPr>
        <w:tabs>
          <w:tab w:val="clear" w:pos="709"/>
          <w:tab w:val="left" w:pos="852" w:leader="none"/>
          <w:tab w:val="right" w:pos="10099" w:leader="none"/>
        </w:tabs>
        <w:bidi w:val="0"/>
        <w:spacing w:before="120" w:after="0"/>
        <w:ind w:left="284" w:right="0" w:hanging="284"/>
        <w:jc w:val="left"/>
        <w:rPr>
          <w:b/>
          <w:sz w:val="24"/>
          <w:szCs w:val="24"/>
          <w:lang w:val="ro-MD"/>
        </w:rPr>
      </w:pPr>
      <w:r>
        <w:rPr>
          <w:b/>
          <w:sz w:val="24"/>
          <w:szCs w:val="24"/>
          <w:lang w:val="ro-MD"/>
        </w:rPr>
        <w:t xml:space="preserve">Adresa: </w:t>
      </w:r>
      <w:r>
        <w:rPr>
          <w:b/>
          <w:sz w:val="24"/>
          <w:szCs w:val="24"/>
          <w:shd w:fill="FFFF00" w:val="clear"/>
          <w:lang w:val="ro-MD"/>
        </w:rPr>
        <w:t>or. Dondușeni, str. M. Eminescu, 26/1</w:t>
      </w:r>
    </w:p>
    <w:p>
      <w:pPr>
        <w:pStyle w:val="Normal"/>
        <w:numPr>
          <w:ilvl w:val="0"/>
          <w:numId w:val="1"/>
        </w:numPr>
        <w:tabs>
          <w:tab w:val="clear" w:pos="709"/>
          <w:tab w:val="left" w:pos="852" w:leader="none"/>
          <w:tab w:val="right" w:pos="10099" w:leader="none"/>
        </w:tabs>
        <w:bidi w:val="0"/>
        <w:spacing w:before="120" w:after="0"/>
        <w:ind w:left="284" w:right="0" w:hanging="284"/>
        <w:jc w:val="left"/>
        <w:rPr>
          <w:b/>
          <w:sz w:val="24"/>
          <w:szCs w:val="24"/>
          <w:lang w:val="ro-MD"/>
        </w:rPr>
      </w:pPr>
      <w:r>
        <w:rPr>
          <w:b/>
          <w:sz w:val="24"/>
          <w:szCs w:val="24"/>
          <w:lang w:val="ro-MD"/>
        </w:rPr>
        <w:t xml:space="preserve">Numărul de telefon/fax: </w:t>
      </w:r>
      <w:r>
        <w:rPr>
          <w:b/>
          <w:sz w:val="24"/>
          <w:szCs w:val="24"/>
          <w:shd w:fill="FFFF00" w:val="clear"/>
          <w:lang w:val="ro-MD"/>
        </w:rPr>
        <w:t>0 251 2 13 44</w:t>
      </w:r>
    </w:p>
    <w:p>
      <w:pPr>
        <w:pStyle w:val="Normal"/>
        <w:numPr>
          <w:ilvl w:val="0"/>
          <w:numId w:val="1"/>
        </w:numPr>
        <w:tabs>
          <w:tab w:val="clear" w:pos="709"/>
          <w:tab w:val="left" w:pos="852" w:leader="none"/>
          <w:tab w:val="right" w:pos="10099" w:leader="none"/>
        </w:tabs>
        <w:bidi w:val="0"/>
        <w:spacing w:before="120" w:after="0"/>
        <w:ind w:left="284" w:right="0" w:hanging="284"/>
        <w:jc w:val="left"/>
        <w:rPr>
          <w:b/>
          <w:sz w:val="24"/>
          <w:szCs w:val="24"/>
          <w:lang w:val="ro-MD"/>
        </w:rPr>
      </w:pPr>
      <w:r>
        <w:rPr>
          <w:b/>
          <w:sz w:val="24"/>
          <w:szCs w:val="24"/>
          <w:lang w:val="ro-MD"/>
        </w:rPr>
        <w:t xml:space="preserve">Adresa de e-mail și de internet a autorității contractante: </w:t>
      </w:r>
      <w:hyperlink r:id="rId2">
        <w:r>
          <w:rPr>
            <w:rStyle w:val="Linkdeinternet"/>
            <w:b/>
            <w:sz w:val="24"/>
            <w:szCs w:val="24"/>
            <w:shd w:fill="FFFF00" w:val="clear"/>
            <w:lang w:val="ro-MD"/>
          </w:rPr>
          <w:t>cs.donduseni@ms.md</w:t>
        </w:r>
      </w:hyperlink>
      <w:r>
        <w:rPr>
          <w:b/>
          <w:sz w:val="24"/>
          <w:szCs w:val="24"/>
          <w:shd w:fill="FFFF00" w:val="clear"/>
          <w:lang w:val="ro-MD"/>
        </w:rPr>
        <w:t xml:space="preserve">  </w:t>
      </w:r>
    </w:p>
    <w:p>
      <w:pPr>
        <w:pStyle w:val="Normal"/>
        <w:numPr>
          <w:ilvl w:val="0"/>
          <w:numId w:val="1"/>
        </w:numPr>
        <w:tabs>
          <w:tab w:val="clear" w:pos="709"/>
          <w:tab w:val="left" w:pos="860" w:leader="none"/>
          <w:tab w:val="right" w:pos="10107" w:leader="none"/>
        </w:tabs>
        <w:bidi w:val="0"/>
        <w:spacing w:before="120" w:after="0"/>
        <w:ind w:left="288" w:right="0" w:hanging="288"/>
        <w:jc w:val="left"/>
        <w:rPr>
          <w:b/>
          <w:sz w:val="24"/>
          <w:szCs w:val="24"/>
          <w:lang w:val="ro-MD"/>
        </w:rPr>
      </w:pPr>
      <w:r>
        <w:rPr>
          <w:b/>
          <w:sz w:val="24"/>
          <w:szCs w:val="24"/>
          <w:lang w:val="ro-MD"/>
        </w:rPr>
        <w:t xml:space="preserve">Adresa de e-mail sau de internet de la care se va putea obține accesul la documentația de atribuire: </w:t>
      </w:r>
      <w:r>
        <w:rPr>
          <w:b/>
          <w:i/>
          <w:sz w:val="24"/>
          <w:szCs w:val="24"/>
          <w:lang w:val="ro-MD"/>
        </w:rPr>
        <w:t>documentația de atribuire este anexată în cadrul procedurii în SIA RSAP</w:t>
      </w:r>
      <w:r>
        <w:rPr>
          <w:b/>
          <w:sz w:val="24"/>
          <w:szCs w:val="24"/>
          <w:lang w:val="ro-MD"/>
        </w:rPr>
        <w:t xml:space="preserve"> </w:t>
      </w:r>
    </w:p>
    <w:p>
      <w:pPr>
        <w:pStyle w:val="Normal"/>
        <w:numPr>
          <w:ilvl w:val="0"/>
          <w:numId w:val="1"/>
        </w:numPr>
        <w:tabs>
          <w:tab w:val="clear" w:pos="709"/>
          <w:tab w:val="left" w:pos="860" w:leader="none"/>
          <w:tab w:val="right" w:pos="10107" w:leader="none"/>
        </w:tabs>
        <w:bidi w:val="0"/>
        <w:spacing w:before="120" w:after="0"/>
        <w:ind w:left="288" w:right="0" w:hanging="288"/>
        <w:jc w:val="left"/>
        <w:rPr>
          <w:b/>
          <w:sz w:val="24"/>
          <w:szCs w:val="24"/>
          <w:lang w:val="ro-MD"/>
        </w:rPr>
      </w:pPr>
      <w:r>
        <w:rPr>
          <w:b/>
          <w:sz w:val="24"/>
          <w:szCs w:val="24"/>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sz w:val="24"/>
          <w:szCs w:val="24"/>
          <w:shd w:fill="FFFF00" w:val="clear"/>
          <w:lang w:val="ro-MD"/>
        </w:rPr>
        <w:t>Instituție medicală ce prestează servicii medicale</w:t>
      </w:r>
    </w:p>
    <w:p>
      <w:pPr>
        <w:pStyle w:val="Normal"/>
        <w:numPr>
          <w:ilvl w:val="0"/>
          <w:numId w:val="1"/>
        </w:numPr>
        <w:tabs>
          <w:tab w:val="clear" w:pos="709"/>
          <w:tab w:val="left" w:pos="860" w:leader="none"/>
          <w:tab w:val="right" w:pos="10107" w:leader="none"/>
        </w:tabs>
        <w:bidi w:val="0"/>
        <w:spacing w:before="120" w:after="0"/>
        <w:ind w:left="288" w:right="0" w:hanging="288"/>
        <w:jc w:val="left"/>
        <w:rPr>
          <w:b/>
          <w:sz w:val="24"/>
          <w:szCs w:val="24"/>
          <w:lang w:val="ro-MD"/>
        </w:rPr>
      </w:pPr>
      <w:r>
        <w:rPr>
          <w:b/>
          <w:sz w:val="24"/>
          <w:szCs w:val="24"/>
          <w:lang w:val="ro-MD"/>
        </w:rPr>
        <w:t xml:space="preserve">Procedura a fost inclusă în planul de achiziții publice a autorității contractante (Da/Nu): </w:t>
      </w:r>
    </w:p>
    <w:p>
      <w:pPr>
        <w:pStyle w:val="Normal"/>
        <w:bidi w:val="0"/>
        <w:jc w:val="left"/>
        <w:rPr>
          <w:b/>
          <w:sz w:val="24"/>
          <w:szCs w:val="24"/>
          <w:lang w:val="ro-MD"/>
        </w:rPr>
      </w:pPr>
      <w:r>
        <w:rPr>
          <w:b/>
          <w:sz w:val="24"/>
          <w:szCs w:val="24"/>
          <w:lang w:val="ro-MD"/>
        </w:rPr>
        <w:t xml:space="preserve"> </w:t>
      </w:r>
      <w:r>
        <w:rPr>
          <w:b/>
          <w:sz w:val="24"/>
          <w:szCs w:val="24"/>
          <w:lang w:val="ro-MD"/>
        </w:rPr>
        <w:t>Link-ul către planul de achiziții publice publicat:</w:t>
      </w:r>
      <w:r>
        <w:rPr>
          <w:b/>
          <w:sz w:val="24"/>
          <w:szCs w:val="24"/>
          <w:shd w:fill="FFFF00" w:val="clear"/>
          <w:lang w:val="ro-MD"/>
        </w:rPr>
        <w:t>___________________________________</w:t>
      </w:r>
    </w:p>
    <w:p>
      <w:pPr>
        <w:pStyle w:val="Normal"/>
        <w:numPr>
          <w:ilvl w:val="0"/>
          <w:numId w:val="1"/>
        </w:numPr>
        <w:tabs>
          <w:tab w:val="clear" w:pos="709"/>
          <w:tab w:val="left" w:pos="852" w:leader="none"/>
          <w:tab w:val="right" w:pos="994" w:leader="none"/>
        </w:tabs>
        <w:bidi w:val="0"/>
        <w:spacing w:before="120" w:after="0"/>
        <w:ind w:left="284" w:right="0" w:hanging="284"/>
        <w:jc w:val="left"/>
        <w:rPr>
          <w:b/>
          <w:sz w:val="24"/>
          <w:szCs w:val="24"/>
          <w:lang w:val="ro-MD"/>
        </w:rPr>
      </w:pPr>
      <w:r>
        <w:rPr>
          <w:b/>
          <w:sz w:val="24"/>
          <w:szCs w:val="24"/>
          <w:lang w:val="ro-MD"/>
        </w:rPr>
        <w:t>Cumpărătorul invită operatorii economici interesați, care îi pot satisface necesitățile, să participe la procedura de achiziție privind livrarea următoarelor bunuri :</w:t>
      </w:r>
    </w:p>
    <w:tbl>
      <w:tblPr>
        <w:tblW w:w="10476" w:type="dxa"/>
        <w:jc w:val="left"/>
        <w:tblInd w:w="-856" w:type="dxa"/>
        <w:tblLayout w:type="fixed"/>
        <w:tblCellMar>
          <w:top w:w="0" w:type="dxa"/>
          <w:left w:w="108" w:type="dxa"/>
          <w:bottom w:w="0" w:type="dxa"/>
          <w:right w:w="108" w:type="dxa"/>
        </w:tblCellMar>
      </w:tblPr>
      <w:tblGrid>
        <w:gridCol w:w="709"/>
        <w:gridCol w:w="1415"/>
        <w:gridCol w:w="2552"/>
        <w:gridCol w:w="853"/>
        <w:gridCol w:w="709"/>
        <w:gridCol w:w="2837"/>
        <w:gridCol w:w="1400"/>
      </w:tblGrid>
      <w:tr>
        <w:trPr>
          <w:trHeight w:val="567" w:hRule="atLeast"/>
        </w:trPr>
        <w:tc>
          <w:tcPr>
            <w:tcW w:w="709"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t>Nr. d/o</w:t>
            </w:r>
          </w:p>
        </w:tc>
        <w:tc>
          <w:tcPr>
            <w:tcW w:w="141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t>Cod CPV</w:t>
            </w:r>
          </w:p>
        </w:tc>
        <w:tc>
          <w:tcPr>
            <w:tcW w:w="2552"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t>Denumirea bunurilor/serviciilor/lucrărilor solicitate</w:t>
            </w:r>
          </w:p>
        </w:tc>
        <w:tc>
          <w:tcPr>
            <w:tcW w:w="853"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t>Canti</w:t>
            </w:r>
          </w:p>
          <w:p>
            <w:pPr>
              <w:pStyle w:val="Normal"/>
              <w:widowControl w:val="false"/>
              <w:bidi w:val="0"/>
              <w:spacing w:before="120" w:after="0"/>
              <w:jc w:val="center"/>
              <w:rPr>
                <w:b/>
                <w:sz w:val="24"/>
                <w:szCs w:val="24"/>
                <w:lang w:val="ro-MD"/>
              </w:rPr>
            </w:pPr>
            <w:r>
              <w:rPr>
                <w:b/>
                <w:sz w:val="24"/>
                <w:szCs w:val="24"/>
                <w:lang w:val="ro-MD"/>
              </w:rPr>
              <w:t xml:space="preserve">tatea </w:t>
            </w:r>
          </w:p>
        </w:tc>
        <w:tc>
          <w:tcPr>
            <w:tcW w:w="709"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t>Un. Măs</w:t>
            </w:r>
          </w:p>
        </w:tc>
        <w:tc>
          <w:tcPr>
            <w:tcW w:w="2837"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t>Specificarea tehnică deplină solicitată, Standarde de referință</w:t>
            </w:r>
          </w:p>
        </w:tc>
        <w:tc>
          <w:tcPr>
            <w:tcW w:w="1400"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bidi w:val="0"/>
              <w:spacing w:before="120" w:after="0"/>
              <w:jc w:val="center"/>
              <w:rPr>
                <w:b/>
                <w:sz w:val="24"/>
                <w:szCs w:val="24"/>
                <w:lang w:val="ro-MD"/>
              </w:rPr>
            </w:pPr>
            <w:r>
              <w:rPr>
                <w:b/>
                <w:sz w:val="24"/>
                <w:szCs w:val="24"/>
                <w:lang w:val="ro-MD"/>
              </w:rPr>
              <w:t>Valoarea estimată</w:t>
              <w:br/>
              <w:t>(se va indica pentru fiecare lot în parte)</w:t>
            </w:r>
          </w:p>
        </w:tc>
      </w:tr>
      <w:tr>
        <w:trPr>
          <w:trHeight w:val="567" w:hRule="atLeast"/>
        </w:trPr>
        <w:tc>
          <w:tcPr>
            <w:tcW w:w="709"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r>
          </w:p>
        </w:tc>
        <w:tc>
          <w:tcPr>
            <w:tcW w:w="141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r>
          </w:p>
        </w:tc>
        <w:tc>
          <w:tcPr>
            <w:tcW w:w="2552"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r>
          </w:p>
        </w:tc>
        <w:tc>
          <w:tcPr>
            <w:tcW w:w="853"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r>
          </w:p>
        </w:tc>
        <w:tc>
          <w:tcPr>
            <w:tcW w:w="709"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r>
          </w:p>
        </w:tc>
        <w:tc>
          <w:tcPr>
            <w:tcW w:w="2837"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lang w:val="ro-RO"/>
              </w:rPr>
            </w:pPr>
            <w:r>
              <w:rPr>
                <w:b/>
                <w:lang w:val="ro-MD"/>
              </w:rPr>
              <w:t xml:space="preserve">Reactivi </w:t>
            </w:r>
            <w:r>
              <w:rPr>
                <w:b/>
                <w:lang w:val="ro-RO"/>
              </w:rPr>
              <w:t>și consumabile p/u A 15, tip închis</w:t>
            </w:r>
          </w:p>
        </w:tc>
        <w:tc>
          <w:tcPr>
            <w:tcW w:w="1400"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bidi w:val="0"/>
              <w:spacing w:before="120" w:after="0"/>
              <w:jc w:val="center"/>
              <w:rPr>
                <w:b/>
                <w:sz w:val="24"/>
                <w:szCs w:val="24"/>
                <w:lang w:val="ro-MD"/>
              </w:rPr>
            </w:pPr>
            <w:r>
              <w:rPr>
                <w:b/>
                <w:sz w:val="24"/>
                <w:szCs w:val="24"/>
                <w:lang w:val="ro-MD"/>
              </w:rPr>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w:t>
            </w:r>
          </w:p>
        </w:tc>
        <w:tc>
          <w:tcPr>
            <w:tcW w:w="1415"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sz w:val="22"/>
                <w:szCs w:val="22"/>
                <w:lang w:val="ro-MD"/>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ALT(GPT)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both"/>
              <w:rPr>
                <w:sz w:val="22"/>
                <w:szCs w:val="22"/>
                <w:lang w:val="ro-MD"/>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MD"/>
              </w:rPr>
            </w:pPr>
            <w:r>
              <w:rPr>
                <w:sz w:val="22"/>
                <w:szCs w:val="22"/>
                <w:lang w:val="ro-MD"/>
              </w:rPr>
              <w:t>7700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AST(GOT)</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7700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Albumina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110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t xml:space="preserve">33100000-1 </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Alcaline-Phosphatase (ALP)</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color w:val="000000"/>
                <w:sz w:val="22"/>
                <w:szCs w:val="22"/>
                <w:lang w:val="en-US"/>
              </w:rPr>
            </w:pPr>
            <w:r>
              <w:rPr>
                <w:color w:val="000000"/>
                <w:sz w:val="22"/>
                <w:szCs w:val="22"/>
                <w:lang w:val="en-US"/>
              </w:rPr>
              <w:t>Flacoane până la 50 ml</w:t>
            </w:r>
            <w:r>
              <w:rPr>
                <w:color w:val="FF0000"/>
                <w:sz w:val="22"/>
                <w:szCs w:val="22"/>
                <w:lang w:val="en-US"/>
              </w:rPr>
              <w:t xml:space="preserve">, </w:t>
            </w:r>
            <w:r>
              <w:rPr>
                <w:color w:val="000000"/>
                <w:sz w:val="22"/>
                <w:szCs w:val="22"/>
                <w:lang w:val="en-US"/>
              </w:rPr>
              <w:t xml:space="preserve">compatibele cu analizatorul biochimic automat A-15 (Biosistem Spania), Ambalaj securizat, marcat şi etichetat de producător. Termenul de valabilitate indicat pe ambalaj de producator nu mai mic de 18 luni </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330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Alfa-amilaza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20 ml, compatibele cu analizatorul biochimic automat A-15 (Biosistem Spania), Ambalaj securizat, marcat şi etichetat de producător. 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36000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Bilirubină totală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Bilirubină directă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50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Calciu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left" w:pos="960" w:leader="none"/>
              </w:tabs>
              <w:bidi w:val="0"/>
              <w:jc w:val="left"/>
              <w:rPr>
                <w:color w:val="000000"/>
                <w:sz w:val="22"/>
                <w:szCs w:val="22"/>
                <w:lang w:val="ro-RO"/>
              </w:rPr>
            </w:pPr>
            <w:r>
              <w:rPr>
                <w:color w:val="000000"/>
                <w:sz w:val="22"/>
                <w:szCs w:val="22"/>
                <w:lang w:val="ro-RO"/>
              </w:rPr>
              <w:t>Cholesterol total</w:t>
            </w:r>
            <w:r>
              <w:rPr>
                <w:sz w:val="22"/>
                <w:szCs w:val="22"/>
                <w:lang w:val="ro-RO"/>
              </w:rPr>
              <w:t xml:space="preserve">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6000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LDL Colesterol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20 ml,compatibele cu analizatorul biochimic automat A-15 (Biosistem Spania)Ambalaj securizat, marcat şi etichetat de producător.Termenul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32000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HDL Colesterol</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20 ml,compatibele cu analizatorul biochimic automat A-15 (Biosistem Spania)Ambalaj securizat, marcat şi etichetat de producător..Termenul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34500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Creatinină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3500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2600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left" w:pos="960" w:leader="none"/>
              </w:tabs>
              <w:bidi w:val="0"/>
              <w:jc w:val="left"/>
              <w:rPr>
                <w:color w:val="000000"/>
                <w:sz w:val="22"/>
                <w:szCs w:val="22"/>
                <w:lang w:val="ro-RO"/>
              </w:rPr>
            </w:pPr>
            <w:r>
              <w:rPr>
                <w:color w:val="000000"/>
                <w:sz w:val="22"/>
                <w:szCs w:val="22"/>
                <w:lang w:val="ro-RO"/>
              </w:rPr>
              <w:t>Gamma glutamiltransferase</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Glucoza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3500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2600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Fier Iron</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color w:val="000000"/>
                <w:sz w:val="22"/>
                <w:szCs w:val="22"/>
                <w:lang w:val="en-US"/>
              </w:rPr>
            </w:pPr>
            <w:r>
              <w:rPr>
                <w:sz w:val="22"/>
                <w:szCs w:val="22"/>
                <w:lang w:val="en-US"/>
              </w:rPr>
              <w:t xml:space="preserve">Flacoane până la 16-20 ml, compatibele cu analizatorul </w:t>
            </w:r>
            <w:r>
              <w:rPr>
                <w:color w:val="000000"/>
                <w:sz w:val="22"/>
                <w:szCs w:val="22"/>
                <w:lang w:val="en-US"/>
              </w:rPr>
              <w:t>biochimic automat A-15 (Biosistem Spania), Ambalaj securizat, marcat şi etichetat de producător. 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750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color w:val="000000"/>
                <w:sz w:val="22"/>
                <w:szCs w:val="22"/>
                <w:lang w:val="en-US"/>
              </w:rPr>
              <w:t>Hemoglobina glicozilata (HbA1c)</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700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71400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color w:val="000000"/>
                <w:sz w:val="22"/>
                <w:szCs w:val="22"/>
              </w:rPr>
              <w:t>Calibrator HbA1c</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cu volum 2 ml. Calibrator  trebuie să fie produs de acelaș producător ca și reactive pentru determinareaHemoglobinglicozilata.                    Ambalaj securizat, marcat şi etichetat de producător..Termenul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4200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jc w:val="left"/>
              <w:rPr>
                <w:color w:val="000000"/>
                <w:sz w:val="22"/>
                <w:szCs w:val="22"/>
              </w:rPr>
            </w:pPr>
            <w:r>
              <w:rPr>
                <w:color w:val="000000"/>
                <w:sz w:val="22"/>
                <w:szCs w:val="22"/>
              </w:rPr>
              <w:t>HEMOGLOBIN A1C Control normal</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jc w:val="left"/>
              <w:rPr>
                <w:color w:val="000000"/>
                <w:sz w:val="22"/>
                <w:szCs w:val="22"/>
                <w:lang w:val="en-US"/>
              </w:rPr>
            </w:pPr>
            <w:r>
              <w:rPr>
                <w:color w:val="000000"/>
                <w:sz w:val="22"/>
                <w:szCs w:val="22"/>
                <w:lang w:val="en-US"/>
              </w:rPr>
              <w:t>Flacoane cu volum 1 ml.    Control  trebuie să fie produs de acelaș producător ca și reactive pentru determinarea  Hemoglobin glicozilata.                    Ambalaj securizat, marcat şi etichetat de producător..Termenul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4200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jc w:val="left"/>
              <w:rPr>
                <w:color w:val="000000"/>
                <w:sz w:val="22"/>
                <w:szCs w:val="22"/>
              </w:rPr>
            </w:pPr>
            <w:r>
              <w:rPr>
                <w:color w:val="000000"/>
                <w:sz w:val="22"/>
                <w:szCs w:val="22"/>
              </w:rPr>
              <w:t>HEMOGLOBIN A1C Control patologic</w:t>
            </w:r>
          </w:p>
          <w:p>
            <w:pPr>
              <w:pStyle w:val="Normal"/>
              <w:widowControl w:val="false"/>
              <w:bidi w:val="0"/>
              <w:jc w:val="center"/>
              <w:rPr>
                <w:color w:val="000000"/>
                <w:sz w:val="22"/>
                <w:szCs w:val="22"/>
              </w:rPr>
            </w:pPr>
            <w:r>
              <w:rPr>
                <w:color w:val="000000"/>
                <w:sz w:val="22"/>
                <w:szCs w:val="22"/>
              </w:rPr>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jc w:val="left"/>
              <w:rPr>
                <w:color w:val="000000"/>
                <w:sz w:val="22"/>
                <w:szCs w:val="22"/>
                <w:lang w:val="en-US"/>
              </w:rPr>
            </w:pPr>
            <w:r>
              <w:rPr>
                <w:color w:val="000000"/>
                <w:sz w:val="22"/>
                <w:szCs w:val="22"/>
                <w:lang w:val="en-US"/>
              </w:rPr>
              <w:t xml:space="preserve">Flacoane cu volum 1 ml.   Control  trebuie să fie produs de acelaș producător ca și reactive pentru determinarea  Hemoglobin glicozilata.                    </w:t>
              <w:br/>
              <w:t>Ambalaj securizat, marcat şi etichetat de producător.Termenul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4200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left" w:pos="960" w:leader="none"/>
              </w:tabs>
              <w:bidi w:val="0"/>
              <w:jc w:val="left"/>
              <w:rPr>
                <w:color w:val="000000"/>
                <w:sz w:val="22"/>
                <w:szCs w:val="22"/>
                <w:lang w:val="ro-RO"/>
              </w:rPr>
            </w:pPr>
            <w:r>
              <w:rPr>
                <w:color w:val="000000"/>
                <w:sz w:val="22"/>
                <w:szCs w:val="22"/>
                <w:lang w:val="ro-RO"/>
              </w:rPr>
              <w:t xml:space="preserve">Lipasa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8500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Magneziu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Proteină totală</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color w:val="000000"/>
                <w:sz w:val="22"/>
                <w:szCs w:val="22"/>
                <w:lang w:val="en-US"/>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t xml:space="preserve">33100000-1 </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Acid uric</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color w:val="000000"/>
                <w:sz w:val="22"/>
                <w:szCs w:val="22"/>
              </w:rPr>
              <w:t>Trigliceride (Triglicerides)</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6400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Ureea</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Protein C reactivă </w:t>
            </w:r>
          </w:p>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latex test set 8 ml, (150 teste cu control +,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56</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 ml, compatibele cu analizatorul biochimic automat A-15 (Biosistem Spania)Ambalaj securizat, marcat şi etichetat de producător..Termenul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jc w:val="left"/>
              <w:rPr>
                <w:color w:val="000000"/>
                <w:sz w:val="22"/>
                <w:szCs w:val="22"/>
                <w:lang w:val="en-US"/>
              </w:rPr>
            </w:pPr>
            <w:r>
              <w:rPr>
                <w:color w:val="000000"/>
                <w:sz w:val="22"/>
                <w:szCs w:val="22"/>
                <w:lang w:val="en-US"/>
              </w:rPr>
              <w:t>Factor rheumatic latex test</w:t>
            </w:r>
          </w:p>
          <w:p>
            <w:pPr>
              <w:pStyle w:val="Normal"/>
              <w:widowControl w:val="false"/>
              <w:bidi w:val="0"/>
              <w:jc w:val="left"/>
              <w:rPr>
                <w:color w:val="FF0000"/>
                <w:sz w:val="22"/>
                <w:szCs w:val="22"/>
                <w:lang w:val="en-US"/>
              </w:rPr>
            </w:pPr>
            <w:r>
              <w:rPr>
                <w:color w:val="000000"/>
                <w:sz w:val="22"/>
                <w:szCs w:val="22"/>
                <w:lang w:val="en-US"/>
              </w:rPr>
              <w:t>8 ml,</w:t>
            </w:r>
            <w:r>
              <w:rPr>
                <w:sz w:val="22"/>
                <w:szCs w:val="22"/>
                <w:lang w:val="ro-RO"/>
              </w:rPr>
              <w:t xml:space="preserve">(150 teste, cu control +, - )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56</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20 ml, compatibele cu analizatorul biochimic automat A-15 (Biosistem Spania)Ambalaj securizat, marcat şi etichetat de producător..Termenul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jc w:val="left"/>
              <w:rPr>
                <w:color w:val="FF0000"/>
                <w:sz w:val="22"/>
                <w:szCs w:val="22"/>
                <w:lang w:val="en-US"/>
              </w:rPr>
            </w:pPr>
            <w:r>
              <w:rPr>
                <w:color w:val="000000"/>
                <w:sz w:val="22"/>
                <w:szCs w:val="22"/>
                <w:lang w:val="en-US"/>
              </w:rPr>
              <w:t>Antistreptolizina O latex test set 8 ml, control + și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56</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 ml, compatibele cu analizatorul biochimic automat A-15 (Biosistem Spania)Ambalaj securizat, marcat şi etichetat de producător..Termenul de valabilitate indicat pe ambalaj de producator nu mai mic de 18 luni</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Calibrator Multi biochimie</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Flacon 5 ml, ser uman cu 40 parametri ce include: alfa amilaza CNP G3, bilirubin direct m.d. Iendrașek,bilirubin total  m.d. Iendrașek, calciu m.d. Arsenazo III, iron m.d. Ferrozine</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7400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Control ser normal</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Flacon 5 ml, ser uman cu 40 parametri ce include: alfa amilaza CNP G3, bilirubin direct m.d. Iendrașek,bilirubin total  m.d. Iendrașek, calciu m.d. Arsenazo III, iron m.d. Ferrozine</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7400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Control ser patologic</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Flacon 5 ml, ser uman cu 40 parametri ce include: alfa amilaza CNP G3, bilirubin direct m.d. Iendrașek,bilirubin total  m.d. Iendrașek, calciu m.d. Arsenazo III, iron m.d. Ferrozine </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7400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ro-RO"/>
              </w:rPr>
            </w:pPr>
            <w:r>
              <w:rPr>
                <w:color w:val="000000"/>
                <w:sz w:val="22"/>
                <w:szCs w:val="22"/>
                <w:lang w:val="ro-RO"/>
              </w:rPr>
              <w:t>Cuvă pentru ser,2 ml</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ro-RO"/>
              </w:rPr>
            </w:pPr>
            <w:r>
              <w:rPr>
                <w:color w:val="000000"/>
                <w:sz w:val="22"/>
                <w:szCs w:val="22"/>
                <w:lang w:val="ro-RO"/>
              </w:rPr>
              <w:t>15</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ro-RO"/>
              </w:rPr>
            </w:pPr>
            <w:r>
              <w:rPr>
                <w:color w:val="000000"/>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en-US"/>
              </w:rPr>
            </w:pPr>
            <w:r>
              <w:rPr>
                <w:color w:val="000000"/>
                <w:sz w:val="22"/>
                <w:szCs w:val="22"/>
                <w:lang w:val="en-US"/>
              </w:rPr>
              <w:t xml:space="preserve"> </w:t>
            </w:r>
            <w:r>
              <w:rPr>
                <w:color w:val="000000"/>
                <w:sz w:val="22"/>
                <w:szCs w:val="22"/>
                <w:lang w:val="en-US"/>
              </w:rPr>
              <w:t>set – 1000 buc</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8300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en-US"/>
              </w:rPr>
            </w:pPr>
            <w:r>
              <w:rPr>
                <w:color w:val="000000"/>
                <w:sz w:val="22"/>
                <w:szCs w:val="22"/>
                <w:lang w:val="en-US"/>
              </w:rPr>
              <w:t>Rotor de reacție</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ro-RO"/>
              </w:rPr>
            </w:pPr>
            <w:r>
              <w:rPr>
                <w:color w:val="000000"/>
                <w:sz w:val="22"/>
                <w:szCs w:val="22"/>
                <w:lang w:val="ro-RO"/>
              </w:rPr>
              <w:t>100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ro-RO"/>
              </w:rPr>
            </w:pPr>
            <w:r>
              <w:rPr>
                <w:color w:val="000000"/>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en-US"/>
              </w:rPr>
            </w:pPr>
            <w:r>
              <w:rPr>
                <w:color w:val="000000"/>
                <w:sz w:val="22"/>
                <w:szCs w:val="22"/>
                <w:lang w:val="en-US"/>
              </w:rPr>
              <w:t>Set 10 buc/set, autorizare de la producător</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199000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Soluție concentrate de spălare</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en-US"/>
              </w:rPr>
            </w:pPr>
            <w:r>
              <w:rPr>
                <w:color w:val="000000"/>
                <w:sz w:val="22"/>
                <w:szCs w:val="22"/>
                <w:lang w:val="en-US"/>
              </w:rPr>
              <w:t xml:space="preserve"> </w:t>
            </w:r>
            <w:r>
              <w:rPr>
                <w:color w:val="000000"/>
                <w:sz w:val="22"/>
                <w:szCs w:val="22"/>
                <w:lang w:val="en-US"/>
              </w:rPr>
              <w:t>flacon cu vol. 100 ml, fără clor</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Soluție concentrate de sistem</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en-US"/>
              </w:rPr>
            </w:pPr>
            <w:r>
              <w:rPr>
                <w:color w:val="000000"/>
                <w:sz w:val="22"/>
                <w:szCs w:val="22"/>
                <w:lang w:val="en-US"/>
              </w:rPr>
              <w:t xml:space="preserve"> </w:t>
            </w:r>
            <w:r>
              <w:rPr>
                <w:color w:val="000000"/>
                <w:sz w:val="22"/>
                <w:szCs w:val="22"/>
                <w:lang w:val="en-US"/>
              </w:rPr>
              <w:t>flacon cu volum 1000 ml, fără clor</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Soluție de spălare neconcentrată</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en-US"/>
              </w:rPr>
            </w:pPr>
            <w:r>
              <w:rPr>
                <w:color w:val="000000"/>
                <w:sz w:val="22"/>
                <w:szCs w:val="22"/>
                <w:lang w:val="en-US"/>
              </w:rPr>
              <w:t xml:space="preserve">flacon cu volum 1000 ml </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1100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Cablu manipulator</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Ventilator la placa procesorului</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900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Pneomohidro cilindri p/u capac</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1</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Ac p/u dozarea reacticelor</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1</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Lampă fotometrică A 15</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1100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Capac p/u canistra de spălare A 15</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2</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Garnitură p/u pompa de dozare</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Set de rulmenți p/u manipulator</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5000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Cuve pentru A 15</w:t>
            </w:r>
          </w:p>
        </w:tc>
        <w:tc>
          <w:tcPr>
            <w:tcW w:w="853"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8000</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b/>
                <w:sz w:val="22"/>
                <w:szCs w:val="22"/>
                <w:lang w:val="ro-RO"/>
              </w:rPr>
            </w:pPr>
            <w:r>
              <w:rPr>
                <w:b/>
                <w:sz w:val="22"/>
                <w:szCs w:val="22"/>
                <w:lang w:val="ro-RO"/>
              </w:rPr>
              <w:t xml:space="preserve">Total pe lot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b/>
                <w:sz w:val="22"/>
                <w:szCs w:val="22"/>
                <w:lang w:val="ro-RO"/>
              </w:rPr>
            </w:pPr>
            <w:r>
              <w:rPr>
                <w:b/>
                <w:sz w:val="22"/>
                <w:szCs w:val="22"/>
                <w:lang w:val="ro-RO"/>
              </w:rPr>
              <w:t>512460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b/>
                <w:sz w:val="22"/>
                <w:szCs w:val="22"/>
                <w:lang w:val="ro-RO"/>
              </w:rPr>
            </w:pPr>
            <w:r>
              <w:rPr>
                <w:b/>
                <w:sz w:val="22"/>
                <w:szCs w:val="22"/>
                <w:lang w:val="ro-RO"/>
              </w:rPr>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b/>
                <w:sz w:val="22"/>
                <w:szCs w:val="22"/>
                <w:lang w:val="ro-RO"/>
              </w:rPr>
            </w:pPr>
            <w:r>
              <w:rPr>
                <w:b/>
                <w:sz w:val="22"/>
                <w:szCs w:val="22"/>
                <w:lang w:val="ro-RO"/>
              </w:rPr>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b/>
                <w:color w:val="000000"/>
                <w:sz w:val="22"/>
                <w:szCs w:val="22"/>
                <w:lang w:val="ro-RO"/>
              </w:rPr>
            </w:pPr>
            <w:r>
              <w:rPr>
                <w:b/>
                <w:color w:val="000000"/>
                <w:sz w:val="22"/>
                <w:szCs w:val="22"/>
                <w:lang w:val="ro-RO"/>
              </w:rPr>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b/>
                <w:sz w:val="22"/>
                <w:szCs w:val="22"/>
                <w:lang w:val="ro-RO"/>
              </w:rPr>
            </w:pPr>
            <w:r>
              <w:rPr>
                <w:b/>
                <w:sz w:val="22"/>
                <w:szCs w:val="22"/>
                <w:lang w:val="ro-RO"/>
              </w:rPr>
              <w:t>Reactive pentru Mindray BC 30, sistem închis</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b/>
                <w:sz w:val="22"/>
                <w:szCs w:val="22"/>
                <w:lang w:val="ro-RO"/>
              </w:rPr>
            </w:pPr>
            <w:r>
              <w:rPr>
                <w:b/>
                <w:sz w:val="22"/>
                <w:szCs w:val="22"/>
                <w:lang w:val="ro-RO"/>
              </w:rPr>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en-US"/>
              </w:rPr>
            </w:pPr>
            <w:r>
              <w:rPr>
                <w:lang w:val="en-US"/>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MD"/>
              </w:rPr>
            </w:pPr>
            <w:r>
              <w:rPr>
                <w:sz w:val="22"/>
                <w:szCs w:val="22"/>
                <w:lang w:val="ro-MD"/>
              </w:rPr>
              <w:t>Material de control CC BC 3D</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MD"/>
              </w:rPr>
            </w:pPr>
            <w:r>
              <w:rPr>
                <w:sz w:val="22"/>
                <w:szCs w:val="22"/>
                <w:lang w:val="ro-MD"/>
              </w:rPr>
              <w:t>5</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12500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Diluent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24</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Fl. 20 l</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23700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Soluție Lyse</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12</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Fl. 500 ml</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16200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t xml:space="preserve">33100000-1 </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Hârtie termo 5 cm</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80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Probe Cleanser</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25</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Fl. 50 ml</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10800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RO"/>
              </w:rPr>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b/>
                <w:sz w:val="22"/>
                <w:szCs w:val="22"/>
                <w:lang w:val="ro-RO"/>
              </w:rPr>
            </w:pPr>
            <w:r>
              <w:rPr>
                <w:rFonts w:eastAsia="TimesNewRomanPSMT"/>
                <w:b/>
                <w:sz w:val="22"/>
                <w:szCs w:val="22"/>
                <w:lang w:val="ro-RO"/>
              </w:rPr>
              <w:t xml:space="preserve">Total pe lot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b/>
                <w:sz w:val="22"/>
                <w:szCs w:val="22"/>
                <w:lang w:val="ro-RO"/>
              </w:rPr>
            </w:pPr>
            <w:r>
              <w:rPr>
                <w:b/>
                <w:sz w:val="22"/>
                <w:szCs w:val="22"/>
                <w:lang w:val="ro-RO"/>
              </w:rPr>
              <w:t>65000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3</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RO"/>
              </w:rPr>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b/>
                <w:sz w:val="22"/>
                <w:szCs w:val="22"/>
                <w:lang w:val="ro-RO"/>
              </w:rPr>
            </w:pPr>
            <w:r>
              <w:rPr>
                <w:b/>
                <w:sz w:val="22"/>
                <w:szCs w:val="22"/>
                <w:lang w:val="ro-RO"/>
              </w:rPr>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b/>
                <w:sz w:val="22"/>
                <w:szCs w:val="22"/>
                <w:lang w:val="ro-RO"/>
              </w:rPr>
            </w:pPr>
            <w:r>
              <w:rPr>
                <w:b/>
                <w:sz w:val="22"/>
                <w:szCs w:val="22"/>
                <w:lang w:val="ro-RO"/>
              </w:rPr>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b/>
                <w:sz w:val="22"/>
                <w:szCs w:val="22"/>
                <w:lang w:val="ro-RO"/>
              </w:rPr>
            </w:pPr>
            <w:r>
              <w:rPr>
                <w:b/>
                <w:sz w:val="22"/>
                <w:szCs w:val="22"/>
                <w:lang w:val="ro-RO"/>
              </w:rPr>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b/>
                <w:sz w:val="22"/>
                <w:szCs w:val="22"/>
                <w:lang w:val="ro-RO"/>
              </w:rPr>
            </w:pPr>
            <w:r>
              <w:rPr>
                <w:b/>
                <w:sz w:val="22"/>
                <w:szCs w:val="22"/>
                <w:lang w:val="ro-RO"/>
              </w:rPr>
              <w:t>Reactivi și consumabile p/u Reader 300, sistem închis</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Teste p/u urină 11 indice</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80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Set 100 teste</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21600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Teste p/u urină 3 indice (pH,glucoza,proteine)</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35</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 xml:space="preserve">Set 100 teste  </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6700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Material de control p/u urină cu 2 nivele cunoscute (glucoza,proteine)</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80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rFonts w:eastAsia="TimesNewRomanPSMT"/>
                <w:sz w:val="22"/>
                <w:szCs w:val="22"/>
                <w:lang w:val="ro-RO"/>
              </w:rPr>
              <w:t xml:space="preserve">Set  5 ml, </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5500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Hârtie termo L 5 cm</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80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b/>
                <w:sz w:val="22"/>
                <w:szCs w:val="22"/>
                <w:lang w:val="ro-RO"/>
              </w:rPr>
            </w:pPr>
            <w:r>
              <w:rPr>
                <w:rFonts w:eastAsia="TimesNewRomanPSMT"/>
                <w:b/>
                <w:sz w:val="22"/>
                <w:szCs w:val="22"/>
                <w:lang w:val="ro-RO"/>
              </w:rPr>
              <w:t>Total pe lot</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b/>
                <w:sz w:val="22"/>
                <w:szCs w:val="22"/>
                <w:lang w:val="ro-RO"/>
              </w:rPr>
            </w:pPr>
            <w:r>
              <w:rPr>
                <w:b/>
                <w:sz w:val="22"/>
                <w:szCs w:val="22"/>
                <w:lang w:val="ro-RO"/>
              </w:rPr>
              <w:t>36800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4</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RO"/>
              </w:rPr>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b/>
                <w:sz w:val="22"/>
                <w:szCs w:val="22"/>
                <w:lang w:val="ro-RO"/>
              </w:rPr>
            </w:pPr>
            <w:r>
              <w:rPr>
                <w:rFonts w:eastAsia="TimesNewRomanPSMT"/>
                <w:b/>
                <w:sz w:val="22"/>
                <w:szCs w:val="22"/>
                <w:lang w:val="ro-RO"/>
              </w:rPr>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b/>
                <w:sz w:val="22"/>
                <w:szCs w:val="22"/>
                <w:lang w:val="ro-RO"/>
              </w:rPr>
            </w:pPr>
            <w:r>
              <w:rPr>
                <w:rFonts w:eastAsia="TimesNewRomanPSMT"/>
                <w:b/>
                <w:sz w:val="22"/>
                <w:szCs w:val="22"/>
                <w:lang w:val="ro-RO"/>
              </w:rPr>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b/>
                <w:sz w:val="22"/>
                <w:szCs w:val="22"/>
                <w:lang w:val="ro-RO"/>
              </w:rPr>
            </w:pPr>
            <w:r>
              <w:rPr>
                <w:rFonts w:eastAsia="TimesNewRomanPSMT"/>
                <w:b/>
                <w:sz w:val="22"/>
                <w:szCs w:val="22"/>
                <w:lang w:val="ro-RO"/>
              </w:rPr>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rFonts w:eastAsia="TimesNewRomanPSMT"/>
                <w:b/>
                <w:sz w:val="22"/>
                <w:szCs w:val="22"/>
                <w:lang w:val="ro-RO"/>
              </w:rPr>
            </w:pPr>
            <w:r>
              <w:rPr>
                <w:b/>
                <w:sz w:val="22"/>
                <w:szCs w:val="22"/>
                <w:lang w:val="ro-RO"/>
              </w:rPr>
              <w:t>Reactivi și consumabile Coatron X, sistem închis</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Plasma de control 4 parametri patologice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12</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Fl 1 ml </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Plasma de control 4 parametri normal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12</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Fl 1 ml </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Protrombin leofilizat</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ro-RO"/>
              </w:rPr>
            </w:pPr>
            <w:r>
              <w:rPr>
                <w:color w:val="000000"/>
                <w:sz w:val="22"/>
                <w:szCs w:val="22"/>
                <w:lang w:val="ro-RO"/>
              </w:rPr>
              <w:t>10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ro-RO"/>
              </w:rPr>
            </w:pPr>
            <w:r>
              <w:rPr>
                <w:color w:val="000000"/>
                <w:sz w:val="22"/>
                <w:szCs w:val="22"/>
                <w:lang w:val="ro-RO"/>
              </w:rPr>
              <w:t xml:space="preserve">10flx2ml </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12500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Fibrinogen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6</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jc w:val="left"/>
              <w:rPr>
                <w:sz w:val="22"/>
                <w:szCs w:val="22"/>
                <w:lang w:val="ro-RO"/>
              </w:rPr>
            </w:pPr>
            <w:r>
              <w:rPr>
                <w:sz w:val="22"/>
                <w:szCs w:val="22"/>
                <w:lang w:val="ro-RO"/>
              </w:rPr>
              <w:t xml:space="preserve">10flx2ml </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10200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t xml:space="preserve">33100000-1 </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Bufer p/u  fibrinogen</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jc w:val="left"/>
              <w:rPr>
                <w:sz w:val="22"/>
                <w:szCs w:val="22"/>
                <w:lang w:val="ro-RO"/>
              </w:rPr>
            </w:pPr>
            <w:r>
              <w:rPr>
                <w:sz w:val="22"/>
                <w:szCs w:val="22"/>
                <w:lang w:val="ro-RO"/>
              </w:rPr>
              <w:t>1flx125 ml</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Cuvă p/u coagulometru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5000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RO"/>
              </w:rPr>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b/>
                <w:sz w:val="22"/>
                <w:szCs w:val="22"/>
                <w:lang w:val="ro-RO"/>
              </w:rPr>
            </w:pPr>
            <w:r>
              <w:rPr>
                <w:b/>
                <w:sz w:val="22"/>
                <w:szCs w:val="22"/>
                <w:lang w:val="ro-RO"/>
              </w:rPr>
              <w:t>Total pe lot</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RO"/>
              </w:rPr>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b/>
                <w:sz w:val="22"/>
                <w:szCs w:val="22"/>
                <w:lang w:val="ro-RO"/>
              </w:rPr>
            </w:pPr>
            <w:r>
              <w:rPr>
                <w:b/>
                <w:sz w:val="22"/>
                <w:szCs w:val="22"/>
                <w:lang w:val="ro-RO"/>
              </w:rPr>
              <w:t>34600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5</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Teste p/u determinarea sângelui ocult în mase fecale</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120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test</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900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6</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Țoliclon Anti A</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40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Fl 10 ml</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7</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t xml:space="preserve">33100000-1 </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Țoliclon Anti B</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40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Fl 10 ml</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8</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Țoliclon  Anti D Super </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40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Fl 10 ml</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9</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ro-RO"/>
              </w:rPr>
              <w:t>Set p/u determinarea hemoglobinei în sânge, metoda Hemoglobincianidă</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4</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Set: 3 fiole x0,5 ml acetoncianhidrin+ 3p.cu reagent transformic+standard 1x2ml</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600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10</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rFonts w:eastAsia="TimesNewRomanPSMT"/>
                <w:sz w:val="22"/>
                <w:szCs w:val="22"/>
                <w:lang w:val="ro-RO"/>
              </w:rPr>
              <w:t>Set p/u determinarea helmintozei cu soluție de îmbogăție eter și formalină și cu dispozitiv de filtrare, PARASET</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120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Set 40 buc</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11</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T3, metoda Elisa, set 96 godeuri</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8</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5500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12</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T4, metoda Elisa, set 96 godeuri</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13</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TSH, metoda Elisa, set 96 godeuri</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8100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14</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Ulei de imersie, fl.50 ml</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15</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Citrat  Na</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0,2</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kg</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1400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16</w:t>
            </w:r>
          </w:p>
        </w:tc>
        <w:tc>
          <w:tcPr>
            <w:tcW w:w="1415"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Eozin H</w:t>
            </w:r>
          </w:p>
        </w:tc>
        <w:tc>
          <w:tcPr>
            <w:tcW w:w="853"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0,2</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kg</w:t>
            </w:r>
          </w:p>
        </w:tc>
        <w:tc>
          <w:tcPr>
            <w:tcW w:w="2837"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RO"/>
              </w:rPr>
            </w:r>
          </w:p>
        </w:tc>
        <w:tc>
          <w:tcPr>
            <w:tcW w:w="1400"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1400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17</w:t>
            </w:r>
          </w:p>
        </w:tc>
        <w:tc>
          <w:tcPr>
            <w:tcW w:w="1415"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 xml:space="preserve">Azur </w:t>
            </w:r>
          </w:p>
        </w:tc>
        <w:tc>
          <w:tcPr>
            <w:tcW w:w="853"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0,2</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kg</w:t>
            </w:r>
          </w:p>
        </w:tc>
        <w:tc>
          <w:tcPr>
            <w:tcW w:w="2837"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RO"/>
              </w:rPr>
            </w:r>
          </w:p>
        </w:tc>
        <w:tc>
          <w:tcPr>
            <w:tcW w:w="1400"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18</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Pipete virusologice (1ml) sterile, p/u analiza general a sângelui, ambalate ind.</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1500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1700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19</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Eprubete Eppendorf 1,5 ml</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2000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20</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Eprubete cu port-tampon(pentru reclaj)</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1000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650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21</w:t>
            </w:r>
          </w:p>
        </w:tc>
        <w:tc>
          <w:tcPr>
            <w:tcW w:w="1415"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Eprubetă plastică conică fără capac  5 ml</w:t>
            </w:r>
          </w:p>
        </w:tc>
        <w:tc>
          <w:tcPr>
            <w:tcW w:w="853"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8000</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22</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Lame de sticlă 7,5x5cm sau 7,5x7,5 cm, sau 7x7xcm</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1000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10000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23</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Teste rapide p/u Helicobacter pylori în mase fecale</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200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2500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24</w:t>
            </w:r>
          </w:p>
        </w:tc>
        <w:tc>
          <w:tcPr>
            <w:tcW w:w="1415"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Capilare pentru COE de unică folosință</w:t>
            </w:r>
          </w:p>
        </w:tc>
        <w:tc>
          <w:tcPr>
            <w:tcW w:w="853"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7000</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r>
          </w:p>
        </w:tc>
        <w:tc>
          <w:tcPr>
            <w:tcW w:w="1400"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25</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Marcher pe sticlă</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30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600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26</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Tamponașe cu alcool 70°</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10000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900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27</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Eprubete plastic conice, fără capac, 10 ml</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6000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3000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28</w:t>
            </w:r>
          </w:p>
        </w:tc>
        <w:tc>
          <w:tcPr>
            <w:tcW w:w="1415"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Vârf alb d 10mm, vol.5 ml</w:t>
            </w:r>
          </w:p>
        </w:tc>
        <w:tc>
          <w:tcPr>
            <w:tcW w:w="853"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600</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29</w:t>
            </w:r>
          </w:p>
        </w:tc>
        <w:tc>
          <w:tcPr>
            <w:tcW w:w="14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Eprubete p/u Stat fax 1904+</w:t>
            </w:r>
          </w:p>
        </w:tc>
        <w:tc>
          <w:tcPr>
            <w:tcW w:w="853"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1000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30</w:t>
            </w:r>
          </w:p>
        </w:tc>
        <w:tc>
          <w:tcPr>
            <w:tcW w:w="1415"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Container p/u deșeuri 1 l</w:t>
            </w:r>
          </w:p>
        </w:tc>
        <w:tc>
          <w:tcPr>
            <w:tcW w:w="853"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100</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1200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31</w:t>
            </w:r>
          </w:p>
        </w:tc>
        <w:tc>
          <w:tcPr>
            <w:tcW w:w="1415"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Pipete Pancenko</w:t>
            </w:r>
          </w:p>
        </w:tc>
        <w:tc>
          <w:tcPr>
            <w:tcW w:w="853"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100</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600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32</w:t>
            </w:r>
          </w:p>
        </w:tc>
        <w:tc>
          <w:tcPr>
            <w:tcW w:w="1415"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Eprubete cu 3,8% citart de Na, volum 2,5 ml</w:t>
            </w:r>
          </w:p>
        </w:tc>
        <w:tc>
          <w:tcPr>
            <w:tcW w:w="853"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1500</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900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33</w:t>
            </w:r>
          </w:p>
        </w:tc>
        <w:tc>
          <w:tcPr>
            <w:tcW w:w="1415"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Stativ Pancenco p/u VSH</w:t>
            </w:r>
          </w:p>
        </w:tc>
        <w:tc>
          <w:tcPr>
            <w:tcW w:w="853"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10</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34</w:t>
            </w:r>
          </w:p>
        </w:tc>
        <w:tc>
          <w:tcPr>
            <w:tcW w:w="1415"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Eprubeta cu K3EDTA 2,5 ml</w:t>
            </w:r>
          </w:p>
        </w:tc>
        <w:tc>
          <w:tcPr>
            <w:tcW w:w="853"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4000</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0"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2200</w:t>
            </w:r>
          </w:p>
        </w:tc>
      </w:tr>
      <w:tr>
        <w:trPr>
          <w:trHeight w:val="397" w:hRule="atLeast"/>
        </w:trPr>
        <w:tc>
          <w:tcPr>
            <w:tcW w:w="9075" w:type="dxa"/>
            <w:gridSpan w:val="6"/>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b/>
                <w:lang w:val="ro-MD"/>
              </w:rPr>
              <w:t>Valoarea estimativă totală</w:t>
            </w:r>
          </w:p>
        </w:tc>
        <w:tc>
          <w:tcPr>
            <w:tcW w:w="1400"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left"/>
              <w:rPr>
                <w:b/>
                <w:lang w:val="ro-MD"/>
              </w:rPr>
            </w:pPr>
            <w:r>
              <w:rPr>
                <w:b/>
                <w:lang w:val="ro-MD"/>
              </w:rPr>
              <w:t>7</w:t>
            </w:r>
            <w:r>
              <w:rPr>
                <w:b/>
                <w:lang w:val="ro-MD"/>
              </w:rPr>
              <w:t>10310</w:t>
            </w:r>
          </w:p>
        </w:tc>
      </w:tr>
    </w:tbl>
    <w:p>
      <w:pPr>
        <w:pStyle w:val="Normal"/>
        <w:tabs>
          <w:tab w:val="clear" w:pos="709"/>
          <w:tab w:val="left" w:pos="568" w:leader="none"/>
          <w:tab w:val="right" w:pos="710" w:leader="none"/>
        </w:tabs>
        <w:bidi w:val="0"/>
        <w:spacing w:before="120" w:after="0"/>
        <w:ind w:left="0" w:right="0" w:hanging="0"/>
        <w:jc w:val="left"/>
        <w:rPr/>
      </w:pPr>
      <w:r>
        <w:rPr/>
      </w:r>
    </w:p>
    <w:p>
      <w:pPr>
        <w:pStyle w:val="Normal"/>
        <w:numPr>
          <w:ilvl w:val="0"/>
          <w:numId w:val="1"/>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În cazul în care contractul este împărțit pe loturi un operator economic poate depune oferta (se va selecta):</w:t>
      </w:r>
    </w:p>
    <w:p>
      <w:pPr>
        <w:pStyle w:val="ListParagraph"/>
        <w:numPr>
          <w:ilvl w:val="0"/>
          <w:numId w:val="2"/>
        </w:numPr>
        <w:shd w:val="clear" w:fill="FFFF00"/>
        <w:tabs>
          <w:tab w:val="clear" w:pos="709"/>
          <w:tab w:val="right" w:pos="1866" w:leader="none"/>
        </w:tabs>
        <w:bidi w:val="0"/>
        <w:spacing w:before="0" w:after="0"/>
        <w:ind w:left="720" w:right="0" w:hanging="360"/>
        <w:contextualSpacing w:val="false"/>
        <w:jc w:val="left"/>
        <w:rPr>
          <w:sz w:val="24"/>
          <w:szCs w:val="24"/>
          <w:lang w:val="ro-MD"/>
        </w:rPr>
      </w:pPr>
      <w:r>
        <w:rPr>
          <w:sz w:val="24"/>
          <w:szCs w:val="24"/>
          <w:lang w:val="ro-MD"/>
        </w:rPr>
        <w:t>Pentru un singur lot;</w:t>
      </w:r>
    </w:p>
    <w:p>
      <w:pPr>
        <w:pStyle w:val="ListParagraph"/>
        <w:numPr>
          <w:ilvl w:val="0"/>
          <w:numId w:val="2"/>
        </w:numPr>
        <w:shd w:val="clear" w:fill="FFFF00"/>
        <w:tabs>
          <w:tab w:val="clear" w:pos="709"/>
          <w:tab w:val="right" w:pos="1866" w:leader="none"/>
        </w:tabs>
        <w:bidi w:val="0"/>
        <w:spacing w:before="0" w:after="0"/>
        <w:ind w:left="720" w:right="0" w:hanging="360"/>
        <w:contextualSpacing w:val="false"/>
        <w:jc w:val="left"/>
        <w:rPr>
          <w:sz w:val="24"/>
          <w:szCs w:val="24"/>
          <w:lang w:val="ro-MD"/>
        </w:rPr>
      </w:pPr>
      <w:r>
        <w:rPr>
          <w:b/>
          <w:sz w:val="24"/>
          <w:szCs w:val="24"/>
          <w:lang w:val="ro-MD"/>
        </w:rPr>
        <w:t>Pentru mai multe loturi</w:t>
      </w:r>
      <w:r>
        <w:rPr>
          <w:sz w:val="24"/>
          <w:szCs w:val="24"/>
          <w:lang w:val="ro-MD"/>
        </w:rPr>
        <w:t>;</w:t>
      </w:r>
    </w:p>
    <w:p>
      <w:pPr>
        <w:pStyle w:val="ListParagraph"/>
        <w:numPr>
          <w:ilvl w:val="0"/>
          <w:numId w:val="2"/>
        </w:numPr>
        <w:shd w:val="clear" w:fill="FFFF00"/>
        <w:tabs>
          <w:tab w:val="clear" w:pos="709"/>
          <w:tab w:val="right" w:pos="1866" w:leader="none"/>
        </w:tabs>
        <w:bidi w:val="0"/>
        <w:spacing w:before="0" w:after="0"/>
        <w:ind w:left="720" w:right="0" w:hanging="360"/>
        <w:contextualSpacing w:val="false"/>
        <w:jc w:val="left"/>
        <w:rPr>
          <w:sz w:val="24"/>
          <w:szCs w:val="24"/>
          <w:lang w:val="ro-MD"/>
        </w:rPr>
      </w:pPr>
      <w:r>
        <w:rPr>
          <w:sz w:val="24"/>
          <w:szCs w:val="24"/>
          <w:lang w:val="ro-MD"/>
        </w:rPr>
        <w:t>Pentru toate loturile;</w:t>
      </w:r>
    </w:p>
    <w:p>
      <w:pPr>
        <w:pStyle w:val="ListParagraph"/>
        <w:numPr>
          <w:ilvl w:val="0"/>
          <w:numId w:val="2"/>
        </w:numPr>
        <w:shd w:val="clear" w:fill="FFFF00"/>
        <w:tabs>
          <w:tab w:val="clear" w:pos="709"/>
          <w:tab w:val="right" w:pos="1866" w:leader="none"/>
        </w:tabs>
        <w:bidi w:val="0"/>
        <w:spacing w:before="0" w:after="0"/>
        <w:ind w:left="720" w:right="0" w:hanging="360"/>
        <w:contextualSpacing w:val="false"/>
        <w:jc w:val="left"/>
        <w:rPr>
          <w:sz w:val="24"/>
          <w:szCs w:val="24"/>
          <w:lang w:val="ro-MD"/>
        </w:rPr>
      </w:pPr>
      <w:r>
        <w:rPr>
          <w:sz w:val="24"/>
          <w:szCs w:val="24"/>
          <w:lang w:val="ro-MD"/>
        </w:rPr>
        <w:t>Alte limitări privind numărul de loturi care pot fi atribuite aceluiași ofertant_______.</w:t>
      </w:r>
    </w:p>
    <w:p>
      <w:pPr>
        <w:pStyle w:val="Normal"/>
        <w:numPr>
          <w:ilvl w:val="0"/>
          <w:numId w:val="1"/>
        </w:numPr>
        <w:tabs>
          <w:tab w:val="clear" w:pos="709"/>
          <w:tab w:val="right" w:pos="426" w:leader="none"/>
        </w:tabs>
        <w:bidi w:val="0"/>
        <w:spacing w:before="120" w:after="0"/>
        <w:ind w:left="0" w:right="0" w:hanging="0"/>
        <w:jc w:val="left"/>
        <w:rPr>
          <w:b/>
          <w:sz w:val="24"/>
          <w:szCs w:val="24"/>
          <w:lang w:val="ro-MD"/>
        </w:rPr>
      </w:pPr>
      <w:r>
        <w:rPr>
          <w:b/>
          <w:sz w:val="24"/>
          <w:szCs w:val="24"/>
          <w:lang w:val="ro-MD"/>
        </w:rPr>
        <w:t>Admiterea sau interzicerea ofertelor alternative: nu se admite</w:t>
      </w:r>
    </w:p>
    <w:p>
      <w:pPr>
        <w:pStyle w:val="Normal"/>
        <w:numPr>
          <w:ilvl w:val="0"/>
          <w:numId w:val="1"/>
        </w:numPr>
        <w:tabs>
          <w:tab w:val="clear" w:pos="709"/>
          <w:tab w:val="left" w:pos="568" w:leader="none"/>
          <w:tab w:val="left" w:pos="852" w:leader="none"/>
          <w:tab w:val="left" w:pos="994" w:leader="none"/>
        </w:tabs>
        <w:bidi w:val="0"/>
        <w:spacing w:before="120" w:after="0"/>
        <w:ind w:left="284" w:right="0" w:hanging="284"/>
        <w:jc w:val="left"/>
        <w:rPr>
          <w:b/>
          <w:sz w:val="24"/>
          <w:szCs w:val="24"/>
          <w:lang w:val="ro-MD"/>
        </w:rPr>
      </w:pPr>
      <w:r>
        <w:rPr>
          <w:b/>
          <w:sz w:val="24"/>
          <w:szCs w:val="24"/>
          <w:lang w:val="ro-MD"/>
        </w:rPr>
        <w:t>Termenii și condițiile de livrare solicitați: Livrarea la depozitul instituției, p</w:t>
      </w:r>
      <w:r>
        <w:rPr>
          <w:b/>
          <w:sz w:val="24"/>
          <w:szCs w:val="24"/>
          <w:shd w:fill="FFFF00" w:val="clear"/>
          <w:lang w:val="ro-MD"/>
        </w:rPr>
        <w:t xml:space="preserve">e parcursul anului 2026, în termen de maxim 10 zile de la comandă, în orele de lucru a instituției 8.00-17.00. </w:t>
      </w:r>
    </w:p>
    <w:p>
      <w:pPr>
        <w:pStyle w:val="Normal"/>
        <w:numPr>
          <w:ilvl w:val="0"/>
          <w:numId w:val="1"/>
        </w:numPr>
        <w:tabs>
          <w:tab w:val="clear" w:pos="709"/>
          <w:tab w:val="right" w:pos="426" w:leader="none"/>
        </w:tabs>
        <w:bidi w:val="0"/>
        <w:spacing w:before="120" w:after="0"/>
        <w:ind w:left="0" w:right="0" w:hanging="0"/>
        <w:jc w:val="left"/>
        <w:rPr>
          <w:b/>
          <w:sz w:val="24"/>
          <w:szCs w:val="24"/>
          <w:lang w:val="ro-MD"/>
        </w:rPr>
      </w:pPr>
      <w:r>
        <w:rPr>
          <w:b/>
          <w:sz w:val="24"/>
          <w:szCs w:val="24"/>
          <w:lang w:val="ro-MD"/>
        </w:rPr>
        <w:t>Termenul de valabilitate a contractului</w:t>
      </w:r>
      <w:r>
        <w:rPr>
          <w:b/>
          <w:sz w:val="24"/>
          <w:szCs w:val="24"/>
          <w:shd w:fill="FFFF00" w:val="clear"/>
          <w:lang w:val="ro-MD"/>
        </w:rPr>
        <w:t>: Până la 31.12.2026</w:t>
      </w:r>
    </w:p>
    <w:p>
      <w:pPr>
        <w:pStyle w:val="Normal"/>
        <w:numPr>
          <w:ilvl w:val="0"/>
          <w:numId w:val="1"/>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 xml:space="preserve">Contract de achiziție rezervat atelierelor protejate sau că acesta poate fi executat numai în cadrul unor programe de angajare protejată (după caz): </w:t>
      </w:r>
      <w:r>
        <w:rPr>
          <w:b/>
          <w:sz w:val="24"/>
          <w:szCs w:val="24"/>
          <w:shd w:fill="FFFF00" w:val="clear"/>
          <w:lang w:val="ro-MD"/>
        </w:rPr>
        <w:t>_______________________</w:t>
      </w:r>
    </w:p>
    <w:p>
      <w:pPr>
        <w:pStyle w:val="Normal"/>
        <w:numPr>
          <w:ilvl w:val="0"/>
          <w:numId w:val="1"/>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 xml:space="preserve">Prestarea serviciului este rezervată unei anumite profesii în temeiul unor acte cu putere de lege sau al unor acte administrative (după caz): </w:t>
      </w:r>
      <w:r>
        <w:rPr>
          <w:b/>
          <w:sz w:val="24"/>
          <w:szCs w:val="24"/>
          <w:shd w:fill="FFFF00" w:val="clear"/>
          <w:lang w:val="ro-MD"/>
        </w:rPr>
        <w:t>_________________________</w:t>
      </w:r>
    </w:p>
    <w:p>
      <w:pPr>
        <w:pStyle w:val="Normal"/>
        <w:numPr>
          <w:ilvl w:val="0"/>
          <w:numId w:val="1"/>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pPr>
        <w:pStyle w:val="Normal"/>
        <w:numPr>
          <w:ilvl w:val="0"/>
          <w:numId w:val="0"/>
        </w:numPr>
        <w:tabs>
          <w:tab w:val="clear" w:pos="709"/>
          <w:tab w:val="right" w:pos="1506" w:leader="none"/>
        </w:tabs>
        <w:bidi w:val="0"/>
        <w:spacing w:before="120" w:after="0"/>
        <w:ind w:left="0" w:right="0" w:hanging="0"/>
        <w:jc w:val="left"/>
        <w:rPr>
          <w:b/>
          <w:sz w:val="24"/>
          <w:szCs w:val="24"/>
          <w:lang w:val="ro-MD"/>
        </w:rPr>
      </w:pPr>
      <w:r>
        <w:rPr>
          <w:b/>
          <w:sz w:val="24"/>
          <w:szCs w:val="24"/>
          <w:lang w:val="ro-MD"/>
        </w:rPr>
      </w:r>
    </w:p>
    <w:tbl>
      <w:tblPr>
        <w:tblW w:w="9345" w:type="dxa"/>
        <w:jc w:val="left"/>
        <w:tblInd w:w="0" w:type="dxa"/>
        <w:tblLayout w:type="fixed"/>
        <w:tblCellMar>
          <w:top w:w="0" w:type="dxa"/>
          <w:left w:w="108" w:type="dxa"/>
          <w:bottom w:w="0" w:type="dxa"/>
          <w:right w:w="108" w:type="dxa"/>
        </w:tblCellMar>
      </w:tblPr>
      <w:tblGrid>
        <w:gridCol w:w="570"/>
        <w:gridCol w:w="3153"/>
        <w:gridCol w:w="4009"/>
        <w:gridCol w:w="1612"/>
      </w:tblGrid>
      <w:tr>
        <w:trPr/>
        <w:tc>
          <w:tcPr>
            <w:tcW w:w="570"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left"/>
              <w:rPr>
                <w:b/>
                <w:iCs/>
                <w:lang w:val="ro-MD"/>
              </w:rPr>
            </w:pPr>
            <w:r>
              <w:rPr>
                <w:b/>
                <w:iCs/>
                <w:kern w:val="0"/>
                <w:lang w:val="ro-MD" w:bidi="ar-SA"/>
              </w:rPr>
              <w:t>Nr. d/o</w:t>
            </w:r>
          </w:p>
        </w:tc>
        <w:tc>
          <w:tcPr>
            <w:tcW w:w="3153"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center"/>
              <w:rPr>
                <w:b/>
                <w:iCs/>
                <w:lang w:val="ro-MD"/>
              </w:rPr>
            </w:pPr>
            <w:r>
              <w:rPr>
                <w:b/>
                <w:iCs/>
                <w:kern w:val="0"/>
                <w:lang w:val="ro-MD" w:bidi="ar-SA"/>
              </w:rPr>
              <w:t>Descrierea criteriului/cerinței</w:t>
            </w:r>
          </w:p>
        </w:tc>
        <w:tc>
          <w:tcPr>
            <w:tcW w:w="4009"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left"/>
              <w:rPr>
                <w:b/>
                <w:iCs/>
                <w:lang w:val="ro-MD"/>
              </w:rPr>
            </w:pPr>
            <w:r>
              <w:rPr>
                <w:b/>
                <w:iCs/>
                <w:kern w:val="0"/>
                <w:lang w:val="ro-MD" w:bidi="ar-SA"/>
              </w:rPr>
              <w:t>Mod de demonstrare a îndeplinirii criteriului/cerinței:</w:t>
            </w:r>
          </w:p>
        </w:tc>
        <w:tc>
          <w:tcPr>
            <w:tcW w:w="1612"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center"/>
              <w:rPr>
                <w:b/>
                <w:iCs/>
                <w:lang w:val="ro-MD"/>
              </w:rPr>
            </w:pPr>
            <w:r>
              <w:rPr>
                <w:b/>
                <w:iCs/>
                <w:kern w:val="0"/>
                <w:lang w:val="ro-MD" w:bidi="ar-SA"/>
              </w:rPr>
              <w:t>Nivelul minim/</w:t>
              <w:br/>
              <w:t>Obligativitatea</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1</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shd w:val="clear" w:fill="FFFFFF"/>
              <w:tabs>
                <w:tab w:val="clear" w:pos="709"/>
                <w:tab w:val="left" w:pos="612" w:leader="none"/>
              </w:tabs>
              <w:bidi w:val="0"/>
              <w:spacing w:before="120" w:after="120"/>
              <w:jc w:val="left"/>
              <w:rPr>
                <w:iCs/>
                <w:sz w:val="22"/>
                <w:szCs w:val="22"/>
              </w:rPr>
            </w:pPr>
            <w:r>
              <w:rPr>
                <w:iCs/>
                <w:kern w:val="0"/>
                <w:sz w:val="22"/>
                <w:szCs w:val="22"/>
                <w:lang w:val="ro-RO" w:bidi="ar-SA"/>
              </w:rPr>
              <w:t>Cerere de participare</w:t>
            </w:r>
          </w:p>
        </w:tc>
        <w:tc>
          <w:tcPr>
            <w:tcW w:w="4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0" w:after="0"/>
              <w:jc w:val="both"/>
              <w:rPr>
                <w:iCs/>
                <w:sz w:val="22"/>
                <w:szCs w:val="22"/>
              </w:rPr>
            </w:pPr>
            <w:r>
              <w:rPr>
                <w:iCs/>
                <w:kern w:val="0"/>
                <w:sz w:val="22"/>
                <w:szCs w:val="22"/>
                <w:lang w:val="ro-RO" w:bidi="ar-SA"/>
              </w:rPr>
              <w:t xml:space="preserve">Conform </w:t>
            </w:r>
            <w:r>
              <w:rPr>
                <w:b/>
                <w:iCs/>
                <w:kern w:val="0"/>
                <w:sz w:val="22"/>
                <w:szCs w:val="22"/>
                <w:lang w:val="ro-RO" w:bidi="ar-SA"/>
              </w:rPr>
              <w:t>Anexei nr. 7</w:t>
            </w:r>
            <w:r>
              <w:rPr>
                <w:iCs/>
                <w:kern w:val="0"/>
                <w:sz w:val="22"/>
                <w:szCs w:val="22"/>
                <w:lang w:val="ro-RO" w:bidi="ar-SA"/>
              </w:rPr>
              <w:t xml:space="preserve"> din Documentația standard aprobată prin Ordinul MF nr. 115 din 15.09.2021</w:t>
            </w:r>
          </w:p>
          <w:p>
            <w:pPr>
              <w:pStyle w:val="Normal"/>
              <w:widowControl w:val="false"/>
              <w:tabs>
                <w:tab w:val="clear" w:pos="709"/>
                <w:tab w:val="left" w:pos="612" w:leader="none"/>
              </w:tabs>
              <w:bidi w:val="0"/>
              <w:spacing w:before="0" w:after="0"/>
              <w:jc w:val="both"/>
              <w:rPr>
                <w:b/>
                <w:iCs/>
                <w:sz w:val="22"/>
                <w:szCs w:val="22"/>
              </w:rPr>
            </w:pPr>
            <w:r>
              <w:rPr>
                <w:b/>
                <w:iCs/>
                <w:kern w:val="0"/>
                <w:sz w:val="22"/>
                <w:szCs w:val="22"/>
                <w:lang w:val="ro-RO" w:bidi="ar-SA"/>
              </w:rPr>
              <w:t>Confirmat prin semnătura electronică</w:t>
            </w:r>
          </w:p>
        </w:tc>
        <w:tc>
          <w:tcPr>
            <w:tcW w:w="16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iCs/>
                <w:kern w:val="0"/>
                <w:sz w:val="22"/>
                <w:szCs w:val="22"/>
                <w:lang w:val="en-US" w:bidi="ar-SA"/>
              </w:rPr>
              <w:t>Obligatoriu</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2</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shd w:val="clear" w:fill="FFFFFF"/>
              <w:tabs>
                <w:tab w:val="clear" w:pos="709"/>
                <w:tab w:val="left" w:pos="612" w:leader="none"/>
              </w:tabs>
              <w:bidi w:val="0"/>
              <w:spacing w:before="120" w:after="120"/>
              <w:jc w:val="left"/>
              <w:rPr>
                <w:iCs/>
                <w:sz w:val="22"/>
                <w:szCs w:val="22"/>
              </w:rPr>
            </w:pPr>
            <w:r>
              <w:rPr>
                <w:iCs/>
                <w:kern w:val="0"/>
                <w:sz w:val="22"/>
                <w:szCs w:val="22"/>
                <w:lang w:val="ro-RO" w:bidi="ar-SA"/>
              </w:rPr>
              <w:t xml:space="preserve">Declarație privind </w:t>
            </w:r>
          </w:p>
          <w:p>
            <w:pPr>
              <w:pStyle w:val="Normal"/>
              <w:widowControl w:val="false"/>
              <w:shd w:val="clear" w:fill="FFFFFF"/>
              <w:tabs>
                <w:tab w:val="clear" w:pos="709"/>
                <w:tab w:val="left" w:pos="612" w:leader="none"/>
              </w:tabs>
              <w:bidi w:val="0"/>
              <w:spacing w:before="120" w:after="120"/>
              <w:jc w:val="left"/>
              <w:rPr>
                <w:iCs/>
                <w:sz w:val="22"/>
                <w:szCs w:val="22"/>
              </w:rPr>
            </w:pPr>
            <w:r>
              <w:rPr>
                <w:iCs/>
                <w:kern w:val="0"/>
                <w:sz w:val="22"/>
                <w:szCs w:val="22"/>
                <w:lang w:val="ro-RO" w:bidi="ar-SA"/>
              </w:rPr>
              <w:t>valabilitatea ofertei</w:t>
            </w:r>
          </w:p>
        </w:tc>
        <w:tc>
          <w:tcPr>
            <w:tcW w:w="4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0" w:after="0"/>
              <w:jc w:val="both"/>
              <w:rPr>
                <w:iCs/>
                <w:sz w:val="22"/>
                <w:szCs w:val="22"/>
              </w:rPr>
            </w:pPr>
            <w:r>
              <w:rPr>
                <w:iCs/>
                <w:kern w:val="0"/>
                <w:sz w:val="22"/>
                <w:szCs w:val="22"/>
                <w:lang w:val="ro-RO" w:bidi="ar-SA"/>
              </w:rPr>
              <w:t xml:space="preserve">Conform </w:t>
            </w:r>
            <w:r>
              <w:rPr>
                <w:b/>
                <w:iCs/>
                <w:kern w:val="0"/>
                <w:sz w:val="22"/>
                <w:szCs w:val="22"/>
                <w:lang w:val="ro-RO" w:bidi="ar-SA"/>
              </w:rPr>
              <w:t>Anexei nr. 8</w:t>
            </w:r>
            <w:r>
              <w:rPr>
                <w:iCs/>
                <w:kern w:val="0"/>
                <w:sz w:val="22"/>
                <w:szCs w:val="22"/>
                <w:lang w:val="ro-RO" w:bidi="ar-SA"/>
              </w:rPr>
              <w:t xml:space="preserve"> din Documentația standard aprobată prin Ordinul MF nr. 115 din 15.09.2021</w:t>
            </w:r>
          </w:p>
          <w:p>
            <w:pPr>
              <w:pStyle w:val="Normal"/>
              <w:widowControl w:val="false"/>
              <w:tabs>
                <w:tab w:val="clear" w:pos="709"/>
                <w:tab w:val="left" w:pos="612" w:leader="none"/>
              </w:tabs>
              <w:bidi w:val="0"/>
              <w:spacing w:before="0" w:after="0"/>
              <w:jc w:val="both"/>
              <w:rPr>
                <w:b/>
                <w:iCs/>
                <w:sz w:val="22"/>
                <w:szCs w:val="22"/>
              </w:rPr>
            </w:pPr>
            <w:r>
              <w:rPr>
                <w:b/>
                <w:iCs/>
                <w:kern w:val="0"/>
                <w:sz w:val="22"/>
                <w:szCs w:val="22"/>
                <w:lang w:val="ro-RO" w:bidi="ar-SA"/>
              </w:rPr>
              <w:t>Confirmat prin semnătura electronică</w:t>
            </w:r>
          </w:p>
        </w:tc>
        <w:tc>
          <w:tcPr>
            <w:tcW w:w="16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iCs/>
                <w:kern w:val="0"/>
                <w:sz w:val="22"/>
                <w:szCs w:val="22"/>
                <w:lang w:val="en-US" w:bidi="ar-SA"/>
              </w:rPr>
              <w:t>Obligatoriu</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3</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left"/>
              <w:rPr>
                <w:iCs/>
                <w:sz w:val="22"/>
                <w:szCs w:val="22"/>
                <w:lang w:val="en-US"/>
              </w:rPr>
            </w:pPr>
            <w:r>
              <w:rPr>
                <w:iCs/>
                <w:kern w:val="0"/>
                <w:sz w:val="22"/>
                <w:szCs w:val="22"/>
                <w:lang w:val="en-US" w:bidi="ar-SA"/>
              </w:rPr>
              <w:t xml:space="preserve">Specificații tehnice </w:t>
            </w:r>
          </w:p>
        </w:tc>
        <w:tc>
          <w:tcPr>
            <w:tcW w:w="4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0" w:after="0"/>
              <w:jc w:val="both"/>
              <w:rPr>
                <w:iCs/>
                <w:sz w:val="22"/>
                <w:szCs w:val="22"/>
              </w:rPr>
            </w:pPr>
            <w:r>
              <w:rPr>
                <w:iCs/>
                <w:kern w:val="0"/>
                <w:sz w:val="22"/>
                <w:szCs w:val="22"/>
                <w:lang w:val="ro-RO" w:bidi="ar-SA"/>
              </w:rPr>
              <w:t xml:space="preserve">Conform </w:t>
            </w:r>
            <w:r>
              <w:rPr>
                <w:b/>
                <w:iCs/>
                <w:kern w:val="0"/>
                <w:sz w:val="22"/>
                <w:szCs w:val="22"/>
                <w:lang w:val="ro-RO" w:bidi="ar-SA"/>
              </w:rPr>
              <w:t>Anexei nr. 22</w:t>
            </w:r>
            <w:r>
              <w:rPr>
                <w:iCs/>
                <w:kern w:val="0"/>
                <w:sz w:val="22"/>
                <w:szCs w:val="22"/>
                <w:lang w:val="ro-RO" w:bidi="ar-SA"/>
              </w:rPr>
              <w:t xml:space="preserve"> din Documentația standard aprobată prin Ordinul MF nr. 115 din 15.09.2021</w:t>
            </w:r>
          </w:p>
          <w:p>
            <w:pPr>
              <w:pStyle w:val="Normal"/>
              <w:widowControl w:val="false"/>
              <w:tabs>
                <w:tab w:val="clear" w:pos="709"/>
                <w:tab w:val="left" w:pos="612" w:leader="none"/>
              </w:tabs>
              <w:bidi w:val="0"/>
              <w:spacing w:before="0" w:after="0"/>
              <w:jc w:val="both"/>
              <w:rPr>
                <w:iCs/>
              </w:rPr>
            </w:pPr>
            <w:r>
              <w:rPr>
                <w:b/>
                <w:iCs/>
                <w:kern w:val="0"/>
                <w:sz w:val="22"/>
                <w:szCs w:val="22"/>
                <w:lang w:val="ro-RO" w:bidi="ar-SA"/>
              </w:rPr>
              <w:t>Confirmat prin semnătura electronică</w:t>
            </w:r>
          </w:p>
        </w:tc>
        <w:tc>
          <w:tcPr>
            <w:tcW w:w="16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iCs/>
                <w:kern w:val="0"/>
                <w:sz w:val="22"/>
                <w:szCs w:val="22"/>
                <w:lang w:val="en-US" w:bidi="ar-SA"/>
              </w:rPr>
              <w:t>Obligatoriu</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4</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left"/>
              <w:rPr>
                <w:iCs/>
                <w:sz w:val="22"/>
                <w:szCs w:val="22"/>
                <w:lang w:val="en-US"/>
              </w:rPr>
            </w:pPr>
            <w:r>
              <w:rPr>
                <w:iCs/>
                <w:kern w:val="0"/>
                <w:sz w:val="22"/>
                <w:szCs w:val="22"/>
                <w:lang w:val="en-US" w:bidi="ar-SA"/>
              </w:rPr>
              <w:t xml:space="preserve">Specificații de preț </w:t>
            </w:r>
          </w:p>
        </w:tc>
        <w:tc>
          <w:tcPr>
            <w:tcW w:w="4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both"/>
              <w:rPr>
                <w:iCs/>
                <w:sz w:val="22"/>
                <w:szCs w:val="22"/>
              </w:rPr>
            </w:pPr>
            <w:r>
              <w:rPr>
                <w:iCs/>
                <w:kern w:val="0"/>
                <w:sz w:val="22"/>
                <w:szCs w:val="22"/>
                <w:lang w:val="ro-RO" w:bidi="ar-SA"/>
              </w:rPr>
              <w:t xml:space="preserve">Conform </w:t>
            </w:r>
            <w:r>
              <w:rPr>
                <w:b/>
                <w:iCs/>
                <w:kern w:val="0"/>
                <w:sz w:val="22"/>
                <w:szCs w:val="22"/>
                <w:lang w:val="ro-RO" w:bidi="ar-SA"/>
              </w:rPr>
              <w:t>Anexei nr. 23</w:t>
            </w:r>
            <w:r>
              <w:rPr>
                <w:iCs/>
                <w:kern w:val="0"/>
                <w:sz w:val="22"/>
                <w:szCs w:val="22"/>
                <w:lang w:val="ro-RO" w:bidi="ar-SA"/>
              </w:rPr>
              <w:t xml:space="preserve"> din Documentația standard aprobată prin Ordinul MF nr. 115 din 15.09.2021.</w:t>
            </w:r>
          </w:p>
          <w:p>
            <w:pPr>
              <w:pStyle w:val="Normal"/>
              <w:widowControl w:val="false"/>
              <w:bidi w:val="0"/>
              <w:spacing w:before="0" w:after="0"/>
              <w:jc w:val="both"/>
              <w:rPr>
                <w:b/>
                <w:iCs/>
                <w:kern w:val="0"/>
                <w:sz w:val="22"/>
                <w:szCs w:val="22"/>
                <w:lang w:val="ro-RO" w:bidi="ar-SA"/>
              </w:rPr>
            </w:pPr>
            <w:r>
              <w:rPr>
                <w:b/>
                <w:iCs/>
                <w:kern w:val="0"/>
                <w:sz w:val="22"/>
                <w:szCs w:val="22"/>
                <w:lang w:val="ro-RO" w:bidi="ar-SA"/>
              </w:rPr>
              <w:t>Confirmat prin semnătura electronică</w:t>
            </w:r>
          </w:p>
        </w:tc>
        <w:tc>
          <w:tcPr>
            <w:tcW w:w="16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iCs/>
                <w:kern w:val="0"/>
                <w:sz w:val="22"/>
                <w:szCs w:val="22"/>
                <w:lang w:val="en-US" w:bidi="ar-SA"/>
              </w:rPr>
              <w:t>Obligatoriu</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5</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left"/>
              <w:rPr>
                <w:iCs/>
                <w:sz w:val="22"/>
                <w:szCs w:val="22"/>
                <w:lang w:val="en-US"/>
              </w:rPr>
            </w:pPr>
            <w:r>
              <w:rPr>
                <w:iCs/>
                <w:kern w:val="0"/>
                <w:sz w:val="22"/>
                <w:szCs w:val="22"/>
                <w:lang w:val="en-US" w:bidi="ar-SA"/>
              </w:rPr>
              <w:t>DUAE</w:t>
            </w:r>
          </w:p>
        </w:tc>
        <w:tc>
          <w:tcPr>
            <w:tcW w:w="4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0" w:after="0"/>
              <w:jc w:val="both"/>
              <w:rPr>
                <w:b/>
                <w:iCs/>
                <w:sz w:val="22"/>
                <w:szCs w:val="22"/>
              </w:rPr>
            </w:pPr>
            <w:r>
              <w:rPr>
                <w:iCs/>
                <w:kern w:val="0"/>
                <w:sz w:val="22"/>
                <w:szCs w:val="22"/>
                <w:lang w:val="ro-RO" w:bidi="ar-SA"/>
              </w:rPr>
              <w:t xml:space="preserve">Se va completa conform modelului atașat în SIARSAP Mtender. </w:t>
            </w:r>
            <w:r>
              <w:rPr>
                <w:b/>
                <w:iCs/>
                <w:kern w:val="0"/>
                <w:sz w:val="22"/>
                <w:szCs w:val="22"/>
                <w:lang w:val="ro-RO" w:bidi="ar-SA"/>
              </w:rPr>
              <w:t xml:space="preserve"> </w:t>
            </w:r>
          </w:p>
          <w:p>
            <w:pPr>
              <w:pStyle w:val="Normal"/>
              <w:widowControl w:val="false"/>
              <w:tabs>
                <w:tab w:val="clear" w:pos="709"/>
                <w:tab w:val="left" w:pos="612" w:leader="none"/>
              </w:tabs>
              <w:bidi w:val="0"/>
              <w:spacing w:before="0" w:after="0"/>
              <w:jc w:val="both"/>
              <w:rPr>
                <w:iCs/>
                <w:sz w:val="22"/>
                <w:szCs w:val="22"/>
              </w:rPr>
            </w:pPr>
            <w:r>
              <w:rPr>
                <w:b/>
                <w:iCs/>
                <w:kern w:val="0"/>
                <w:sz w:val="22"/>
                <w:szCs w:val="22"/>
                <w:lang w:val="ro-RO" w:bidi="ar-SA"/>
              </w:rPr>
              <w:t>Confirmat prin semnătura electronică</w:t>
            </w:r>
            <w:r>
              <w:rPr>
                <w:iCs/>
                <w:kern w:val="0"/>
                <w:sz w:val="22"/>
                <w:szCs w:val="22"/>
                <w:lang w:val="ro-RO" w:bidi="ar-SA"/>
              </w:rPr>
              <w:t>.</w:t>
            </w:r>
          </w:p>
        </w:tc>
        <w:tc>
          <w:tcPr>
            <w:tcW w:w="16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iCs/>
                <w:kern w:val="0"/>
                <w:sz w:val="22"/>
                <w:szCs w:val="22"/>
                <w:lang w:val="en-US" w:bidi="ar-SA"/>
              </w:rPr>
              <w:t>Obligatoriu</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6</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left"/>
              <w:rPr>
                <w:iCs/>
                <w:sz w:val="22"/>
                <w:szCs w:val="22"/>
              </w:rPr>
            </w:pPr>
            <w:r>
              <w:rPr>
                <w:iCs/>
                <w:kern w:val="0"/>
                <w:sz w:val="22"/>
                <w:szCs w:val="22"/>
                <w:lang w:val="en-US" w:bidi="ar-SA"/>
              </w:rPr>
              <w:t xml:space="preserve">Dovada </w:t>
            </w:r>
            <w:r>
              <w:rPr>
                <w:iCs/>
                <w:kern w:val="0"/>
                <w:sz w:val="22"/>
                <w:szCs w:val="22"/>
                <w:lang w:val="ro-RO" w:bidi="ar-SA"/>
              </w:rPr>
              <w:t>înregistrării juridice</w:t>
            </w:r>
          </w:p>
        </w:tc>
        <w:tc>
          <w:tcPr>
            <w:tcW w:w="4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0" w:after="0"/>
              <w:jc w:val="both"/>
              <w:rPr>
                <w:iCs/>
                <w:sz w:val="22"/>
                <w:szCs w:val="22"/>
                <w:lang w:val="en-US"/>
              </w:rPr>
            </w:pPr>
            <w:r>
              <w:rPr>
                <w:iCs/>
                <w:kern w:val="0"/>
                <w:sz w:val="22"/>
                <w:szCs w:val="22"/>
                <w:lang w:val="en-US" w:bidi="ar-SA"/>
              </w:rPr>
              <w:t xml:space="preserve">Copie, </w:t>
            </w:r>
            <w:r>
              <w:rPr>
                <w:b/>
                <w:iCs/>
                <w:kern w:val="0"/>
                <w:sz w:val="22"/>
                <w:szCs w:val="22"/>
                <w:lang w:val="ro-RO" w:bidi="ar-SA"/>
              </w:rPr>
              <w:t xml:space="preserve">Confirmat prin semnătura electronică </w:t>
            </w:r>
          </w:p>
        </w:tc>
        <w:tc>
          <w:tcPr>
            <w:tcW w:w="16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iCs/>
                <w:kern w:val="0"/>
                <w:sz w:val="22"/>
                <w:szCs w:val="22"/>
                <w:lang w:val="en-US" w:bidi="ar-SA"/>
              </w:rPr>
              <w:t>Obligatoriu</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7</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left"/>
              <w:rPr>
                <w:iCs/>
                <w:sz w:val="22"/>
                <w:szCs w:val="22"/>
                <w:lang w:val="ro-MD"/>
              </w:rPr>
            </w:pPr>
            <w:r>
              <w:rPr>
                <w:iCs/>
                <w:kern w:val="0"/>
                <w:sz w:val="22"/>
                <w:szCs w:val="22"/>
                <w:lang w:val="ro-MD" w:bidi="ar-SA"/>
              </w:rPr>
              <w:t>Certificat de efectuare sistematică a plății impozitelor, contribuțiilor</w:t>
            </w:r>
          </w:p>
        </w:tc>
        <w:tc>
          <w:tcPr>
            <w:tcW w:w="4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0" w:after="0"/>
              <w:jc w:val="both"/>
              <w:rPr>
                <w:iCs/>
                <w:sz w:val="22"/>
                <w:szCs w:val="22"/>
              </w:rPr>
            </w:pPr>
            <w:r>
              <w:rPr>
                <w:iCs/>
                <w:kern w:val="0"/>
                <w:sz w:val="22"/>
                <w:szCs w:val="22"/>
                <w:lang w:val="en-US" w:bidi="ar-SA"/>
              </w:rPr>
              <w:t xml:space="preserve">Original , </w:t>
            </w:r>
            <w:r>
              <w:rPr>
                <w:b/>
                <w:iCs/>
                <w:kern w:val="0"/>
                <w:sz w:val="22"/>
                <w:szCs w:val="22"/>
                <w:lang w:val="ro-RO" w:bidi="ar-SA"/>
              </w:rPr>
              <w:t xml:space="preserve">Confirmat prin semnătura electronică </w:t>
            </w:r>
          </w:p>
        </w:tc>
        <w:tc>
          <w:tcPr>
            <w:tcW w:w="16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iCs/>
                <w:kern w:val="0"/>
                <w:sz w:val="22"/>
                <w:szCs w:val="22"/>
                <w:lang w:val="en-US" w:bidi="ar-SA"/>
              </w:rPr>
              <w:t xml:space="preserve">Obligatoriu </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8</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9" w:before="0" w:after="0"/>
              <w:ind w:left="1" w:right="0" w:hanging="0"/>
              <w:jc w:val="left"/>
              <w:rPr>
                <w:sz w:val="22"/>
                <w:szCs w:val="22"/>
                <w:lang w:val="en-US"/>
              </w:rPr>
            </w:pPr>
            <w:r>
              <w:rPr>
                <w:kern w:val="0"/>
                <w:sz w:val="22"/>
                <w:szCs w:val="22"/>
                <w:lang w:val="en-US" w:bidi="ar-SA"/>
              </w:rPr>
              <w:t xml:space="preserve">Certificat de atribuire a contului bancar </w:t>
            </w:r>
          </w:p>
        </w:tc>
        <w:tc>
          <w:tcPr>
            <w:tcW w:w="40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9" w:before="0" w:after="0"/>
              <w:jc w:val="left"/>
              <w:rPr>
                <w:sz w:val="22"/>
                <w:szCs w:val="22"/>
                <w:lang w:val="en-US"/>
              </w:rPr>
            </w:pPr>
            <w:r>
              <w:rPr>
                <w:kern w:val="0"/>
                <w:sz w:val="22"/>
                <w:szCs w:val="22"/>
                <w:lang w:val="en-US" w:bidi="ar-SA"/>
              </w:rPr>
              <w:t xml:space="preserve"> </w:t>
            </w:r>
            <w:r>
              <w:rPr>
                <w:kern w:val="0"/>
                <w:sz w:val="22"/>
                <w:szCs w:val="22"/>
                <w:lang w:val="en-US" w:bidi="ar-SA"/>
              </w:rPr>
              <w:t xml:space="preserve">Copie – eliberat de banca deţinătoare de cont, </w:t>
            </w:r>
            <w:r>
              <w:rPr>
                <w:b/>
                <w:kern w:val="0"/>
                <w:sz w:val="22"/>
                <w:szCs w:val="22"/>
                <w:lang w:val="en-US" w:bidi="ar-SA"/>
              </w:rPr>
              <w:t>confirmată prin aplicara semnăturii electronice</w:t>
            </w:r>
          </w:p>
        </w:tc>
        <w:tc>
          <w:tcPr>
            <w:tcW w:w="16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iCs/>
                <w:kern w:val="0"/>
                <w:sz w:val="22"/>
                <w:szCs w:val="22"/>
                <w:lang w:val="en-US" w:bidi="ar-SA"/>
              </w:rPr>
              <w:t>Obligatoriu</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9</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kern w:val="0"/>
                <w:sz w:val="22"/>
                <w:szCs w:val="22"/>
                <w:lang w:val="ro-MD" w:bidi="ar-SA"/>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0" w:after="120"/>
              <w:jc w:val="both"/>
              <w:rPr>
                <w:bCs/>
                <w:sz w:val="22"/>
                <w:szCs w:val="22"/>
                <w:lang w:val="ro-MD"/>
              </w:rPr>
            </w:pPr>
            <w:r>
              <w:rPr>
                <w:bCs/>
                <w:iCs/>
                <w:kern w:val="0"/>
                <w:sz w:val="22"/>
                <w:szCs w:val="22"/>
                <w:lang w:val="en-GB" w:bidi="ar-SA"/>
              </w:rPr>
              <w:t xml:space="preserve">Aprobat prin </w:t>
            </w:r>
            <w:r>
              <w:rPr>
                <w:bCs/>
                <w:kern w:val="0"/>
                <w:sz w:val="22"/>
                <w:szCs w:val="22"/>
                <w:lang w:val="ro-MD" w:bidi="ar-SA"/>
              </w:rPr>
              <w:t>Ordinul MF nr. 145 din 24.11.2020, original,</w:t>
            </w:r>
            <w:r>
              <w:rPr>
                <w:b/>
                <w:iCs/>
                <w:kern w:val="0"/>
                <w:sz w:val="22"/>
                <w:szCs w:val="22"/>
                <w:lang w:val="ro-RO" w:bidi="ar-SA"/>
              </w:rPr>
              <w:t xml:space="preserve"> Confirmat prin semnătura electronică </w:t>
            </w:r>
            <w:r>
              <w:rPr>
                <w:kern w:val="0"/>
                <w:sz w:val="22"/>
                <w:szCs w:val="22"/>
                <w:lang w:val="en-GB" w:bidi="ar-SA"/>
              </w:rPr>
              <w:t xml:space="preserve">În termen de 5 zile de la data comunicării rezultatelor procedurii de achiziție publică, </w:t>
            </w:r>
          </w:p>
        </w:tc>
        <w:tc>
          <w:tcPr>
            <w:tcW w:w="16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bCs/>
                <w:iCs/>
                <w:kern w:val="0"/>
                <w:sz w:val="22"/>
                <w:szCs w:val="22"/>
                <w:lang w:val="en-US" w:bidi="ar-SA"/>
              </w:rPr>
              <w:t xml:space="preserve">Obligatoriu </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10</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left"/>
              <w:rPr>
                <w:sz w:val="22"/>
                <w:szCs w:val="22"/>
                <w:lang w:val="ro-MD"/>
              </w:rPr>
            </w:pPr>
            <w:r>
              <w:rPr>
                <w:kern w:val="0"/>
                <w:sz w:val="22"/>
                <w:szCs w:val="22"/>
                <w:lang w:val="en-US" w:bidi="ar-SA"/>
              </w:rPr>
              <w:t xml:space="preserve">Certificate conform cerințelor specific solicitate în lista reactivelor în ordinul MS nr. 374 din 05.05.2014, nr. 701 din 18.10.2010 </w:t>
            </w:r>
          </w:p>
        </w:tc>
        <w:tc>
          <w:tcPr>
            <w:tcW w:w="4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0" w:after="0"/>
              <w:jc w:val="both"/>
              <w:rPr>
                <w:iCs/>
                <w:sz w:val="22"/>
                <w:szCs w:val="22"/>
                <w:lang w:val="en-US"/>
              </w:rPr>
            </w:pPr>
            <w:r>
              <w:rPr>
                <w:iCs/>
                <w:kern w:val="0"/>
                <w:sz w:val="22"/>
                <w:szCs w:val="22"/>
                <w:lang w:val="en-US" w:bidi="ar-SA"/>
              </w:rPr>
              <w:t xml:space="preserve">Copie, </w:t>
            </w:r>
            <w:r>
              <w:rPr>
                <w:b/>
                <w:iCs/>
                <w:kern w:val="0"/>
                <w:sz w:val="22"/>
                <w:szCs w:val="22"/>
                <w:lang w:val="ro-RO" w:bidi="ar-SA"/>
              </w:rPr>
              <w:t xml:space="preserve">Confirmat prin semnătura electronică  </w:t>
            </w:r>
          </w:p>
        </w:tc>
        <w:tc>
          <w:tcPr>
            <w:tcW w:w="16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iCs/>
                <w:kern w:val="0"/>
                <w:sz w:val="22"/>
                <w:szCs w:val="22"/>
                <w:lang w:val="en-US" w:bidi="ar-SA"/>
              </w:rPr>
              <w:t>Obligatoriu</w:t>
            </w:r>
          </w:p>
        </w:tc>
      </w:tr>
    </w:tbl>
    <w:p>
      <w:pPr>
        <w:pStyle w:val="Normal"/>
        <w:numPr>
          <w:ilvl w:val="0"/>
          <w:numId w:val="1"/>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Motivul recurgerii la procedura accelerată (în cazul licitației deschise, restrânse și al procedurii negociate), după caz</w:t>
      </w:r>
      <w:r>
        <w:rPr>
          <w:b/>
          <w:sz w:val="24"/>
          <w:szCs w:val="24"/>
          <w:shd w:fill="FFFF00" w:val="clear"/>
          <w:lang w:val="ro-MD"/>
        </w:rPr>
        <w:t xml:space="preserve">_______________________________________________ </w:t>
      </w:r>
    </w:p>
    <w:p>
      <w:pPr>
        <w:pStyle w:val="Normal"/>
        <w:numPr>
          <w:ilvl w:val="0"/>
          <w:numId w:val="1"/>
        </w:numPr>
        <w:tabs>
          <w:tab w:val="clear" w:pos="709"/>
          <w:tab w:val="right" w:pos="1146" w:leader="none"/>
        </w:tabs>
        <w:bidi w:val="0"/>
        <w:spacing w:before="120" w:after="0"/>
        <w:ind w:left="360" w:right="0" w:hanging="360"/>
        <w:jc w:val="left"/>
        <w:rPr>
          <w:b/>
          <w:color w:val="000000"/>
          <w:sz w:val="24"/>
          <w:szCs w:val="24"/>
          <w:lang w:val="ro-MD"/>
        </w:rPr>
      </w:pPr>
      <w:r>
        <w:rPr>
          <w:b/>
          <w:color w:val="000000"/>
          <w:sz w:val="24"/>
          <w:szCs w:val="24"/>
          <w:lang w:val="ro-MD"/>
        </w:rPr>
        <w:t xml:space="preserve">Tehnici și instrumente specifice de atribuire (dacă este cazul specificați dacă se va utiliza acordul-cadru, sistemul dinamic de achiziție sau licitația electronică): </w:t>
      </w:r>
      <w:r>
        <w:rPr>
          <w:b/>
          <w:color w:val="000000"/>
          <w:sz w:val="24"/>
          <w:szCs w:val="24"/>
          <w:shd w:fill="FFFF00" w:val="clear"/>
          <w:lang w:val="ro-MD"/>
        </w:rPr>
        <w:t>_____</w:t>
      </w:r>
    </w:p>
    <w:p>
      <w:pPr>
        <w:pStyle w:val="Normal"/>
        <w:tabs>
          <w:tab w:val="clear" w:pos="709"/>
          <w:tab w:val="right" w:pos="426" w:leader="none"/>
        </w:tabs>
        <w:bidi w:val="0"/>
        <w:jc w:val="both"/>
        <w:rPr>
          <w:b/>
          <w:sz w:val="24"/>
          <w:szCs w:val="24"/>
          <w:lang w:val="ro-MD"/>
        </w:rPr>
      </w:pPr>
      <w:r>
        <w:rPr>
          <w:b/>
          <w:sz w:val="24"/>
          <w:szCs w:val="24"/>
          <w:lang w:val="ro-MD"/>
        </w:rPr>
        <w:t>19.Condiții speciale de care depinde îndeplinirea contractului (</w:t>
      </w:r>
      <w:r>
        <w:rPr>
          <w:sz w:val="24"/>
          <w:szCs w:val="24"/>
          <w:lang w:val="ro-MD"/>
        </w:rPr>
        <w:t>indicați după caz</w:t>
      </w:r>
      <w:r>
        <w:rPr>
          <w:b/>
          <w:sz w:val="24"/>
          <w:szCs w:val="24"/>
          <w:lang w:val="ro-MD"/>
        </w:rPr>
        <w:t>):</w:t>
      </w:r>
    </w:p>
    <w:p>
      <w:pPr>
        <w:pStyle w:val="Normal"/>
        <w:numPr>
          <w:ilvl w:val="0"/>
          <w:numId w:val="1"/>
        </w:numPr>
        <w:tabs>
          <w:tab w:val="clear" w:pos="709"/>
          <w:tab w:val="right" w:pos="426" w:leader="none"/>
        </w:tabs>
        <w:bidi w:val="0"/>
        <w:spacing w:before="120" w:after="0"/>
        <w:ind w:left="0" w:right="0" w:hanging="0"/>
        <w:jc w:val="left"/>
        <w:rPr>
          <w:b/>
          <w:sz w:val="24"/>
          <w:szCs w:val="24"/>
          <w:lang w:val="ro-MD"/>
        </w:rPr>
      </w:pPr>
      <w:r>
        <w:rPr>
          <w:b/>
          <w:sz w:val="24"/>
          <w:szCs w:val="24"/>
          <w:lang w:val="ro-MD"/>
        </w:rPr>
        <w:t xml:space="preserve">Criteriul de evaluare aplicat pentru adjudecarea contractului: </w:t>
      </w:r>
      <w:r>
        <w:rPr>
          <w:b/>
          <w:bCs/>
          <w:iCs/>
          <w:sz w:val="22"/>
          <w:szCs w:val="22"/>
          <w:lang w:val="en-US"/>
        </w:rPr>
        <w:t>cel mai mic preț</w:t>
      </w:r>
      <w:r>
        <w:rPr>
          <w:b/>
          <w:sz w:val="24"/>
          <w:szCs w:val="24"/>
          <w:shd w:fill="FFFF00" w:val="clear"/>
          <w:lang w:val="ro-MD"/>
        </w:rPr>
        <w:t xml:space="preserve"> cu îndeplinirea cerințelor obligatorii.</w:t>
      </w:r>
    </w:p>
    <w:p>
      <w:pPr>
        <w:pStyle w:val="Normal"/>
        <w:numPr>
          <w:ilvl w:val="0"/>
          <w:numId w:val="1"/>
        </w:numPr>
        <w:tabs>
          <w:tab w:val="clear" w:pos="709"/>
          <w:tab w:val="right" w:pos="426" w:leader="none"/>
        </w:tabs>
        <w:bidi w:val="0"/>
        <w:spacing w:before="120" w:after="0"/>
        <w:ind w:left="0" w:right="0" w:hanging="0"/>
        <w:jc w:val="left"/>
        <w:rPr>
          <w:b/>
          <w:sz w:val="24"/>
          <w:szCs w:val="24"/>
          <w:lang w:val="ro-MD"/>
        </w:rPr>
      </w:pPr>
      <w:r>
        <w:rPr>
          <w:b/>
          <w:sz w:val="24"/>
          <w:szCs w:val="24"/>
          <w:lang w:val="ro-MD"/>
        </w:rPr>
        <w:t>Factorii de evaluare a ofertei celei mai avantajoase din punct de vedere economic, precum și ponderile lor:</w:t>
      </w:r>
    </w:p>
    <w:tbl>
      <w:tblPr>
        <w:tblW w:w="9345" w:type="dxa"/>
        <w:jc w:val="left"/>
        <w:tblInd w:w="0" w:type="dxa"/>
        <w:tblLayout w:type="fixed"/>
        <w:tblCellMar>
          <w:top w:w="0" w:type="dxa"/>
          <w:left w:w="108" w:type="dxa"/>
          <w:bottom w:w="0" w:type="dxa"/>
          <w:right w:w="108" w:type="dxa"/>
        </w:tblCellMar>
      </w:tblPr>
      <w:tblGrid>
        <w:gridCol w:w="570"/>
        <w:gridCol w:w="7004"/>
        <w:gridCol w:w="1771"/>
      </w:tblGrid>
      <w:tr>
        <w:trPr/>
        <w:tc>
          <w:tcPr>
            <w:tcW w:w="570"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left"/>
              <w:rPr>
                <w:b/>
                <w:iCs/>
                <w:lang w:val="ro-MD"/>
              </w:rPr>
            </w:pPr>
            <w:r>
              <w:rPr>
                <w:b/>
                <w:iCs/>
                <w:kern w:val="0"/>
                <w:lang w:val="ro-MD" w:bidi="ar-SA"/>
              </w:rPr>
              <w:t>Nr. d/o</w:t>
            </w:r>
          </w:p>
        </w:tc>
        <w:tc>
          <w:tcPr>
            <w:tcW w:w="7004"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center"/>
              <w:rPr>
                <w:b/>
                <w:iCs/>
                <w:lang w:val="ro-MD"/>
              </w:rPr>
            </w:pPr>
            <w:r>
              <w:rPr>
                <w:b/>
                <w:iCs/>
                <w:kern w:val="0"/>
                <w:lang w:val="ro-MD" w:bidi="ar-SA"/>
              </w:rPr>
              <w:t>Denumirea factorului de evaluare</w:t>
            </w:r>
          </w:p>
        </w:tc>
        <w:tc>
          <w:tcPr>
            <w:tcW w:w="1771"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center"/>
              <w:rPr>
                <w:b/>
                <w:iCs/>
                <w:lang w:val="ro-MD"/>
              </w:rPr>
            </w:pPr>
            <w:r>
              <w:rPr>
                <w:b/>
                <w:iCs/>
                <w:kern w:val="0"/>
                <w:lang w:val="ro-MD" w:bidi="ar-SA"/>
              </w:rPr>
              <w:t>Ponderea%</w:t>
            </w:r>
          </w:p>
        </w:tc>
      </w:tr>
      <w:tr>
        <w:trPr/>
        <w:tc>
          <w:tcPr>
            <w:tcW w:w="570"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left"/>
              <w:rPr>
                <w:b/>
                <w:iCs/>
                <w:lang w:val="ro-MD"/>
              </w:rPr>
            </w:pPr>
            <w:r>
              <w:rPr>
                <w:b/>
                <w:iCs/>
                <w:lang w:val="ro-MD"/>
              </w:rPr>
            </w:r>
          </w:p>
        </w:tc>
        <w:tc>
          <w:tcPr>
            <w:tcW w:w="7004"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center"/>
              <w:rPr>
                <w:b/>
                <w:iCs/>
                <w:lang w:val="ro-MD"/>
              </w:rPr>
            </w:pPr>
            <w:r>
              <w:rPr>
                <w:b/>
                <w:iCs/>
                <w:lang w:val="ro-MD"/>
              </w:rPr>
            </w:r>
          </w:p>
        </w:tc>
        <w:tc>
          <w:tcPr>
            <w:tcW w:w="1771"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center"/>
              <w:rPr>
                <w:b/>
                <w:iCs/>
                <w:lang w:val="ro-MD"/>
              </w:rPr>
            </w:pPr>
            <w:r>
              <w:rPr>
                <w:b/>
                <w:iCs/>
                <w:lang w:val="ro-MD"/>
              </w:rPr>
            </w:r>
          </w:p>
        </w:tc>
      </w:tr>
    </w:tbl>
    <w:p>
      <w:pPr>
        <w:pStyle w:val="Normal"/>
        <w:numPr>
          <w:ilvl w:val="0"/>
          <w:numId w:val="1"/>
        </w:numPr>
        <w:tabs>
          <w:tab w:val="clear" w:pos="709"/>
          <w:tab w:val="right" w:pos="426" w:leader="none"/>
        </w:tabs>
        <w:bidi w:val="0"/>
        <w:spacing w:before="120" w:after="0"/>
        <w:ind w:left="0" w:right="0" w:hanging="0"/>
        <w:jc w:val="left"/>
        <w:rPr>
          <w:b/>
          <w:sz w:val="24"/>
          <w:szCs w:val="24"/>
          <w:lang w:val="ro-MD"/>
        </w:rPr>
      </w:pPr>
      <w:r>
        <w:rPr>
          <w:b/>
          <w:sz w:val="24"/>
          <w:szCs w:val="24"/>
          <w:lang w:val="ro-MD"/>
        </w:rPr>
        <w:t>Termenul limită de depunere/deschidere a ofertelor:</w:t>
      </w:r>
    </w:p>
    <w:p>
      <w:pPr>
        <w:pStyle w:val="ListParagraph"/>
        <w:numPr>
          <w:ilvl w:val="0"/>
          <w:numId w:val="3"/>
        </w:numPr>
        <w:tabs>
          <w:tab w:val="clear" w:pos="709"/>
          <w:tab w:val="right" w:pos="1866" w:leader="none"/>
        </w:tabs>
        <w:bidi w:val="0"/>
        <w:spacing w:before="120" w:after="0"/>
        <w:ind w:left="720" w:right="0" w:hanging="360"/>
        <w:contextualSpacing w:val="false"/>
        <w:jc w:val="left"/>
        <w:rPr>
          <w:b/>
          <w:sz w:val="24"/>
          <w:szCs w:val="24"/>
          <w:lang w:val="ro-MD"/>
        </w:rPr>
      </w:pPr>
      <w:r>
        <w:rPr>
          <w:b/>
          <w:sz w:val="24"/>
          <w:szCs w:val="24"/>
          <w:lang w:val="ro-MD"/>
        </w:rPr>
        <w:t xml:space="preserve">până la: </w:t>
      </w:r>
      <w:r>
        <w:rPr>
          <w:b/>
          <w:i/>
          <w:sz w:val="24"/>
          <w:szCs w:val="24"/>
          <w:lang w:val="ro-MD"/>
        </w:rPr>
        <w:t>[ora exactă]</w:t>
      </w:r>
      <w:r>
        <w:rPr>
          <w:b/>
          <w:sz w:val="24"/>
          <w:szCs w:val="24"/>
          <w:lang w:val="ro-MD"/>
        </w:rPr>
        <w:t xml:space="preserve"> </w:t>
      </w:r>
      <w:r>
        <w:rPr>
          <w:b/>
          <w:i/>
          <w:sz w:val="24"/>
          <w:szCs w:val="24"/>
          <w:lang w:val="ro-MD"/>
        </w:rPr>
        <w:t>SIA RSAP</w:t>
      </w:r>
    </w:p>
    <w:p>
      <w:pPr>
        <w:pStyle w:val="ListParagraph"/>
        <w:numPr>
          <w:ilvl w:val="0"/>
          <w:numId w:val="3"/>
        </w:numPr>
        <w:tabs>
          <w:tab w:val="clear" w:pos="709"/>
          <w:tab w:val="right" w:pos="1866" w:leader="none"/>
        </w:tabs>
        <w:bidi w:val="0"/>
        <w:spacing w:before="120" w:after="0"/>
        <w:ind w:left="720" w:right="0" w:hanging="360"/>
        <w:contextualSpacing w:val="false"/>
        <w:jc w:val="left"/>
        <w:rPr>
          <w:b/>
          <w:sz w:val="24"/>
          <w:szCs w:val="24"/>
          <w:lang w:val="ro-MD"/>
        </w:rPr>
      </w:pPr>
      <w:r>
        <w:rPr>
          <w:b/>
          <w:sz w:val="24"/>
          <w:szCs w:val="24"/>
          <w:lang w:val="ro-MD"/>
        </w:rPr>
        <w:t xml:space="preserve">pe: </w:t>
      </w:r>
      <w:r>
        <w:rPr>
          <w:b/>
          <w:i/>
          <w:sz w:val="24"/>
          <w:szCs w:val="24"/>
          <w:lang w:val="ro-MD"/>
        </w:rPr>
        <w:t>[data]</w:t>
      </w:r>
      <w:r>
        <w:rPr>
          <w:b/>
          <w:sz w:val="24"/>
          <w:szCs w:val="24"/>
          <w:lang w:val="ro-MD"/>
        </w:rPr>
        <w:t xml:space="preserve"> </w:t>
      </w:r>
      <w:r>
        <w:rPr>
          <w:b/>
          <w:i/>
          <w:sz w:val="24"/>
          <w:szCs w:val="24"/>
          <w:lang w:val="ro-MD"/>
        </w:rPr>
        <w:t xml:space="preserve">SIA RSAP </w:t>
      </w:r>
    </w:p>
    <w:p>
      <w:pPr>
        <w:pStyle w:val="Normal"/>
        <w:numPr>
          <w:ilvl w:val="0"/>
          <w:numId w:val="1"/>
        </w:numPr>
        <w:tabs>
          <w:tab w:val="clear" w:pos="709"/>
          <w:tab w:val="right" w:pos="426" w:leader="none"/>
        </w:tabs>
        <w:bidi w:val="0"/>
        <w:spacing w:before="120" w:after="0"/>
        <w:ind w:left="0" w:right="0" w:hanging="0"/>
        <w:jc w:val="left"/>
        <w:rPr>
          <w:b/>
          <w:sz w:val="24"/>
          <w:szCs w:val="24"/>
          <w:lang w:val="ro-MD"/>
        </w:rPr>
      </w:pPr>
      <w:r>
        <w:rPr>
          <w:b/>
          <w:sz w:val="24"/>
          <w:szCs w:val="24"/>
          <w:lang w:val="ro-MD"/>
        </w:rPr>
        <w:t xml:space="preserve">Adresa la care trebuie transmise ofertele sau cererile de participare: </w:t>
      </w:r>
    </w:p>
    <w:p>
      <w:pPr>
        <w:pStyle w:val="Normal"/>
        <w:tabs>
          <w:tab w:val="clear" w:pos="709"/>
          <w:tab w:val="right" w:pos="1326" w:leader="none"/>
        </w:tabs>
        <w:bidi w:val="0"/>
        <w:spacing w:before="120" w:after="0"/>
        <w:ind w:left="450" w:right="0" w:hanging="0"/>
        <w:jc w:val="left"/>
        <w:rPr>
          <w:b/>
          <w:sz w:val="24"/>
          <w:szCs w:val="24"/>
          <w:lang w:val="ro-MD"/>
        </w:rPr>
      </w:pPr>
      <w:r>
        <w:rPr>
          <w:b/>
          <w:i/>
          <w:sz w:val="24"/>
          <w:szCs w:val="24"/>
          <w:lang w:val="ro-MD"/>
        </w:rPr>
        <w:t>Ofertele sau cererile de participare vor fi depuse electronic prin intermediul SIA RSAP</w:t>
      </w:r>
    </w:p>
    <w:p>
      <w:pPr>
        <w:pStyle w:val="Normal"/>
        <w:numPr>
          <w:ilvl w:val="0"/>
          <w:numId w:val="1"/>
        </w:numPr>
        <w:tabs>
          <w:tab w:val="clear" w:pos="709"/>
          <w:tab w:val="right" w:pos="426" w:leader="none"/>
        </w:tabs>
        <w:bidi w:val="0"/>
        <w:spacing w:before="120" w:after="0"/>
        <w:ind w:left="0" w:right="0" w:hanging="0"/>
        <w:jc w:val="left"/>
        <w:rPr>
          <w:b/>
          <w:sz w:val="24"/>
          <w:szCs w:val="24"/>
          <w:lang w:val="ro-MD"/>
        </w:rPr>
      </w:pPr>
      <w:r>
        <w:rPr>
          <w:b/>
          <w:sz w:val="24"/>
          <w:szCs w:val="24"/>
          <w:lang w:val="ro-MD"/>
        </w:rPr>
        <w:t xml:space="preserve">Termenul de valabilitate a ofertelor: </w:t>
      </w:r>
      <w:r>
        <w:rPr>
          <w:b/>
          <w:sz w:val="24"/>
          <w:szCs w:val="24"/>
          <w:shd w:fill="FFFF00" w:val="clear"/>
          <w:lang w:val="ro-MD"/>
        </w:rPr>
        <w:t>30 zile</w:t>
      </w:r>
    </w:p>
    <w:p>
      <w:pPr>
        <w:pStyle w:val="Normal"/>
        <w:numPr>
          <w:ilvl w:val="0"/>
          <w:numId w:val="1"/>
        </w:numPr>
        <w:tabs>
          <w:tab w:val="clear" w:pos="709"/>
          <w:tab w:val="right" w:pos="426" w:leader="none"/>
        </w:tabs>
        <w:bidi w:val="0"/>
        <w:spacing w:before="120" w:after="0"/>
        <w:ind w:left="0" w:right="0" w:hanging="0"/>
        <w:jc w:val="left"/>
        <w:rPr>
          <w:b/>
          <w:sz w:val="24"/>
          <w:szCs w:val="24"/>
          <w:lang w:val="ro-MD"/>
        </w:rPr>
      </w:pPr>
      <w:r>
        <w:rPr>
          <w:b/>
          <w:sz w:val="24"/>
          <w:szCs w:val="24"/>
          <w:lang w:val="ro-MD"/>
        </w:rPr>
        <w:t xml:space="preserve">Locul deschiderii ofertelor: </w:t>
      </w:r>
      <w:r>
        <w:rPr>
          <w:b/>
          <w:i/>
          <w:sz w:val="24"/>
          <w:szCs w:val="24"/>
          <w:lang w:val="ro-MD"/>
        </w:rPr>
        <w:t xml:space="preserve">SIA RSAP </w:t>
      </w:r>
    </w:p>
    <w:p>
      <w:pPr>
        <w:pStyle w:val="ListParagraph"/>
        <w:tabs>
          <w:tab w:val="clear" w:pos="709"/>
          <w:tab w:val="right" w:pos="6906" w:leader="none"/>
        </w:tabs>
        <w:bidi w:val="0"/>
        <w:ind w:left="3240" w:right="0" w:hanging="0"/>
        <w:jc w:val="center"/>
        <w:rPr>
          <w:szCs w:val="24"/>
          <w:lang w:val="ro-MD"/>
        </w:rPr>
      </w:pPr>
      <w:r>
        <w:rPr>
          <w:szCs w:val="24"/>
          <w:lang w:val="ro-MD"/>
        </w:rPr>
        <w:t>(SIA RSAP sau adresa deschiderii)</w:t>
      </w:r>
    </w:p>
    <w:p>
      <w:pPr>
        <w:pStyle w:val="ListParagraph"/>
        <w:tabs>
          <w:tab w:val="clear" w:pos="709"/>
          <w:tab w:val="left" w:pos="1080" w:leader="none"/>
          <w:tab w:val="left" w:pos="2520" w:leader="none"/>
          <w:tab w:val="left" w:pos="3960" w:leader="none"/>
        </w:tabs>
        <w:bidi w:val="0"/>
        <w:spacing w:before="0" w:after="120"/>
        <w:ind w:left="360" w:right="0" w:hanging="0"/>
        <w:contextualSpacing w:val="false"/>
        <w:jc w:val="left"/>
        <w:rPr>
          <w:b/>
          <w:i/>
          <w:i/>
          <w:sz w:val="24"/>
          <w:szCs w:val="24"/>
          <w:lang w:val="ro-MD"/>
        </w:rPr>
      </w:pPr>
      <w:r>
        <w:rPr>
          <w:b/>
          <w:i/>
          <w:sz w:val="24"/>
          <w:szCs w:val="24"/>
          <w:lang w:val="ro-MD"/>
        </w:rPr>
        <w:t xml:space="preserve">Ofertele întârziate vor fi respinse. </w:t>
      </w:r>
    </w:p>
    <w:p>
      <w:pPr>
        <w:pStyle w:val="Normal"/>
        <w:numPr>
          <w:ilvl w:val="0"/>
          <w:numId w:val="1"/>
        </w:numPr>
        <w:tabs>
          <w:tab w:val="clear" w:pos="709"/>
          <w:tab w:val="right" w:pos="1326" w:leader="none"/>
        </w:tabs>
        <w:bidi w:val="0"/>
        <w:spacing w:before="120" w:after="0"/>
        <w:ind w:left="450" w:right="0" w:hanging="450"/>
        <w:jc w:val="left"/>
        <w:rPr>
          <w:b/>
          <w:sz w:val="24"/>
          <w:szCs w:val="24"/>
          <w:lang w:val="ro-MD"/>
        </w:rPr>
      </w:pPr>
      <w:r>
        <w:rPr>
          <w:b/>
          <w:sz w:val="24"/>
          <w:szCs w:val="24"/>
          <w:lang w:val="ro-MD"/>
        </w:rPr>
        <w:t xml:space="preserve">Persoanele autorizate să asiste la deschiderea ofertelor: </w:t>
        <w:br/>
      </w:r>
      <w:r>
        <w:rPr>
          <w:b/>
          <w:i/>
          <w:sz w:val="24"/>
          <w:szCs w:val="24"/>
          <w:lang w:val="ro-MD"/>
        </w:rPr>
        <w:t>Ofertanții sau reprezentanții acestora au dreptul să participe la deschiderea ofertelor, cu excepția cazului când ofertele au fost depuse prin SIA “RSAP”</w:t>
      </w:r>
      <w:r>
        <w:rPr>
          <w:b/>
          <w:sz w:val="24"/>
          <w:szCs w:val="24"/>
          <w:lang w:val="ro-MD"/>
        </w:rPr>
        <w:t>.</w:t>
      </w:r>
    </w:p>
    <w:p>
      <w:pPr>
        <w:pStyle w:val="Normal"/>
        <w:numPr>
          <w:ilvl w:val="0"/>
          <w:numId w:val="1"/>
        </w:numPr>
        <w:tabs>
          <w:tab w:val="clear" w:pos="709"/>
          <w:tab w:val="right" w:pos="1326" w:leader="none"/>
        </w:tabs>
        <w:bidi w:val="0"/>
        <w:spacing w:before="120" w:after="0"/>
        <w:ind w:left="450" w:right="0" w:hanging="450"/>
        <w:jc w:val="left"/>
        <w:rPr>
          <w:b/>
          <w:sz w:val="24"/>
          <w:szCs w:val="24"/>
          <w:lang w:val="ro-MD"/>
        </w:rPr>
      </w:pPr>
      <w:r>
        <w:rPr>
          <w:b/>
          <w:sz w:val="24"/>
          <w:szCs w:val="24"/>
          <w:lang w:val="ro-MD"/>
        </w:rPr>
        <w:t xml:space="preserve">Limba sau limbile în care trebuie redactate ofertele sau cererile de participare: </w:t>
      </w:r>
      <w:r>
        <w:rPr>
          <w:b/>
          <w:sz w:val="24"/>
          <w:szCs w:val="24"/>
          <w:shd w:fill="FFFF00" w:val="clear"/>
          <w:lang w:val="ro-MD"/>
        </w:rPr>
        <w:t>limba română</w:t>
      </w:r>
    </w:p>
    <w:p>
      <w:pPr>
        <w:pStyle w:val="Normal"/>
        <w:numPr>
          <w:ilvl w:val="0"/>
          <w:numId w:val="1"/>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 xml:space="preserve">Respectivul contract se referă la un proiect și/sau program finanțat din fonduri ale Uniunii Europene: </w:t>
      </w:r>
      <w:r>
        <w:rPr>
          <w:b/>
          <w:sz w:val="24"/>
          <w:szCs w:val="24"/>
          <w:shd w:fill="FFFF00" w:val="clear"/>
          <w:lang w:val="ro-MD"/>
        </w:rPr>
        <w:t>____________________________________________________________</w:t>
      </w:r>
    </w:p>
    <w:p>
      <w:pPr>
        <w:pStyle w:val="Normal"/>
        <w:numPr>
          <w:ilvl w:val="0"/>
          <w:numId w:val="1"/>
        </w:numPr>
        <w:tabs>
          <w:tab w:val="clear" w:pos="709"/>
          <w:tab w:val="right" w:pos="426" w:leader="none"/>
        </w:tabs>
        <w:bidi w:val="0"/>
        <w:spacing w:before="120" w:after="0"/>
        <w:ind w:left="0" w:right="0" w:hanging="0"/>
        <w:jc w:val="left"/>
        <w:rPr>
          <w:b/>
          <w:sz w:val="24"/>
          <w:szCs w:val="24"/>
          <w:lang w:val="ro-MD"/>
        </w:rPr>
      </w:pPr>
      <w:r>
        <w:rPr>
          <w:b/>
          <w:sz w:val="24"/>
          <w:szCs w:val="24"/>
          <w:lang w:val="ro-MD"/>
        </w:rPr>
        <w:t xml:space="preserve">Denumirea și adresa organismului competent de soluționare a contestațiilor: </w:t>
      </w:r>
    </w:p>
    <w:p>
      <w:pPr>
        <w:pStyle w:val="Normal"/>
        <w:tabs>
          <w:tab w:val="clear" w:pos="709"/>
          <w:tab w:val="right" w:pos="1326" w:leader="none"/>
        </w:tabs>
        <w:bidi w:val="0"/>
        <w:ind w:left="450" w:right="0" w:hanging="0"/>
        <w:jc w:val="left"/>
        <w:rPr>
          <w:b/>
          <w:i/>
          <w:i/>
          <w:sz w:val="24"/>
          <w:szCs w:val="24"/>
          <w:lang w:val="ro-MD"/>
        </w:rPr>
      </w:pPr>
      <w:r>
        <w:rPr>
          <w:b/>
          <w:i/>
          <w:sz w:val="24"/>
          <w:szCs w:val="24"/>
          <w:lang w:val="ro-MD"/>
        </w:rPr>
        <w:t>Agenția Națională pentru Soluționarea Contestațiilor</w:t>
      </w:r>
    </w:p>
    <w:p>
      <w:pPr>
        <w:pStyle w:val="Normal"/>
        <w:tabs>
          <w:tab w:val="clear" w:pos="709"/>
          <w:tab w:val="right" w:pos="1326" w:leader="none"/>
        </w:tabs>
        <w:bidi w:val="0"/>
        <w:ind w:left="450" w:right="0" w:hanging="0"/>
        <w:jc w:val="left"/>
        <w:rPr>
          <w:b/>
          <w:i/>
          <w:i/>
          <w:sz w:val="24"/>
          <w:szCs w:val="24"/>
          <w:lang w:val="ro-MD"/>
        </w:rPr>
      </w:pPr>
      <w:r>
        <w:rPr>
          <w:b/>
          <w:i/>
          <w:sz w:val="24"/>
          <w:szCs w:val="24"/>
          <w:lang w:val="ro-MD"/>
        </w:rPr>
        <w:t>Adresa: mun. Chișinău, bd. Ștefan cel Mare și Sfânt nr.124 (et.4), MD 2001;</w:t>
      </w:r>
    </w:p>
    <w:p>
      <w:pPr>
        <w:pStyle w:val="Normal"/>
        <w:tabs>
          <w:tab w:val="clear" w:pos="709"/>
          <w:tab w:val="right" w:pos="1326" w:leader="none"/>
        </w:tabs>
        <w:bidi w:val="0"/>
        <w:ind w:left="450" w:right="0" w:hanging="0"/>
        <w:jc w:val="left"/>
        <w:rPr>
          <w:b/>
          <w:i/>
          <w:i/>
          <w:sz w:val="24"/>
          <w:szCs w:val="24"/>
          <w:lang w:val="ro-MD"/>
        </w:rPr>
      </w:pPr>
      <w:r>
        <w:rPr>
          <w:b/>
          <w:i/>
          <w:sz w:val="24"/>
          <w:szCs w:val="24"/>
          <w:lang w:val="ro-MD"/>
        </w:rPr>
        <w:t>Tel/Fax/email:</w:t>
      </w:r>
      <w:r>
        <w:rPr>
          <w:b/>
          <w:i/>
          <w:color w:val="000000"/>
          <w:sz w:val="27"/>
          <w:szCs w:val="27"/>
          <w:shd w:fill="FFFFFF" w:val="clear"/>
          <w:lang w:val="ro-MD"/>
        </w:rPr>
        <w:t xml:space="preserve"> </w:t>
      </w:r>
      <w:r>
        <w:rPr>
          <w:b/>
          <w:i/>
          <w:sz w:val="24"/>
          <w:szCs w:val="24"/>
          <w:lang w:val="ro-MD"/>
        </w:rPr>
        <w:t>022-820 652, 022 820-651, contestatii@ansc.md</w:t>
      </w:r>
    </w:p>
    <w:p>
      <w:pPr>
        <w:pStyle w:val="Normal"/>
        <w:numPr>
          <w:ilvl w:val="0"/>
          <w:numId w:val="1"/>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Data (datele) și referința (referințele) publicărilor anterioare în Jurnalul Oficial al Uniunii Europene privind contractul (contractele) la care se referă anunțul respective (dacă este cazul</w:t>
      </w:r>
      <w:r>
        <w:rPr>
          <w:b/>
          <w:sz w:val="24"/>
          <w:szCs w:val="24"/>
          <w:shd w:fill="FFFF00" w:val="clear"/>
          <w:lang w:val="ro-MD"/>
        </w:rPr>
        <w:t>):_______________________________________________________</w:t>
      </w:r>
    </w:p>
    <w:p>
      <w:pPr>
        <w:pStyle w:val="Normal"/>
        <w:numPr>
          <w:ilvl w:val="0"/>
          <w:numId w:val="1"/>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În cazul achizițiilor periodice, calendarul estimat pentru publicarea anunțurilor viitoare</w:t>
      </w:r>
      <w:r>
        <w:rPr>
          <w:b/>
          <w:sz w:val="24"/>
          <w:szCs w:val="24"/>
          <w:shd w:fill="FFFF00" w:val="clear"/>
          <w:lang w:val="ro-MD"/>
        </w:rPr>
        <w:t>:___________________________________________________________________</w:t>
      </w:r>
    </w:p>
    <w:p>
      <w:pPr>
        <w:pStyle w:val="Normal"/>
        <w:numPr>
          <w:ilvl w:val="0"/>
          <w:numId w:val="1"/>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Data publicării anunțului de intenție sau, după caz, precizarea că nu a fost publicat un astfel de anunţ</w:t>
      </w:r>
      <w:r>
        <w:rPr>
          <w:b/>
          <w:sz w:val="24"/>
          <w:szCs w:val="24"/>
          <w:shd w:fill="FFFF00" w:val="clear"/>
          <w:lang w:val="ro-MD"/>
        </w:rPr>
        <w:t>:______________________________________________________</w:t>
      </w:r>
    </w:p>
    <w:p>
      <w:pPr>
        <w:pStyle w:val="Normal"/>
        <w:numPr>
          <w:ilvl w:val="0"/>
          <w:numId w:val="1"/>
        </w:numPr>
        <w:tabs>
          <w:tab w:val="clear" w:pos="709"/>
          <w:tab w:val="right" w:pos="426" w:leader="none"/>
        </w:tabs>
        <w:bidi w:val="0"/>
        <w:spacing w:before="120" w:after="0"/>
        <w:ind w:left="0" w:right="0" w:hanging="0"/>
        <w:jc w:val="left"/>
        <w:rPr>
          <w:b/>
          <w:sz w:val="24"/>
          <w:szCs w:val="24"/>
          <w:lang w:val="ro-MD"/>
        </w:rPr>
      </w:pPr>
      <w:r>
        <w:rPr>
          <w:b/>
          <w:sz w:val="24"/>
          <w:szCs w:val="24"/>
          <w:lang w:val="ro-MD"/>
        </w:rPr>
        <w:t>Data transmiterii spre publicare a anunțului de participare: conform SIA RSAP Mtender</w:t>
      </w:r>
    </w:p>
    <w:p>
      <w:pPr>
        <w:pStyle w:val="Normal"/>
        <w:numPr>
          <w:ilvl w:val="0"/>
          <w:numId w:val="1"/>
        </w:numPr>
        <w:tabs>
          <w:tab w:val="clear" w:pos="709"/>
          <w:tab w:val="right" w:pos="426" w:leader="none"/>
        </w:tabs>
        <w:bidi w:val="0"/>
        <w:spacing w:before="120" w:after="0"/>
        <w:ind w:left="0" w:right="0" w:hanging="0"/>
        <w:jc w:val="left"/>
        <w:rPr>
          <w:b/>
          <w:sz w:val="24"/>
          <w:szCs w:val="24"/>
          <w:lang w:val="ro-MD"/>
        </w:rPr>
      </w:pPr>
      <w:r>
        <w:rPr>
          <w:b/>
          <w:sz w:val="24"/>
          <w:szCs w:val="24"/>
          <w:lang w:val="ro-MD"/>
        </w:rPr>
        <w:t>În cadrul procedurii de achiziție publică se va utiliza/accepta:</w:t>
      </w:r>
    </w:p>
    <w:p>
      <w:pPr>
        <w:pStyle w:val="Normal"/>
        <w:tabs>
          <w:tab w:val="clear" w:pos="709"/>
          <w:tab w:val="right" w:pos="426" w:leader="none"/>
        </w:tabs>
        <w:bidi w:val="0"/>
        <w:spacing w:before="120" w:after="0"/>
        <w:jc w:val="left"/>
        <w:rPr>
          <w:b/>
          <w:sz w:val="24"/>
          <w:szCs w:val="24"/>
          <w:lang w:val="ro-MD"/>
        </w:rPr>
      </w:pPr>
      <w:r>
        <w:rPr>
          <w:b/>
          <w:sz w:val="24"/>
          <w:szCs w:val="24"/>
          <w:lang w:val="ro-MD"/>
        </w:rPr>
      </w:r>
    </w:p>
    <w:tbl>
      <w:tblPr>
        <w:tblW w:w="8900" w:type="dxa"/>
        <w:jc w:val="left"/>
        <w:tblInd w:w="445" w:type="dxa"/>
        <w:tblLayout w:type="fixed"/>
        <w:tblCellMar>
          <w:top w:w="0" w:type="dxa"/>
          <w:left w:w="108" w:type="dxa"/>
          <w:bottom w:w="0" w:type="dxa"/>
          <w:right w:w="108" w:type="dxa"/>
        </w:tblCellMar>
      </w:tblPr>
      <w:tblGrid>
        <w:gridCol w:w="5185"/>
        <w:gridCol w:w="3714"/>
      </w:tblGrid>
      <w:tr>
        <w:trPr/>
        <w:tc>
          <w:tcPr>
            <w:tcW w:w="5185" w:type="dxa"/>
            <w:tcBorders>
              <w:top w:val="single" w:sz="4" w:space="0" w:color="000000"/>
              <w:left w:val="single" w:sz="4" w:space="0" w:color="000000"/>
              <w:bottom w:val="single" w:sz="4" w:space="0" w:color="000000"/>
              <w:right w:val="single" w:sz="4" w:space="0" w:color="000000"/>
            </w:tcBorders>
            <w:shd w:fill="E7E6E6" w:val="clear"/>
          </w:tcPr>
          <w:p>
            <w:pPr>
              <w:pStyle w:val="Normal"/>
              <w:widowControl w:val="false"/>
              <w:tabs>
                <w:tab w:val="clear" w:pos="709"/>
                <w:tab w:val="right" w:pos="426" w:leader="none"/>
              </w:tabs>
              <w:bidi w:val="0"/>
              <w:spacing w:before="0" w:after="0"/>
              <w:jc w:val="left"/>
              <w:rPr>
                <w:b/>
                <w:sz w:val="24"/>
                <w:szCs w:val="24"/>
                <w:lang w:val="ro-MD"/>
              </w:rPr>
            </w:pPr>
            <w:r>
              <w:rPr>
                <w:b/>
                <w:kern w:val="0"/>
                <w:sz w:val="24"/>
                <w:szCs w:val="24"/>
                <w:lang w:val="ro-MD" w:bidi="ar-SA"/>
              </w:rPr>
              <w:t>Denumirea instrumentului electronic</w:t>
            </w:r>
          </w:p>
        </w:tc>
        <w:tc>
          <w:tcPr>
            <w:tcW w:w="3714" w:type="dxa"/>
            <w:tcBorders>
              <w:top w:val="single" w:sz="4" w:space="0" w:color="000000"/>
              <w:left w:val="single" w:sz="4" w:space="0" w:color="000000"/>
              <w:bottom w:val="single" w:sz="4" w:space="0" w:color="000000"/>
              <w:right w:val="single" w:sz="4" w:space="0" w:color="000000"/>
            </w:tcBorders>
            <w:shd w:fill="E7E6E6" w:val="clear"/>
          </w:tcPr>
          <w:p>
            <w:pPr>
              <w:pStyle w:val="Normal"/>
              <w:widowControl w:val="false"/>
              <w:tabs>
                <w:tab w:val="clear" w:pos="709"/>
                <w:tab w:val="right" w:pos="426" w:leader="none"/>
              </w:tabs>
              <w:bidi w:val="0"/>
              <w:spacing w:before="0" w:after="0"/>
              <w:jc w:val="left"/>
              <w:rPr>
                <w:b/>
                <w:sz w:val="24"/>
                <w:szCs w:val="24"/>
                <w:lang w:val="ro-MD"/>
              </w:rPr>
            </w:pPr>
            <w:r>
              <w:rPr>
                <w:b/>
                <w:kern w:val="0"/>
                <w:sz w:val="24"/>
                <w:szCs w:val="24"/>
                <w:lang w:val="ro-MD" w:bidi="ar-SA"/>
              </w:rPr>
              <w:t>Se va utiliza/accepta sau nu</w:t>
            </w:r>
          </w:p>
        </w:tc>
      </w:tr>
      <w:tr>
        <w:trPr/>
        <w:tc>
          <w:tcPr>
            <w:tcW w:w="51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right" w:pos="426" w:leader="none"/>
              </w:tabs>
              <w:bidi w:val="0"/>
              <w:spacing w:before="0" w:after="0"/>
              <w:jc w:val="left"/>
              <w:rPr>
                <w:sz w:val="24"/>
                <w:szCs w:val="24"/>
                <w:lang w:val="ro-MD"/>
              </w:rPr>
            </w:pPr>
            <w:r>
              <w:rPr>
                <w:kern w:val="0"/>
                <w:sz w:val="24"/>
                <w:szCs w:val="24"/>
                <w:lang w:val="ro-MD" w:bidi="ar-SA"/>
              </w:rPr>
              <w:t>depunerea electronică a ofertelor sau a cererilor de participare</w:t>
            </w:r>
          </w:p>
        </w:tc>
        <w:tc>
          <w:tcPr>
            <w:tcW w:w="3714"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right" w:pos="426" w:leader="none"/>
              </w:tabs>
              <w:bidi w:val="0"/>
              <w:spacing w:before="0" w:after="0"/>
              <w:jc w:val="left"/>
              <w:rPr>
                <w:sz w:val="24"/>
                <w:szCs w:val="24"/>
                <w:lang w:val="ro-MD"/>
              </w:rPr>
            </w:pPr>
            <w:r>
              <w:rPr>
                <w:kern w:val="0"/>
                <w:sz w:val="24"/>
                <w:szCs w:val="24"/>
                <w:lang w:val="ro-MD" w:bidi="ar-SA"/>
              </w:rPr>
              <w:t>da</w:t>
            </w:r>
          </w:p>
        </w:tc>
      </w:tr>
      <w:tr>
        <w:trPr/>
        <w:tc>
          <w:tcPr>
            <w:tcW w:w="51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right" w:pos="426" w:leader="none"/>
              </w:tabs>
              <w:bidi w:val="0"/>
              <w:spacing w:before="0" w:after="0"/>
              <w:jc w:val="left"/>
              <w:rPr>
                <w:sz w:val="24"/>
                <w:szCs w:val="24"/>
                <w:lang w:val="ro-MD"/>
              </w:rPr>
            </w:pPr>
            <w:r>
              <w:rPr>
                <w:kern w:val="0"/>
                <w:sz w:val="24"/>
                <w:szCs w:val="24"/>
                <w:lang w:val="ro-MD" w:bidi="ar-SA"/>
              </w:rPr>
              <w:t>sistemul de comenzi electronice</w:t>
            </w:r>
          </w:p>
        </w:tc>
        <w:tc>
          <w:tcPr>
            <w:tcW w:w="3714"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right" w:pos="426" w:leader="none"/>
              </w:tabs>
              <w:bidi w:val="0"/>
              <w:spacing w:before="0" w:after="0"/>
              <w:jc w:val="left"/>
              <w:rPr>
                <w:sz w:val="24"/>
                <w:szCs w:val="24"/>
                <w:lang w:val="ro-MD"/>
              </w:rPr>
            </w:pPr>
            <w:r>
              <w:rPr>
                <w:kern w:val="0"/>
                <w:sz w:val="24"/>
                <w:szCs w:val="24"/>
                <w:lang w:val="ro-MD" w:bidi="ar-SA"/>
              </w:rPr>
              <w:t>nu</w:t>
            </w:r>
          </w:p>
        </w:tc>
      </w:tr>
      <w:tr>
        <w:trPr/>
        <w:tc>
          <w:tcPr>
            <w:tcW w:w="51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right" w:pos="426" w:leader="none"/>
              </w:tabs>
              <w:bidi w:val="0"/>
              <w:spacing w:before="0" w:after="0"/>
              <w:jc w:val="left"/>
              <w:rPr>
                <w:sz w:val="24"/>
                <w:szCs w:val="24"/>
                <w:lang w:val="ro-MD"/>
              </w:rPr>
            </w:pPr>
            <w:r>
              <w:rPr>
                <w:kern w:val="0"/>
                <w:sz w:val="24"/>
                <w:szCs w:val="24"/>
                <w:lang w:val="ro-MD" w:bidi="ar-SA"/>
              </w:rPr>
              <w:t>facturarea electronică</w:t>
            </w:r>
          </w:p>
        </w:tc>
        <w:tc>
          <w:tcPr>
            <w:tcW w:w="3714"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right" w:pos="426" w:leader="none"/>
              </w:tabs>
              <w:bidi w:val="0"/>
              <w:spacing w:before="0" w:after="0"/>
              <w:jc w:val="left"/>
              <w:rPr>
                <w:sz w:val="24"/>
                <w:szCs w:val="24"/>
                <w:lang w:val="ro-MD"/>
              </w:rPr>
            </w:pPr>
            <w:r>
              <w:rPr>
                <w:kern w:val="0"/>
                <w:sz w:val="24"/>
                <w:szCs w:val="24"/>
                <w:lang w:val="ro-MD" w:bidi="ar-SA"/>
              </w:rPr>
              <w:t>da</w:t>
            </w:r>
          </w:p>
        </w:tc>
      </w:tr>
      <w:tr>
        <w:trPr/>
        <w:tc>
          <w:tcPr>
            <w:tcW w:w="51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right" w:pos="426" w:leader="none"/>
              </w:tabs>
              <w:bidi w:val="0"/>
              <w:spacing w:before="0" w:after="0"/>
              <w:jc w:val="left"/>
              <w:rPr>
                <w:sz w:val="24"/>
                <w:szCs w:val="24"/>
                <w:lang w:val="ro-MD"/>
              </w:rPr>
            </w:pPr>
            <w:r>
              <w:rPr>
                <w:kern w:val="0"/>
                <w:sz w:val="24"/>
                <w:szCs w:val="24"/>
                <w:lang w:val="ro-MD" w:bidi="ar-SA"/>
              </w:rPr>
              <w:t>plățile electronice</w:t>
            </w:r>
          </w:p>
        </w:tc>
        <w:tc>
          <w:tcPr>
            <w:tcW w:w="3714"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right" w:pos="426" w:leader="none"/>
              </w:tabs>
              <w:bidi w:val="0"/>
              <w:spacing w:before="0" w:after="0"/>
              <w:jc w:val="left"/>
              <w:rPr>
                <w:sz w:val="24"/>
                <w:szCs w:val="24"/>
                <w:lang w:val="ro-MD"/>
              </w:rPr>
            </w:pPr>
            <w:r>
              <w:rPr>
                <w:kern w:val="0"/>
                <w:sz w:val="24"/>
                <w:szCs w:val="24"/>
                <w:lang w:val="ro-MD" w:bidi="ar-SA"/>
              </w:rPr>
              <w:t>da</w:t>
            </w:r>
          </w:p>
        </w:tc>
      </w:tr>
    </w:tbl>
    <w:p>
      <w:pPr>
        <w:pStyle w:val="Normal"/>
        <w:numPr>
          <w:ilvl w:val="0"/>
          <w:numId w:val="1"/>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 xml:space="preserve">Contractul intră sub incidența Acordului privind achizițiile guvernamentale al Organizației Mondiale a Comerțului (numai în cazul anunțurilor transmise spre publicare în Jurnalul Oficial al Uniunii Europene): </w:t>
      </w:r>
      <w:r>
        <w:rPr>
          <w:b/>
          <w:sz w:val="24"/>
          <w:szCs w:val="24"/>
          <w:shd w:fill="FFFF00" w:val="clear"/>
          <w:lang w:val="ro-MD"/>
        </w:rPr>
        <w:t>_____________________________</w:t>
      </w:r>
    </w:p>
    <w:p>
      <w:pPr>
        <w:pStyle w:val="Normal"/>
        <w:numPr>
          <w:ilvl w:val="0"/>
          <w:numId w:val="1"/>
        </w:numPr>
        <w:tabs>
          <w:tab w:val="clear" w:pos="709"/>
          <w:tab w:val="right" w:pos="426" w:leader="none"/>
        </w:tabs>
        <w:bidi w:val="0"/>
        <w:spacing w:before="120" w:after="0"/>
        <w:ind w:left="0" w:right="0" w:hanging="0"/>
        <w:jc w:val="left"/>
        <w:rPr>
          <w:b/>
          <w:sz w:val="24"/>
          <w:szCs w:val="24"/>
          <w:lang w:val="ro-MD"/>
        </w:rPr>
      </w:pPr>
      <w:r>
        <w:rPr>
          <w:b/>
          <w:sz w:val="24"/>
          <w:szCs w:val="24"/>
          <w:lang w:val="ro-MD"/>
        </w:rPr>
        <w:t xml:space="preserve">Alte informații relevante: </w:t>
      </w:r>
      <w:r>
        <w:rPr>
          <w:b/>
          <w:sz w:val="24"/>
          <w:szCs w:val="24"/>
          <w:shd w:fill="FFFF00" w:val="clear"/>
          <w:lang w:val="ro-MD"/>
        </w:rPr>
        <w:t>___________________________________________</w:t>
      </w:r>
    </w:p>
    <w:p>
      <w:pPr>
        <w:pStyle w:val="Normal"/>
        <w:bidi w:val="0"/>
        <w:spacing w:before="120" w:after="120"/>
        <w:jc w:val="left"/>
        <w:rPr>
          <w:b/>
          <w:sz w:val="24"/>
          <w:szCs w:val="24"/>
          <w:lang w:val="ro-MD"/>
        </w:rPr>
      </w:pPr>
      <w:r>
        <w:rPr>
          <w:b/>
          <w:sz w:val="24"/>
          <w:szCs w:val="24"/>
          <w:lang w:val="ro-MD"/>
        </w:rPr>
        <w:t xml:space="preserve">Conducătorul grupului de lucru:  </w:t>
      </w:r>
      <w:r>
        <w:rPr>
          <w:b/>
          <w:sz w:val="24"/>
          <w:szCs w:val="24"/>
          <w:shd w:fill="FFFF00" w:val="clear"/>
          <w:lang w:val="ro-MD"/>
        </w:rPr>
        <w:t>Adelina Celac</w:t>
      </w:r>
      <w:r>
        <w:rPr>
          <w:b/>
          <w:sz w:val="24"/>
          <w:szCs w:val="24"/>
          <w:lang w:val="ro-MD"/>
        </w:rPr>
        <w:t xml:space="preserve">                L.Ș.</w:t>
      </w:r>
    </w:p>
    <w:p>
      <w:pPr>
        <w:pStyle w:val="Normal"/>
        <w:bidi w:val="0"/>
        <w:jc w:val="left"/>
        <w:rPr>
          <w:lang w:val="ro-RO"/>
        </w:rPr>
      </w:pPr>
      <w:r>
        <w:rPr>
          <w:lang w:val="ro-MD"/>
        </w:rPr>
        <w:t xml:space="preserve"> </w:t>
      </w:r>
    </w:p>
    <w:p>
      <w:pPr>
        <w:pStyle w:val="Normal"/>
        <w:bidi w:val="0"/>
        <w:jc w:val="left"/>
        <w:rPr>
          <w:lang w:val="en-US"/>
        </w:rPr>
      </w:pPr>
      <w:r>
        <w:rPr>
          <w:lang w:val="ro-RO"/>
        </w:rPr>
        <w:t xml:space="preserve"> </w:t>
      </w:r>
      <w:r>
        <w:rPr>
          <w:lang w:val="en-US"/>
        </w:rPr>
        <w:t xml:space="preserve">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b/>
        <w:color w:val="000000"/>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MD"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 w:hAnsi="Liberation Serif" w:eastAsia="NSimSun" w:cs="Arial"/>
      <w:color w:val="auto"/>
      <w:kern w:val="2"/>
      <w:sz w:val="24"/>
      <w:szCs w:val="24"/>
      <w:lang w:val="ro-MD" w:eastAsia="zh-CN" w:bidi="hi-IN"/>
    </w:rPr>
  </w:style>
  <w:style w:type="paragraph" w:styleId="Titlu1">
    <w:name w:val="Heading 1"/>
    <w:basedOn w:val="Corptext"/>
    <w:next w:val="Normal"/>
    <w:qFormat/>
    <w:pPr>
      <w:numPr>
        <w:ilvl w:val="0"/>
        <w:numId w:val="0"/>
      </w:numPr>
      <w:spacing w:before="0" w:after="0"/>
      <w:jc w:val="center"/>
      <w:outlineLvl w:val="0"/>
    </w:pPr>
    <w:rPr>
      <w:b/>
      <w:sz w:val="32"/>
      <w:szCs w:val="32"/>
      <w:lang w:val="ro-RO"/>
    </w:rPr>
  </w:style>
  <w:style w:type="character" w:styleId="DefaultParagraphFont">
    <w:name w:val="Default Paragraph Font"/>
    <w:qFormat/>
    <w:rPr/>
  </w:style>
  <w:style w:type="character" w:styleId="Linkdeinternet">
    <w:name w:val="Hyperlink"/>
    <w:basedOn w:val="DefaultParagraphFont"/>
    <w:rPr>
      <w:color w:val="0563C1"/>
      <w:u w:val="single"/>
    </w:rPr>
  </w:style>
  <w:style w:type="character" w:styleId="Linkdeinternetvizitat">
    <w:name w:val="FollowedHyperlink"/>
    <w:basedOn w:val="DefaultParagraphFont"/>
    <w:rPr>
      <w:color w:val="954F72"/>
      <w:u w:val="single"/>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pPr>
      <w:spacing w:lineRule="auto" w:line="276" w:before="0" w:after="140"/>
    </w:pPr>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qFormat/>
    <w:pPr>
      <w:spacing w:before="0" w:after="0"/>
      <w:ind w:left="720" w:right="0" w:hanging="0"/>
      <w:contextualSpacing/>
    </w:pPr>
    <w:rPr/>
  </w:style>
  <w:style w:type="paragraph" w:styleId="Coninuttabel">
    <w:name w:val="Conținut tabel"/>
    <w:basedOn w:val="Normal"/>
    <w:qFormat/>
    <w:pPr>
      <w:widowControl w:val="false"/>
      <w:suppressLineNumbers/>
    </w:pPr>
    <w:rPr/>
  </w:style>
  <w:style w:type="paragraph" w:styleId="Titludetabel">
    <w:name w:val="Titlu de tabel"/>
    <w:basedOn w:val="Coninuttabel"/>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s.donduseni@ms.md"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63</TotalTime>
  <Application>LibreOffice/7.5.4.2$Windows_X86_64 LibreOffice_project/36ccfdc35048b057fd9854c757a8b67ec53977b6</Application>
  <AppVersion>15.0000</AppVersion>
  <Pages>11</Pages>
  <Words>2986</Words>
  <Characters>17321</Characters>
  <CharactersWithSpaces>19764</CharactersWithSpaces>
  <Paragraphs>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2025-01-16T08:58:45Z</dcterms:created>
  <dc:creator/>
  <dc:description/>
  <dc:language>ro-MD</dc:language>
  <cp:lastModifiedBy/>
  <dcterms:modified xsi:type="dcterms:W3CDTF">2026-04-07T16:48:48Z</dcterms:modified>
  <cp:revision>43</cp:revision>
  <dc:subject/>
  <dc:title/>
</cp:coreProperties>
</file>

<file path=docProps/custom.xml><?xml version="1.0" encoding="utf-8"?>
<Properties xmlns="http://schemas.openxmlformats.org/officeDocument/2006/custom-properties" xmlns:vt="http://schemas.openxmlformats.org/officeDocument/2006/docPropsVTypes"/>
</file>