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19E813">
      <w:pPr>
        <w:spacing w:after="0"/>
        <w:jc w:val="right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ascii="Times New Roman" w:hAnsi="Times New Roman" w:eastAsia="Times New Roman" w:cs="Times New Roman"/>
          <w:sz w:val="16"/>
          <w:szCs w:val="16"/>
        </w:rPr>
        <w:t>Приложение № 2</w:t>
      </w:r>
    </w:p>
    <w:p w14:paraId="23E9083B">
      <w:pPr>
        <w:spacing w:after="0"/>
        <w:jc w:val="right"/>
        <w:rPr>
          <w:rFonts w:ascii="Times New Roman" w:hAnsi="Times New Roman" w:eastAsia="Calibri" w:cs="Times New Roman"/>
          <w:bCs/>
          <w:color w:val="000000"/>
          <w:sz w:val="16"/>
          <w:szCs w:val="16"/>
        </w:rPr>
      </w:pPr>
      <w:r>
        <w:rPr>
          <w:rFonts w:ascii="Times New Roman" w:hAnsi="Times New Roman" w:eastAsia="Calibri" w:cs="Times New Roman"/>
          <w:bCs/>
          <w:color w:val="000000"/>
          <w:sz w:val="16"/>
          <w:szCs w:val="16"/>
        </w:rPr>
        <w:t>к Стандартной документации № 115</w:t>
      </w:r>
    </w:p>
    <w:p w14:paraId="3DED856B">
      <w:pPr>
        <w:spacing w:after="0"/>
        <w:jc w:val="right"/>
        <w:rPr>
          <w:rFonts w:ascii="Times New Roman" w:hAnsi="Times New Roman" w:eastAsia="Calibri" w:cs="Times New Roman"/>
          <w:bCs/>
          <w:color w:val="000000"/>
          <w:sz w:val="16"/>
          <w:szCs w:val="16"/>
        </w:rPr>
      </w:pPr>
      <w:r>
        <w:rPr>
          <w:rFonts w:ascii="Times New Roman" w:hAnsi="Times New Roman" w:eastAsia="Calibri" w:cs="Times New Roman"/>
          <w:bCs/>
          <w:color w:val="000000"/>
          <w:sz w:val="16"/>
          <w:szCs w:val="16"/>
        </w:rPr>
        <w:t>от 15 сентября 2021 г.</w:t>
      </w:r>
    </w:p>
    <w:p w14:paraId="09D678EB">
      <w:pPr>
        <w:spacing w:after="0"/>
        <w:jc w:val="right"/>
        <w:rPr>
          <w:rFonts w:ascii="Times New Roman" w:hAnsi="Times New Roman" w:eastAsia="Calibri" w:cs="Times New Roman"/>
          <w:bCs/>
          <w:color w:val="000000"/>
          <w:sz w:val="24"/>
          <w:szCs w:val="24"/>
        </w:rPr>
      </w:pPr>
    </w:p>
    <w:p w14:paraId="7420095D">
      <w:pPr>
        <w:spacing w:after="0"/>
        <w:jc w:val="right"/>
        <w:rPr>
          <w:rFonts w:ascii="Times New Roman" w:hAnsi="Times New Roman" w:eastAsia="Calibri" w:cs="Times New Roman"/>
          <w:bCs/>
          <w:color w:val="000000"/>
          <w:sz w:val="24"/>
          <w:szCs w:val="24"/>
        </w:rPr>
      </w:pPr>
    </w:p>
    <w:p w14:paraId="5C24265F">
      <w:pPr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1E0F5CE">
      <w:pPr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ОБЪЯВЛЕНИЕ НА УЧАСТИЕ, В ТОМ ЧИСЛЕ ДЛЯ ПРОЦЕДУР ПРЕДВАРИТЕЛЬНОГО ОТБОРА/ПЕРЕГОВОРНЫХ ПРОЦЕДУР</w:t>
      </w:r>
    </w:p>
    <w:p w14:paraId="5E42E43C">
      <w:pPr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73AAA23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О покупке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  <w:t>нефтепродукты для заправки автомобилей (ГСМ)  для нужд ПМСУ РБ Чадыр-Лунга на  2026г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14:paraId="33B9610B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через процедуру закупки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____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  <w:t>запрос ценовых оферт</w:t>
      </w:r>
      <w:r>
        <w:rPr>
          <w:rFonts w:ascii="Times New Roman" w:hAnsi="Times New Roman" w:eastAsia="Times New Roman" w:cs="Times New Roman"/>
          <w:sz w:val="24"/>
          <w:szCs w:val="24"/>
        </w:rPr>
        <w:t>_______________________________</w:t>
      </w:r>
    </w:p>
    <w:p w14:paraId="56B6A705">
      <w:pPr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*Процедура была включена в план государственных закупок закупающего органа (Да/Нет): Да</w:t>
      </w:r>
    </w:p>
    <w:p w14:paraId="4EA17F54">
      <w:p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Ссылка на опубликованный план государственных закупок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/>
        </w:rPr>
        <w:t xml:space="preserve"> </w:t>
      </w:r>
    </w:p>
    <w:p w14:paraId="55C08B8E">
      <w:p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hAnsi="Times New Roman" w:eastAsia="Times New Roman" w:cs="Times New Roman"/>
          <w:b/>
          <w:bCs/>
          <w:sz w:val="24"/>
          <w:szCs w:val="24"/>
        </w:rPr>
      </w:pPr>
      <w:r>
        <w:fldChar w:fldCharType="begin"/>
      </w:r>
      <w:r>
        <w:instrText xml:space="preserve"> HYPERLINK "https://srceadir-lunga.md/wp-content/uploads/2023/03/%D0%BF%D0%BB%D0%B0%D0%BD-%D0%B3%D0%BE%D1%81.%D0%B7%D0%B0%D0%BA%D1%83%D0%BF%D0%BE%D0%BA-%D0%BD%D0%B0-2023-%D0%B3%D0%BE%D0%B4-%D0%A0%D0%91-%D0%A7%D0%B0%D0%B4%D1%8B%D1%80-%D0%9B%D1%83%D0%BD%D0%B3%D0%B0.pdf" </w:instrText>
      </w:r>
      <w:r>
        <w:fldChar w:fldCharType="separate"/>
      </w:r>
      <w:r>
        <w:fldChar w:fldCharType="end"/>
      </w:r>
    </w:p>
    <w:p w14:paraId="6B983064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1. Наименование закупающего   органа: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  <w:t>ПМСУ Районная Больница Чадыр-Лунга</w:t>
      </w:r>
    </w:p>
    <w:p w14:paraId="488554C7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b/>
          <w:sz w:val="24"/>
          <w:szCs w:val="24"/>
          <w:lang w:val="en-US"/>
        </w:rPr>
        <w:t>IDNO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___1003611151227_____________________________________________________</w:t>
      </w:r>
    </w:p>
    <w:p w14:paraId="3E12383A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3. Адрес: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___</w:t>
      </w:r>
      <w:r>
        <w:rPr>
          <w:rFonts w:ascii="Times New Roman" w:hAnsi="Times New Roman" w:eastAsia="Times New Roman" w:cs="Times New Roman"/>
          <w:sz w:val="24"/>
          <w:szCs w:val="24"/>
          <w:lang w:val="en-US"/>
        </w:rPr>
        <w:t>MD</w:t>
      </w:r>
      <w:r>
        <w:rPr>
          <w:rFonts w:ascii="Times New Roman" w:hAnsi="Times New Roman" w:eastAsia="Times New Roman" w:cs="Times New Roman"/>
          <w:sz w:val="24"/>
          <w:szCs w:val="24"/>
        </w:rPr>
        <w:t>-6103 РМ, мун. Чадыр-Лунга, ул. Мичурина, 2_______________________</w:t>
      </w:r>
    </w:p>
    <w:p w14:paraId="5C03CC0E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Номер телефона / факса</w:t>
      </w:r>
      <w:r>
        <w:rPr>
          <w:rFonts w:ascii="Times New Roman" w:hAnsi="Times New Roman" w:eastAsia="Times New Roman" w:cs="Times New Roman"/>
          <w:sz w:val="24"/>
          <w:szCs w:val="24"/>
        </w:rPr>
        <w:t>: (0291) 2-24-48, _________________________________</w:t>
      </w:r>
    </w:p>
    <w:p w14:paraId="18B81DC3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5.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Электронный адрес </w:t>
      </w:r>
      <w:r>
        <w:rPr>
          <w:rFonts w:ascii="Times New Roman" w:hAnsi="Times New Roman" w:eastAsia="Calibri" w:cs="Times New Roman"/>
          <w:b/>
          <w:sz w:val="24"/>
          <w:szCs w:val="24"/>
          <w:lang w:val="ro-RO" w:eastAsia="ru-RU"/>
        </w:rPr>
        <w:t>и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 Официальный сайт закупающего органа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  <w:r>
        <w:fldChar w:fldCharType="begin"/>
      </w:r>
      <w:r>
        <w:instrText xml:space="preserve"> HYPERLINK "mailto:___srciadirlunga@ms.md" </w:instrText>
      </w:r>
      <w:r>
        <w:fldChar w:fldCharType="separate"/>
      </w:r>
      <w:r>
        <w:rPr>
          <w:rStyle w:val="27"/>
          <w:rFonts w:ascii="Times New Roman" w:hAnsi="Times New Roman" w:eastAsia="Times New Roman" w:cs="Times New Roman"/>
          <w:sz w:val="24"/>
          <w:szCs w:val="24"/>
        </w:rPr>
        <w:t>___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t>srciadirlunga</w:t>
      </w:r>
      <w:r>
        <w:rPr>
          <w:rStyle w:val="27"/>
          <w:rFonts w:ascii="Times New Roman" w:hAnsi="Times New Roman" w:eastAsia="Times New Roman" w:cs="Times New Roman"/>
          <w:sz w:val="24"/>
          <w:szCs w:val="24"/>
        </w:rPr>
        <w:t>@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t>ms</w:t>
      </w:r>
      <w:r>
        <w:rPr>
          <w:rStyle w:val="27"/>
          <w:rFonts w:ascii="Times New Roman" w:hAnsi="Times New Roman" w:eastAsia="Times New Roman" w:cs="Times New Roman"/>
          <w:sz w:val="24"/>
          <w:szCs w:val="24"/>
        </w:rPr>
        <w:t>.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t>md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 </w:t>
      </w:r>
      <w:r>
        <w:fldChar w:fldCharType="begin"/>
      </w:r>
      <w:r>
        <w:instrText xml:space="preserve"> HYPERLINK "mailto:achizitii_imsp@mail.ru" </w:instrText>
      </w:r>
      <w:r>
        <w:fldChar w:fldCharType="separate"/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t>achizitii</w:t>
      </w:r>
      <w:r>
        <w:rPr>
          <w:rStyle w:val="27"/>
          <w:rFonts w:ascii="Times New Roman" w:hAnsi="Times New Roman" w:eastAsia="Times New Roman" w:cs="Times New Roman"/>
          <w:sz w:val="24"/>
          <w:szCs w:val="24"/>
        </w:rPr>
        <w:t>_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t>imsp</w:t>
      </w:r>
      <w:r>
        <w:rPr>
          <w:rStyle w:val="27"/>
          <w:rFonts w:ascii="Times New Roman" w:hAnsi="Times New Roman" w:eastAsia="Times New Roman" w:cs="Times New Roman"/>
          <w:sz w:val="24"/>
          <w:szCs w:val="24"/>
        </w:rPr>
        <w:t>@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t>mail</w:t>
      </w:r>
      <w:r>
        <w:rPr>
          <w:rStyle w:val="27"/>
          <w:rFonts w:ascii="Times New Roman" w:hAnsi="Times New Roman" w:eastAsia="Times New Roman" w:cs="Times New Roman"/>
          <w:sz w:val="24"/>
          <w:szCs w:val="24"/>
        </w:rPr>
        <w:t>.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t>ru</w:t>
      </w:r>
      <w:r>
        <w:rPr>
          <w:rStyle w:val="27"/>
          <w:rFonts w:ascii="Times New Roman" w:hAnsi="Times New Roman" w:eastAsia="Times New Roman" w:cs="Times New Roman"/>
          <w:sz w:val="24"/>
          <w:szCs w:val="24"/>
          <w:lang w:val="en-US"/>
        </w:rPr>
        <w:fldChar w:fldCharType="end"/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______________</w:t>
      </w:r>
    </w:p>
    <w:p w14:paraId="6A5A9229">
      <w:pPr>
        <w:jc w:val="both"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6.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Электронный адрес или Официальный сайт, с которого будет доступен доступ к документации по присуждению договора: 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документация по присуждению договора прилагается к процедуре в АИС ГРГЗ.</w:t>
      </w:r>
    </w:p>
    <w:p w14:paraId="13CBB661">
      <w:p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7. Тип закупающего органа и основной объект деятельности (</w:t>
      </w:r>
      <w:r>
        <w:rPr>
          <w:rFonts w:ascii="Times New Roman" w:hAnsi="Times New Roman" w:eastAsia="Times New Roman" w:cs="Times New Roman"/>
          <w:b/>
          <w:i/>
          <w:sz w:val="24"/>
          <w:szCs w:val="24"/>
        </w:rPr>
        <w:t>если применимо, указание, что организация-заказчик является центральным закупочным органом или что закупки, предполагают другую форму совместных закупок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>):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u w:val="single"/>
        </w:rPr>
        <w:t>публичное медико-санитарное учреждение</w:t>
      </w:r>
      <w:r>
        <w:rPr>
          <w:rFonts w:ascii="Times New Roman" w:hAnsi="Times New Roman" w:eastAsia="Times New Roman" w:cs="Times New Roman"/>
          <w:sz w:val="24"/>
          <w:szCs w:val="24"/>
        </w:rPr>
        <w:t>.</w:t>
      </w:r>
    </w:p>
    <w:p w14:paraId="373E7B4A">
      <w:pPr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8. Покупатель приглашает заинтересованных экономических операторов, которые могут удовлетворить его потребности, к участию в закупочной процедуре по поставке/ предоставлению следующих товаров:</w:t>
      </w:r>
    </w:p>
    <w:tbl>
      <w:tblPr>
        <w:tblStyle w:val="3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8"/>
        <w:gridCol w:w="951"/>
        <w:gridCol w:w="2189"/>
        <w:gridCol w:w="1176"/>
        <w:gridCol w:w="1286"/>
        <w:gridCol w:w="2111"/>
        <w:gridCol w:w="1427"/>
      </w:tblGrid>
      <w:tr w14:paraId="3C9D82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8F9F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u-RU"/>
              </w:rPr>
              <w:t xml:space="preserve">  №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AFB3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zh-CN"/>
              </w:rPr>
              <w:t>Код  CPV</w:t>
            </w:r>
          </w:p>
        </w:tc>
        <w:tc>
          <w:tcPr>
            <w:tcW w:w="21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507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zh-CN"/>
              </w:rPr>
              <w:t>Наименование  товара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02A8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zh-CN"/>
              </w:rPr>
              <w:t xml:space="preserve">   единица измерения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D8BE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zh-CN"/>
              </w:rPr>
              <w:t>Количество</w:t>
            </w:r>
          </w:p>
        </w:tc>
        <w:tc>
          <w:tcPr>
            <w:tcW w:w="2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C586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it-IT" w:eastAsia="ru-RU"/>
              </w:rPr>
              <w:t>Требуе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u-RU"/>
              </w:rPr>
              <w:t>мая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it-IT" w:eastAsia="ru-RU"/>
              </w:rPr>
              <w:t xml:space="preserve"> полная техническая спецификация, Справочные стандарты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09736B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it-IT" w:eastAsia="ru-RU"/>
              </w:rPr>
              <w:t>Оценочная сумма (указывается для каждого лота)</w:t>
            </w:r>
          </w:p>
        </w:tc>
      </w:tr>
      <w:tr w14:paraId="7ACF6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8" w:type="dxa"/>
          </w:tcPr>
          <w:p w14:paraId="0199A0F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951" w:type="dxa"/>
          </w:tcPr>
          <w:p w14:paraId="7DC02E6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2189" w:type="dxa"/>
          </w:tcPr>
          <w:p w14:paraId="50C0A14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u-RU"/>
              </w:rPr>
              <w:t xml:space="preserve">Лот 1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  <w:t>Produse petroliere</w:t>
            </w:r>
          </w:p>
        </w:tc>
        <w:tc>
          <w:tcPr>
            <w:tcW w:w="1176" w:type="dxa"/>
          </w:tcPr>
          <w:p w14:paraId="08F8C67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1073" w:type="dxa"/>
          </w:tcPr>
          <w:p w14:paraId="4AE18AC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2111" w:type="dxa"/>
          </w:tcPr>
          <w:p w14:paraId="499506A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1427" w:type="dxa"/>
          </w:tcPr>
          <w:p w14:paraId="752DD84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14:paraId="513B4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0D69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>1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BB01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4"/>
                <w:szCs w:val="1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val="ro-RO" w:eastAsia="zh-CN"/>
              </w:rPr>
              <w:t>09132000-3</w:t>
            </w:r>
          </w:p>
          <w:p w14:paraId="1254A62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14"/>
                <w:szCs w:val="14"/>
                <w:lang w:val="ro-RO" w:eastAsia="zh-CN"/>
              </w:rPr>
            </w:pPr>
          </w:p>
        </w:tc>
        <w:tc>
          <w:tcPr>
            <w:tcW w:w="2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76534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>Benzina Premium 95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673F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>литр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7CD6A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 w:eastAsia="zh-CN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>2500</w:t>
            </w:r>
          </w:p>
        </w:tc>
        <w:tc>
          <w:tcPr>
            <w:tcW w:w="2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39669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zh-CN"/>
              </w:rPr>
              <w:t>Cifra octanică research, COR - 95,0; - Aspect limpede și transparent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EE40D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14:paraId="28F12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4ECE0E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>2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DA81C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4"/>
                <w:szCs w:val="1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val="ro-RO" w:eastAsia="zh-CN"/>
              </w:rPr>
              <w:t>09134200-9</w:t>
            </w:r>
          </w:p>
          <w:p w14:paraId="4943DCA2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14"/>
                <w:szCs w:val="14"/>
                <w:lang w:val="ro-RO" w:eastAsia="zh-CN"/>
              </w:rPr>
            </w:pPr>
          </w:p>
        </w:tc>
        <w:tc>
          <w:tcPr>
            <w:tcW w:w="2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3FBE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 w:eastAsia="zh-CN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>Motorina Euro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 5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3D0F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>литр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C38957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u-RU" w:eastAsia="zh-CN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>13000</w:t>
            </w:r>
          </w:p>
        </w:tc>
        <w:tc>
          <w:tcPr>
            <w:tcW w:w="2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895A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 w:eastAsia="ru-RU"/>
              </w:rPr>
              <w:t xml:space="preserve"> Aditivii din motorină nu conţin compuşi ai metalelor şi fosforului. - Cifra cetanică: 51,1 - Punct de inflamabilitate: 58,5°C - Densitate la 15°C: 832,8 kg/m3 - Viscozitate la 40°C: 2,597 mm2/s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116F8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14:paraId="1FA8A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570E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3 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A0F10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14"/>
                <w:szCs w:val="1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val="en-US" w:eastAsia="zh-CN"/>
              </w:rPr>
              <w:t>09133000-0</w:t>
            </w:r>
          </w:p>
        </w:tc>
        <w:tc>
          <w:tcPr>
            <w:tcW w:w="2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09FEC">
            <w:pPr>
              <w:spacing w:after="0" w:line="240" w:lineRule="auto"/>
              <w:rPr>
                <w:rFonts w:ascii="Times New Roman" w:hAnsi="Times New Roman" w:eastAsia="Times New Roman" w:cs="Times New Roman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lang w:val="en-US" w:eastAsia="ru-RU"/>
              </w:rPr>
              <w:t>Gaz lichefiat petrolier</w:t>
            </w:r>
            <w:r>
              <w:rPr>
                <w:rFonts w:ascii="Times New Roman" w:hAnsi="Times New Roman" w:eastAsia="Times New Roman" w:cs="Times New Roman"/>
                <w:lang w:val="ru-RU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val="en-US" w:eastAsia="ru-RU"/>
              </w:rPr>
              <w:t>Auto</w:t>
            </w:r>
          </w:p>
        </w:tc>
        <w:tc>
          <w:tcPr>
            <w:tcW w:w="11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3E2A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lang w:val="ro-RO" w:eastAsia="ru-RU"/>
              </w:rPr>
            </w:pPr>
            <w:r>
              <w:rPr>
                <w:rFonts w:ascii="Times New Roman" w:hAnsi="Times New Roman" w:eastAsia="Times New Roman" w:cs="Times New Roman"/>
                <w:lang w:val="ro-RO" w:eastAsia="ru-RU"/>
              </w:rPr>
              <w:t>литр</w:t>
            </w:r>
          </w:p>
        </w:tc>
        <w:tc>
          <w:tcPr>
            <w:tcW w:w="10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ABB45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lang w:val="ru-RU" w:eastAsia="ru-RU"/>
              </w:rPr>
            </w:pPr>
            <w:r>
              <w:rPr>
                <w:rFonts w:ascii="Times New Roman" w:hAnsi="Times New Roman" w:eastAsia="Times New Roman" w:cs="Times New Roman"/>
                <w:lang w:val="ru-RU" w:eastAsia="ru-RU"/>
              </w:rPr>
              <w:t>200</w:t>
            </w:r>
          </w:p>
        </w:tc>
        <w:tc>
          <w:tcPr>
            <w:tcW w:w="2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F4F306">
            <w:pPr>
              <w:pStyle w:val="148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Cifra octanică „motor” a eșantionului de GPL, min. 89,0; </w:t>
            </w:r>
          </w:p>
          <w:p w14:paraId="631C03F2">
            <w:pPr>
              <w:pStyle w:val="148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- conținutul de diene (inclusiv 1,3-butadienă), max. 0,5; </w:t>
            </w:r>
          </w:p>
          <w:p w14:paraId="1431DE2C">
            <w:pPr>
              <w:pStyle w:val="148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 presiunea de vapori la 40°C, kPA, max. 1550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2507CA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</w:p>
        </w:tc>
      </w:tr>
      <w:tr w14:paraId="405C5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1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9994DD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ru-RU"/>
              </w:rPr>
              <w:t>Общая оценочная стоимость без НДС</w:t>
            </w:r>
          </w:p>
        </w:tc>
        <w:tc>
          <w:tcPr>
            <w:tcW w:w="1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F0C90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u-RU" w:eastAsia="zh-C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val="ru-RU" w:eastAsia="ru-RU"/>
              </w:rPr>
              <w:t>322 000,0</w:t>
            </w:r>
          </w:p>
        </w:tc>
      </w:tr>
    </w:tbl>
    <w:p w14:paraId="0239D081">
      <w:pPr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F00877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В случае процедур предварительного отбора указывается минимальное количество кандидатов и, если применимо, их максимальное количество______________________</w:t>
      </w:r>
      <w:r>
        <w:rPr>
          <w:rFonts w:ascii="Times New Roman" w:hAnsi="Times New Roman" w:eastAsia="Calibri" w:cs="Times New Roman"/>
          <w:bCs/>
          <w:sz w:val="24"/>
          <w:szCs w:val="24"/>
          <w:lang w:eastAsia="ru-RU"/>
        </w:rPr>
        <w:t>не применяется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______________________</w:t>
      </w:r>
    </w:p>
    <w:p w14:paraId="6DCA69C9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В случае разделения контракта на лоты хозяйствующий субъект может подать тендер (на выбор): </w:t>
      </w:r>
      <w:r>
        <w:rPr>
          <w:rFonts w:ascii="Times New Roman" w:hAnsi="Times New Roman" w:eastAsia="Calibri" w:cs="Times New Roman"/>
          <w:sz w:val="24"/>
          <w:szCs w:val="24"/>
          <w:u w:val="single"/>
          <w:lang w:eastAsia="ru-RU"/>
        </w:rPr>
        <w:t>На один лот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  <w:t>.</w:t>
      </w:r>
    </w:p>
    <w:p w14:paraId="6EF3668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Допуск или запрет альтернативных предложений: ___</w:t>
      </w:r>
      <w:r>
        <w:rPr>
          <w:rFonts w:ascii="Times New Roman" w:hAnsi="Times New Roman" w:eastAsia="Calibri" w:cs="Times New Roman"/>
          <w:bCs/>
          <w:sz w:val="24"/>
          <w:szCs w:val="24"/>
          <w:u w:val="single"/>
          <w:lang w:eastAsia="ru-RU"/>
        </w:rPr>
        <w:t>не применяется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________</w:t>
      </w:r>
    </w:p>
    <w:p w14:paraId="177FA05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Необходимые условия доставки / предоставления: __</w:t>
      </w:r>
    </w:p>
    <w:p w14:paraId="0CB2045B">
      <w:pPr>
        <w:pStyle w:val="49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Поставщик постоянно предоставляет покупателю возможность доступа в режиме онлайн к подробной информации о всех покупках топлива, сделанных каждым из его транспортных средств. Возможность для покупателя получить на любом пункте распределения карт информацию об оставшейся стоимости каждой карты. </w:t>
      </w:r>
    </w:p>
    <w:p w14:paraId="403218C8">
      <w:pPr>
        <w:pStyle w:val="49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Поставщик ведет список утерянных или украденных карт и обязан заблокировать/разблокировать их использование в течение 24 часов с момента запроса покупателя.</w:t>
      </w:r>
    </w:p>
    <w:p w14:paraId="210C2E9F">
      <w:pPr>
        <w:pStyle w:val="49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Поставщик обязан гарантировать, что поставляемая продукция соответствует минимальным стандартам загрязнения, утвержденным национальным законодательством, и может поставляться с существующих станций в населенном пункте- г. Чадыр-Лунга. Поставляемое топливо должно качественно соответствовать действующим нормам. Поставщик обеспечивает персонализацию карт на каждое транспортное средство (по регистрационному номеру), настройку карты по типу топлива. </w:t>
      </w:r>
    </w:p>
    <w:p w14:paraId="26191CC4">
      <w:pPr>
        <w:pStyle w:val="49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Поставщик оказывает постоянную помощь 24 часа в сутки, 7 дней в неделю, так что в случае возникновения определенных недостатков в работе топливных карт, Поставщик может решить возникающие проблемы в кратчайшие сроки. </w:t>
      </w:r>
    </w:p>
    <w:p w14:paraId="466FF17B">
      <w:pPr>
        <w:pStyle w:val="49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Поставщик должен указать, все ли карты принимаются на всех станциях АЗС, расположенных в населенных пунктах, указанных в документации по присуждению контракта. Поставщик предоставляет покупателю инструкции по использованию карты. Закупающий орган оставляет за собой право увеличивать или уменьшать количество карт, а также дополнять или уменьшать количество топлива в соответствии с нормативными положениями.</w:t>
      </w:r>
    </w:p>
    <w:p w14:paraId="19C82E29">
      <w:pPr>
        <w:pStyle w:val="49"/>
        <w:ind w:left="0"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6297154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 Срок действия договора: ________</w:t>
      </w:r>
      <w:r>
        <w:rPr>
          <w:rFonts w:ascii="Times New Roman" w:hAnsi="Times New Roman" w:eastAsia="Calibri" w:cs="Times New Roman"/>
          <w:bCs/>
          <w:sz w:val="24"/>
          <w:szCs w:val="24"/>
          <w:u w:val="single"/>
          <w:lang w:eastAsia="ru-RU"/>
        </w:rPr>
        <w:t>с 01.01.2026г. до 31.12.2026г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.______________</w:t>
      </w:r>
    </w:p>
    <w:p w14:paraId="59171E3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Договор на закупку зарезервирован для закрытых мастерских или что он может выполняться только в рамках защищенных программ занятости (где применимо): _______________________________</w:t>
      </w:r>
      <w:r>
        <w:rPr>
          <w:rFonts w:ascii="Times New Roman" w:hAnsi="Times New Roman" w:eastAsia="Calibri" w:cs="Times New Roman"/>
          <w:bCs/>
          <w:sz w:val="24"/>
          <w:szCs w:val="24"/>
          <w:u w:val="single"/>
          <w:lang w:eastAsia="ru-RU"/>
        </w:rPr>
        <w:t>нет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_________________________________________</w:t>
      </w:r>
    </w:p>
    <w:p w14:paraId="0C04BE39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15. Предоставление услуги зарезервировано для определенной профессии в соответствии с определенными законами или административными актами (в зависимости от обстоятельств): _____________________________</w:t>
      </w:r>
      <w:r>
        <w:rPr>
          <w:rFonts w:ascii="Times New Roman" w:hAnsi="Times New Roman" w:eastAsia="Calibri" w:cs="Times New Roman"/>
          <w:bCs/>
          <w:sz w:val="24"/>
          <w:szCs w:val="24"/>
          <w:u w:val="single"/>
          <w:lang w:eastAsia="ru-RU"/>
        </w:rPr>
        <w:t>нет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________________________________________</w:t>
      </w:r>
    </w:p>
    <w:p w14:paraId="2D024EE6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eastAsia="Calibri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vertAlign w:val="superscript"/>
          <w:lang w:eastAsia="ru-RU"/>
        </w:rPr>
        <w:t xml:space="preserve">                                    (указываются соответствующие акты, имеющие   законную силу и    административные   акты)</w:t>
      </w:r>
    </w:p>
    <w:p w14:paraId="277AA91A">
      <w:pPr>
        <w:shd w:val="clear" w:color="auto" w:fill="FFFFFF"/>
        <w:tabs>
          <w:tab w:val="right" w:pos="426"/>
        </w:tabs>
        <w:spacing w:before="120"/>
        <w:jc w:val="both"/>
        <w:rPr>
          <w:rFonts w:ascii="Times New Roman" w:hAnsi="Times New Roman" w:eastAsia="Calibri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16.Краткое описание критериев приемлемости экономических операторов, которые могут определять их исключение, и критериев отбора/ предварительного отбора; минимальный уровень требований, которые могут быть наложены; предоставить запрашиваемую информацию </w:t>
      </w:r>
      <w:r>
        <w:rPr>
          <w:rFonts w:ascii="Times New Roman" w:hAnsi="Times New Roman" w:eastAsia="Calibri" w:cs="Times New Roman"/>
          <w:b/>
          <w:sz w:val="24"/>
          <w:szCs w:val="24"/>
          <w:lang w:val="en-US" w:eastAsia="ru-RU"/>
        </w:rPr>
        <w:t>(ЕЕДЗ,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b/>
          <w:sz w:val="24"/>
          <w:szCs w:val="24"/>
          <w:lang w:val="en-US" w:eastAsia="ru-RU"/>
        </w:rPr>
        <w:t>документация):</w:t>
      </w:r>
    </w:p>
    <w:tbl>
      <w:tblPr>
        <w:tblStyle w:val="11"/>
        <w:tblW w:w="10348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4253"/>
        <w:gridCol w:w="4111"/>
        <w:gridCol w:w="1417"/>
      </w:tblGrid>
      <w:tr w14:paraId="4A6BF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  <w:tcBorders>
              <w:bottom w:val="single" w:color="auto" w:sz="4" w:space="0"/>
            </w:tcBorders>
            <w:shd w:val="clear" w:color="auto" w:fill="FFFFFF" w:themeFill="background1"/>
          </w:tcPr>
          <w:p w14:paraId="3ADB1584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4253" w:type="dxa"/>
            <w:tcBorders>
              <w:bottom w:val="single" w:color="auto" w:sz="4" w:space="0"/>
            </w:tcBorders>
            <w:shd w:val="clear" w:color="auto" w:fill="FFFFFF" w:themeFill="background1"/>
          </w:tcPr>
          <w:p w14:paraId="01D52FD7">
            <w:pPr>
              <w:tabs>
                <w:tab w:val="left" w:pos="612"/>
              </w:tabs>
              <w:spacing w:line="240" w:lineRule="atLeast"/>
              <w:jc w:val="center"/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  <w:t>Критерии квалификации и отбора</w:t>
            </w:r>
          </w:p>
        </w:tc>
        <w:tc>
          <w:tcPr>
            <w:tcW w:w="4111" w:type="dxa"/>
            <w:tcBorders>
              <w:bottom w:val="single" w:color="auto" w:sz="4" w:space="0"/>
            </w:tcBorders>
            <w:shd w:val="clear" w:color="auto" w:fill="FFFFFF" w:themeFill="background1"/>
          </w:tcPr>
          <w:p w14:paraId="5DB4AF07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  <w:t>Способ демонстрирования выполнения кри</w:t>
            </w:r>
          </w:p>
          <w:p w14:paraId="6A98F823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  <w:t>терия/требования</w:t>
            </w:r>
          </w:p>
        </w:tc>
        <w:tc>
          <w:tcPr>
            <w:tcW w:w="1417" w:type="dxa"/>
            <w:tcBorders>
              <w:bottom w:val="single" w:color="auto" w:sz="4" w:space="0"/>
            </w:tcBorders>
            <w:shd w:val="clear" w:color="auto" w:fill="FFFFFF" w:themeFill="background1"/>
          </w:tcPr>
          <w:p w14:paraId="097436EE">
            <w:pPr>
              <w:tabs>
                <w:tab w:val="left" w:pos="612"/>
              </w:tabs>
              <w:spacing w:line="240" w:lineRule="atLeast"/>
              <w:jc w:val="center"/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iCs/>
                <w:sz w:val="20"/>
                <w:szCs w:val="20"/>
              </w:rPr>
              <w:t>Минимальный уровень/обязательство</w:t>
            </w:r>
          </w:p>
        </w:tc>
      </w:tr>
      <w:tr w14:paraId="11EB2F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AAD235F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  <w:t>1</w:t>
            </w:r>
          </w:p>
        </w:tc>
        <w:tc>
          <w:tcPr>
            <w:tcW w:w="4253" w:type="dxa"/>
          </w:tcPr>
          <w:p w14:paraId="4F32BC0B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en-US"/>
              </w:rPr>
              <w:t>DUAE</w:t>
            </w:r>
          </w:p>
        </w:tc>
        <w:tc>
          <w:tcPr>
            <w:tcW w:w="4111" w:type="dxa"/>
          </w:tcPr>
          <w:p w14:paraId="6864C53D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Согласно стандартного формуляра</w:t>
            </w: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en-US"/>
              </w:rPr>
              <w:t>DUAE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, утвержденного приказом Министерства Финансов №72/2020.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7CEFADCB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6F595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5" w:hRule="atLeast"/>
        </w:trPr>
        <w:tc>
          <w:tcPr>
            <w:tcW w:w="567" w:type="dxa"/>
          </w:tcPr>
          <w:p w14:paraId="068AD504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  <w:t>2</w:t>
            </w:r>
          </w:p>
        </w:tc>
        <w:tc>
          <w:tcPr>
            <w:tcW w:w="4253" w:type="dxa"/>
          </w:tcPr>
          <w:p w14:paraId="171AA9D0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Заявка на участие</w:t>
            </w:r>
          </w:p>
        </w:tc>
        <w:tc>
          <w:tcPr>
            <w:tcW w:w="4111" w:type="dxa"/>
          </w:tcPr>
          <w:p w14:paraId="74F13C3E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Заполненная согласно приложения № 7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65A112C1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1DC0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14E8A73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  <w:t>3</w:t>
            </w:r>
          </w:p>
        </w:tc>
        <w:tc>
          <w:tcPr>
            <w:tcW w:w="4253" w:type="dxa"/>
          </w:tcPr>
          <w:p w14:paraId="4D22366B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Декларация о действительности оферты</w:t>
            </w:r>
          </w:p>
        </w:tc>
        <w:tc>
          <w:tcPr>
            <w:tcW w:w="4111" w:type="dxa"/>
          </w:tcPr>
          <w:p w14:paraId="348E7C24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Заполненная согласно приложения № 8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593D3FAD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55DA8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BA4EC13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4</w:t>
            </w:r>
          </w:p>
        </w:tc>
        <w:tc>
          <w:tcPr>
            <w:tcW w:w="4253" w:type="dxa"/>
          </w:tcPr>
          <w:p w14:paraId="210151F9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Технические спецификации</w:t>
            </w:r>
          </w:p>
        </w:tc>
        <w:tc>
          <w:tcPr>
            <w:tcW w:w="4111" w:type="dxa"/>
          </w:tcPr>
          <w:p w14:paraId="4AB2725B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Заполненные согласно приложения № 22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</w:tc>
        <w:tc>
          <w:tcPr>
            <w:tcW w:w="1417" w:type="dxa"/>
          </w:tcPr>
          <w:p w14:paraId="3AD9F00A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5C170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B8B1C1F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5</w:t>
            </w:r>
          </w:p>
        </w:tc>
        <w:tc>
          <w:tcPr>
            <w:tcW w:w="4253" w:type="dxa"/>
          </w:tcPr>
          <w:p w14:paraId="62C2A6D4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Ценовые спецификации</w:t>
            </w:r>
          </w:p>
        </w:tc>
        <w:tc>
          <w:tcPr>
            <w:tcW w:w="4111" w:type="dxa"/>
          </w:tcPr>
          <w:p w14:paraId="70F38854">
            <w:pPr>
              <w:spacing w:line="240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Заполненные согласно приложения № 23 к Стандартной документации для осуществления государственных закупок товаров и услуг, утвержденной приказом Министерства Финансов № 115 от 15.09.2021г.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Обязательное подписание электронной подписью Участника.</w:t>
            </w:r>
          </w:p>
          <w:p w14:paraId="58C02A5A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 Цена за литр предложенного топлива будет той, которая указана на заправочных станциях участника торгов с применением предложенной скидки. </w:t>
            </w:r>
          </w:p>
          <w:p w14:paraId="5F25AD10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Поставщик должен предоставить закупающему органу возможность устанавливать индивидуальные лимиты стоимости для каждой карты, в том числе изменять их в смысле увеличения или уменьшения. Предлагаемая цена за единицу - это средняя цена, рассчитанная участником торгов с использованием цен, отображаемых на информационных панелях на всех станциях в местности / регионе, указанных в документации по присуждению контракта, в течение 15 дней до даты публикации уведомления об участии в  Бюллетене государственных закупок.</w:t>
            </w:r>
          </w:p>
          <w:p w14:paraId="254A1AAC">
            <w:pPr>
              <w:pStyle w:val="49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Расчет цены за единицу производится по формуле:</w:t>
            </w:r>
          </w:p>
          <w:p w14:paraId="476FC0F4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>Pu</m:t>
                </m:r>
                <m:r>
                  <m:rPr/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Cambria Math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Cambria Math"/>
                          </w:rPr>
                          <m:t>M1+M2+…+M15</m:t>
                        </m:r>
                        <m:ctrlPr>
                          <w:rPr>
                            <w:rFonts w:ascii="Cambria Math" w:hAnsi="Cambria Math" w:cs="Cambria Math"/>
                          </w:rPr>
                        </m:ctrlPr>
                      </m:e>
                    </m:d>
                    <m:ctrlPr>
                      <w:rPr>
                        <w:rFonts w:ascii="Cambria Math" w:hAnsi="Cambria Math"/>
                      </w:rPr>
                    </m:ctrlPr>
                  </m:num>
                  <m:den>
                    <m:r>
                      <m:rPr/>
                      <w:rPr>
                        <w:rFonts w:ascii="Cambria Math" w:hAnsi="Cambria Math"/>
                      </w:rPr>
                      <m:t>15</m:t>
                    </m:r>
                    <m:ctrlPr>
                      <w:rPr>
                        <w:rFonts w:ascii="Cambria Math" w:hAnsi="Cambria Math"/>
                      </w:rPr>
                    </m:ctrlPr>
                  </m:den>
                </m:f>
                <m:r>
                  <m:rPr/>
                  <w:rPr>
                    <w:rFonts w:ascii="Cambria Math" w:hAnsi="Cambria Math"/>
                  </w:rPr>
                  <m:t>−D%</m:t>
                </m:r>
              </m:oMath>
            </m:oMathPara>
          </w:p>
          <w:p w14:paraId="472D3E97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Где,</w:t>
            </w:r>
          </w:p>
          <w:p w14:paraId="2DC7136E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Pu - представляет собой предлагаемую цену за единицу;</w:t>
            </w:r>
          </w:p>
          <w:p w14:paraId="49411E01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M1 - представляет собой среднее значение цен, отображаемых на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всех станциях в населенном пункте / регионе, указанном в пункте 1</w:t>
            </w: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, за первый день;</w:t>
            </w:r>
          </w:p>
          <w:p w14:paraId="6228EB4C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M2– представляет собой среднее значение цен, отображаемых на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всех станциях в населенном пункте / регионе, указанном в пункте 1</w:t>
            </w: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, на следующий день;</w:t>
            </w:r>
          </w:p>
          <w:p w14:paraId="56D7A1C4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M15– представляет собой среднее значение цен, отображаемых на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u-RU"/>
              </w:rPr>
              <w:t>всех станциях в населенном пункте / регионе, указанном в пункте 1</w:t>
            </w: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, на пятнадцатый день;</w:t>
            </w:r>
          </w:p>
          <w:p w14:paraId="6086FD7D">
            <w:pPr>
              <w:pStyle w:val="49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D% - представляет собой примененную скидку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417" w:type="dxa"/>
          </w:tcPr>
          <w:p w14:paraId="35B78285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6E778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A8980E3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6</w:t>
            </w:r>
          </w:p>
        </w:tc>
        <w:tc>
          <w:tcPr>
            <w:tcW w:w="4253" w:type="dxa"/>
          </w:tcPr>
          <w:p w14:paraId="08228E69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Доказательство регистрации юридического лица в соответствии с законодательными положениями страны, в которой офертант зарегистрирован.</w:t>
            </w:r>
          </w:p>
        </w:tc>
        <w:tc>
          <w:tcPr>
            <w:tcW w:w="4111" w:type="dxa"/>
          </w:tcPr>
          <w:p w14:paraId="30BE150F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Certificat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/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/>
              </w:rPr>
              <w:t>extras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регистрации экономического оператора. Копия- обязательно заверенная электронной подписью Участника.</w:t>
            </w:r>
          </w:p>
        </w:tc>
        <w:tc>
          <w:tcPr>
            <w:tcW w:w="1417" w:type="dxa"/>
          </w:tcPr>
          <w:p w14:paraId="073A9BCC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1F3EE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BBD1979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7</w:t>
            </w:r>
          </w:p>
        </w:tc>
        <w:tc>
          <w:tcPr>
            <w:tcW w:w="4253" w:type="dxa"/>
          </w:tcPr>
          <w:p w14:paraId="20872CAC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Финансовый рапорт/финансовая ситуация</w:t>
            </w:r>
          </w:p>
        </w:tc>
        <w:tc>
          <w:tcPr>
            <w:tcW w:w="4111" w:type="dxa"/>
          </w:tcPr>
          <w:p w14:paraId="7CC983BE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Последний финансовый рапорт/финансовая ситуация- копия, обязательно заверенная электронной подписью Участника.</w:t>
            </w:r>
          </w:p>
        </w:tc>
        <w:tc>
          <w:tcPr>
            <w:tcW w:w="1417" w:type="dxa"/>
          </w:tcPr>
          <w:p w14:paraId="59D0183E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26EE9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AE61E74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8</w:t>
            </w:r>
          </w:p>
        </w:tc>
        <w:tc>
          <w:tcPr>
            <w:tcW w:w="4253" w:type="dxa"/>
          </w:tcPr>
          <w:p w14:paraId="792B3635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Лицензия на деятельность</w:t>
            </w:r>
          </w:p>
        </w:tc>
        <w:tc>
          <w:tcPr>
            <w:tcW w:w="4111" w:type="dxa"/>
          </w:tcPr>
          <w:p w14:paraId="09CB88F1">
            <w:pPr>
              <w:tabs>
                <w:tab w:val="left" w:pos="612"/>
              </w:tabs>
              <w:spacing w:line="240" w:lineRule="atLeast"/>
              <w:jc w:val="both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Копия- обязательно заверенная электронной подписью Участника.</w:t>
            </w:r>
          </w:p>
        </w:tc>
        <w:tc>
          <w:tcPr>
            <w:tcW w:w="1417" w:type="dxa"/>
          </w:tcPr>
          <w:p w14:paraId="6051386D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6E144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9BA2F3F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9</w:t>
            </w:r>
          </w:p>
        </w:tc>
        <w:tc>
          <w:tcPr>
            <w:tcW w:w="4253" w:type="dxa"/>
          </w:tcPr>
          <w:p w14:paraId="66B34F1D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Сертификат соответствия или другой эквивалентный сертификат, подтверждающий качество предложенной продукции ГСМ</w:t>
            </w:r>
          </w:p>
        </w:tc>
        <w:tc>
          <w:tcPr>
            <w:tcW w:w="4111" w:type="dxa"/>
          </w:tcPr>
          <w:p w14:paraId="07EEF377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Копия- обязательно заверенная электронной подписью Участника</w:t>
            </w:r>
          </w:p>
        </w:tc>
        <w:tc>
          <w:tcPr>
            <w:tcW w:w="1417" w:type="dxa"/>
          </w:tcPr>
          <w:p w14:paraId="74FECD3B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  <w:tr w14:paraId="72C1C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67" w:type="dxa"/>
          </w:tcPr>
          <w:p w14:paraId="1B359CAC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iCs/>
                <w:sz w:val="20"/>
                <w:szCs w:val="20"/>
              </w:rPr>
              <w:t>10</w:t>
            </w:r>
          </w:p>
        </w:tc>
        <w:tc>
          <w:tcPr>
            <w:tcW w:w="4253" w:type="dxa"/>
          </w:tcPr>
          <w:p w14:paraId="72C83B63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Перечень с адресами автозаправочных станций</w:t>
            </w:r>
          </w:p>
        </w:tc>
        <w:tc>
          <w:tcPr>
            <w:tcW w:w="4111" w:type="dxa"/>
          </w:tcPr>
          <w:p w14:paraId="069B3B0E">
            <w:pPr>
              <w:tabs>
                <w:tab w:val="left" w:pos="612"/>
              </w:tabs>
              <w:spacing w:line="240" w:lineRule="atLeast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>Копия- обязательно заверенная электронной подписью Участника. Автозаправочные станции должны располагаться в черте города Чадыр-Лунга.</w:t>
            </w:r>
          </w:p>
        </w:tc>
        <w:tc>
          <w:tcPr>
            <w:tcW w:w="1417" w:type="dxa"/>
          </w:tcPr>
          <w:p w14:paraId="0C3545C1">
            <w:pPr>
              <w:tabs>
                <w:tab w:val="left" w:pos="612"/>
              </w:tabs>
              <w:spacing w:line="240" w:lineRule="atLeast"/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Обязательно прикрепить на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SIA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18"/>
                <w:szCs w:val="18"/>
                <w:lang w:val="en-US"/>
              </w:rPr>
              <w:t>RSAP</w:t>
            </w:r>
          </w:p>
        </w:tc>
      </w:tr>
    </w:tbl>
    <w:p w14:paraId="68A5691F">
      <w:pPr>
        <w:tabs>
          <w:tab w:val="right" w:pos="426"/>
        </w:tabs>
        <w:spacing w:before="120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</w:p>
    <w:p w14:paraId="0484F1BB">
      <w:pPr>
        <w:numPr>
          <w:ilvl w:val="0"/>
          <w:numId w:val="4"/>
        </w:numP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Обеспечение оферты, в зависимости от обстоятельств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- гарантия оферты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, размер __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1%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___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без НДС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__</w:t>
      </w:r>
    </w:p>
    <w:p w14:paraId="05A281CF">
      <w:pPr>
        <w:numPr>
          <w:numId w:val="0"/>
        </w:numPr>
        <w:jc w:val="left"/>
        <w:rPr>
          <w:sz w:val="24"/>
          <w:szCs w:val="24"/>
          <w:highlight w:val="none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highlight w:val="none"/>
          <w:lang w:val="ru-RU"/>
        </w:rPr>
        <w:t>реквизиты для банковской гарантии</w:t>
      </w:r>
      <w:r>
        <w:rPr>
          <w:sz w:val="24"/>
          <w:szCs w:val="24"/>
          <w:highlight w:val="none"/>
          <w:lang w:val="en-US"/>
        </w:rPr>
        <w:t xml:space="preserve"> </w:t>
      </w:r>
    </w:p>
    <w:p w14:paraId="58A23FED">
      <w:pPr>
        <w:tabs>
          <w:tab w:val="right" w:pos="426"/>
        </w:tabs>
        <w:spacing w:before="120"/>
        <w:ind w:left="240" w:leftChars="109" w:firstLine="0" w:firstLineChars="0"/>
        <w:jc w:val="left"/>
        <w:rPr>
          <w:rFonts w:hint="default" w:ascii="Times New Roman" w:hAnsi="Times New Roman" w:eastAsia="Calibri" w:cs="Times New Roman"/>
          <w:b/>
          <w:sz w:val="24"/>
          <w:szCs w:val="24"/>
          <w:lang w:val="it-IT" w:eastAsia="ru-RU"/>
        </w:rPr>
      </w:pP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IMSP Spitalul Raional Ceadîr-Lunga MD-6103 mun. Ceadîr- Lunga str. Miciurin 2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c/f 1003611151227 BC «Moldindcombank» SA fil. Cead</w:t>
      </w:r>
      <w:r>
        <w:rPr>
          <w:rFonts w:hint="default" w:ascii="Times New Roman" w:hAnsi="Times New Roman" w:cs="Times New Roman"/>
          <w:sz w:val="24"/>
          <w:szCs w:val="24"/>
        </w:rPr>
        <w:t>î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r</w:t>
      </w:r>
      <w:r>
        <w:rPr>
          <w:rFonts w:hint="default" w:ascii="Times New Roman" w:hAnsi="Times New Roman" w:cs="Times New Roman"/>
          <w:sz w:val="24"/>
          <w:szCs w:val="24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Lunga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MOLDMD</w:t>
      </w:r>
      <w:r>
        <w:rPr>
          <w:rFonts w:hint="default" w:ascii="Times New Roman" w:hAnsi="Times New Roman" w:cs="Times New Roman"/>
          <w:sz w:val="24"/>
          <w:szCs w:val="24"/>
        </w:rPr>
        <w:t>2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X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IBAN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MD</w:t>
      </w:r>
      <w:r>
        <w:rPr>
          <w:rFonts w:hint="default" w:ascii="Times New Roman" w:hAnsi="Times New Roman" w:cs="Times New Roman"/>
          <w:sz w:val="24"/>
          <w:szCs w:val="24"/>
        </w:rPr>
        <w:t>41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ML</w:t>
      </w:r>
      <w:r>
        <w:rPr>
          <w:rFonts w:hint="default" w:ascii="Times New Roman" w:hAnsi="Times New Roman" w:cs="Times New Roman"/>
          <w:sz w:val="24"/>
          <w:szCs w:val="24"/>
        </w:rPr>
        <w:t>000000000225134359</w:t>
      </w:r>
      <w:bookmarkStart w:id="0" w:name="_GoBack"/>
      <w:bookmarkEnd w:id="0"/>
    </w:p>
    <w:p w14:paraId="2E5BA98D">
      <w:pPr>
        <w:tabs>
          <w:tab w:val="right" w:pos="426"/>
        </w:tabs>
        <w:spacing w:before="120"/>
        <w:jc w:val="both"/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18. Обеспечение надлежащего исполнения договора, при необходимости ______________, размер ___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 от стоимости контракта с НДС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____.</w:t>
      </w:r>
    </w:p>
    <w:p w14:paraId="0D844DDC">
      <w:pPr>
        <w:tabs>
          <w:tab w:val="right" w:pos="426"/>
        </w:tabs>
        <w:spacing w:before="120"/>
        <w:jc w:val="both"/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19. Причина обращения к ускоренной процедуре (в случае открытого, ограниченного конкурса и переговорной процедуры), в зависимости от обстоятельств ___________________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не применяется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_______________________________</w:t>
      </w:r>
    </w:p>
    <w:p w14:paraId="27AB96EA">
      <w:pPr>
        <w:tabs>
          <w:tab w:val="right" w:pos="426"/>
        </w:tabs>
        <w:spacing w:before="120"/>
        <w:jc w:val="both"/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20. Конкретные методы и инструменты присуждения контрактов (если применимо, укажите, будет ли использоваться рамочное соглашение, динамическая система закупок или электронный аукцион): ________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___________</w:t>
      </w:r>
    </w:p>
    <w:p w14:paraId="7CC94600">
      <w:pPr>
        <w:tabs>
          <w:tab w:val="right" w:pos="426"/>
        </w:tabs>
        <w:spacing w:before="120"/>
        <w:jc w:val="both"/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21. Особые условия, от которых зависит выполнение контракта (указать, где это применимо): _____________________________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-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_________________________________</w:t>
      </w:r>
    </w:p>
    <w:p w14:paraId="508F7AA4">
      <w:pPr>
        <w:tabs>
          <w:tab w:val="right" w:pos="426"/>
        </w:tabs>
        <w:spacing w:before="120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22. Предложения представлены в иностранной валюте ___________</w:t>
      </w:r>
      <w:r>
        <w:rPr>
          <w:rFonts w:ascii="Times New Roman" w:hAnsi="Times New Roman" w:eastAsia="Calibri" w:cs="Times New Roman"/>
          <w:bCs/>
          <w:sz w:val="24"/>
          <w:szCs w:val="24"/>
          <w:u w:val="single"/>
          <w:lang w:val="it-IT" w:eastAsia="ru-RU"/>
        </w:rPr>
        <w:t>_</w:t>
      </w:r>
      <w:r>
        <w:rPr>
          <w:rFonts w:ascii="Times New Roman" w:hAnsi="Times New Roman" w:eastAsia="Calibri" w:cs="Times New Roman"/>
          <w:bCs/>
          <w:sz w:val="24"/>
          <w:szCs w:val="24"/>
          <w:u w:val="single"/>
          <w:lang w:eastAsia="ru-RU"/>
        </w:rPr>
        <w:t>нет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________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_</w:t>
      </w:r>
    </w:p>
    <w:p w14:paraId="2B60BD2C">
      <w:pPr>
        <w:tabs>
          <w:tab w:val="right" w:pos="426"/>
        </w:tabs>
        <w:spacing w:before="120"/>
        <w:jc w:val="both"/>
        <w:rPr>
          <w:rFonts w:ascii="Times New Roman" w:hAnsi="Times New Roman" w:eastAsia="Calibri" w:cs="Times New Roman"/>
          <w:b/>
          <w:bCs w:val="0"/>
          <w:sz w:val="24"/>
          <w:szCs w:val="24"/>
          <w:lang w:val="it-IT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23. Критерии оценки, применяемые для присуждения контракта: ___</w:t>
      </w:r>
      <w:r>
        <w:rPr>
          <w:rFonts w:ascii="Times New Roman" w:hAnsi="Times New Roman" w:eastAsia="Calibri" w:cs="Times New Roman"/>
          <w:b/>
          <w:bCs w:val="0"/>
          <w:sz w:val="24"/>
          <w:szCs w:val="24"/>
          <w:u w:val="single"/>
          <w:lang w:eastAsia="ru-RU"/>
        </w:rPr>
        <w:t>Оценка будет осуществляться  по целому лоту, по самой низкой цене без НДС, при соответствии всем заявленным требованиям, и расположении АЗС в г. Чадыр-Лунга</w:t>
      </w:r>
      <w:r>
        <w:rPr>
          <w:rFonts w:ascii="Times New Roman" w:hAnsi="Times New Roman" w:eastAsia="Calibri" w:cs="Times New Roman"/>
          <w:b/>
          <w:bCs w:val="0"/>
          <w:sz w:val="24"/>
          <w:szCs w:val="24"/>
          <w:lang w:eastAsia="ru-RU"/>
        </w:rPr>
        <w:t>.</w:t>
      </w:r>
    </w:p>
    <w:p w14:paraId="3946016C">
      <w:pPr>
        <w:tabs>
          <w:tab w:val="right" w:pos="426"/>
        </w:tabs>
        <w:spacing w:before="120"/>
        <w:ind w:left="360"/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24. Факторы оценки наиболее экономически выгодно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й  оферты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 xml:space="preserve"> и их </w:t>
      </w: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значимость</w:t>
      </w:r>
      <w:r>
        <w:rPr>
          <w:rFonts w:ascii="Times New Roman" w:hAnsi="Times New Roman" w:eastAsia="Calibri" w:cs="Times New Roman"/>
          <w:b/>
          <w:sz w:val="24"/>
          <w:szCs w:val="24"/>
          <w:lang w:val="it-IT" w:eastAsia="ru-RU"/>
        </w:rPr>
        <w:t>: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4"/>
        <w:gridCol w:w="6649"/>
        <w:gridCol w:w="1768"/>
      </w:tblGrid>
      <w:tr w14:paraId="5C3DE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4DB16E2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eastAsia="Calibri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6649" w:type="dxa"/>
          </w:tcPr>
          <w:p w14:paraId="2ADC2A9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eastAsia="Calibri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16"/>
                <w:szCs w:val="16"/>
                <w:lang w:eastAsia="ru-RU"/>
              </w:rPr>
              <w:t>Название фактора оценки</w:t>
            </w:r>
          </w:p>
        </w:tc>
        <w:tc>
          <w:tcPr>
            <w:tcW w:w="1768" w:type="dxa"/>
          </w:tcPr>
          <w:p w14:paraId="5B5B64F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eastAsia="Calibri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iCs/>
                <w:sz w:val="16"/>
                <w:szCs w:val="16"/>
                <w:lang w:eastAsia="ru-RU"/>
              </w:rPr>
              <w:t>Значимость %</w:t>
            </w:r>
          </w:p>
        </w:tc>
      </w:tr>
      <w:tr w14:paraId="371A5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4" w:type="dxa"/>
          </w:tcPr>
          <w:p w14:paraId="4DF5250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eastAsia="Calibri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6649" w:type="dxa"/>
          </w:tcPr>
          <w:p w14:paraId="509BA27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eastAsia="Calibri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68" w:type="dxa"/>
          </w:tcPr>
          <w:p w14:paraId="7DB580C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eastAsia="Calibri" w:cs="Times New Roman"/>
                <w:iCs/>
                <w:sz w:val="16"/>
                <w:szCs w:val="16"/>
                <w:lang w:eastAsia="ru-RU"/>
              </w:rPr>
            </w:pPr>
          </w:p>
        </w:tc>
      </w:tr>
      <w:tr w14:paraId="07001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564" w:type="dxa"/>
          </w:tcPr>
          <w:p w14:paraId="0987F08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eastAsia="Calibri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6649" w:type="dxa"/>
          </w:tcPr>
          <w:p w14:paraId="3F23B74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eastAsia="Calibri" w:cs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1768" w:type="dxa"/>
          </w:tcPr>
          <w:p w14:paraId="583BBE4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eastAsia="Calibri" w:cs="Times New Roman"/>
                <w:iCs/>
                <w:sz w:val="16"/>
                <w:szCs w:val="16"/>
                <w:lang w:eastAsia="ru-RU"/>
              </w:rPr>
            </w:pPr>
          </w:p>
        </w:tc>
      </w:tr>
    </w:tbl>
    <w:p w14:paraId="2A2689A4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25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Крайний срок подачи / вскрытия оферт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</w:t>
      </w:r>
    </w:p>
    <w:p w14:paraId="237B1DAA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- по данным АИС ГРГЗ / до: [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точное время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] ___согласно 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”  _____</w:t>
      </w:r>
    </w:p>
    <w:p w14:paraId="452DC85E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>-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Дата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___________ согласно _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”  _________________________________</w:t>
      </w:r>
    </w:p>
    <w:p w14:paraId="086C8E2D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26.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Адрес, по которому должны быть отправлены оферты или заявки на участие:</w:t>
      </w:r>
    </w:p>
    <w:p w14:paraId="47970786">
      <w:pPr>
        <w:pStyle w:val="148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Cs/>
          <w:sz w:val="24"/>
          <w:szCs w:val="24"/>
          <w:lang w:val="ru-RU" w:eastAsia="ru-RU"/>
        </w:rPr>
        <w:t>Оферты или заявки на участие будут подаваться в электронном виде через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” </w:t>
      </w:r>
    </w:p>
    <w:p w14:paraId="08087BD8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27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действия оферт: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____________________30 дней________________________</w:t>
      </w:r>
    </w:p>
    <w:p w14:paraId="03F4F9EA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28.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Место открытия торгов: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__________________ </w:t>
      </w:r>
      <w:r>
        <w:rPr>
          <w:rFonts w:ascii="Times New Roman" w:hAnsi="Times New Roman" w:cs="Times New Roman"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” ________________</w:t>
      </w:r>
    </w:p>
    <w:p w14:paraId="6824397B">
      <w:pPr>
        <w:pStyle w:val="148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Оферты, поданные с опозданием, будут отклонены.</w:t>
      </w:r>
    </w:p>
    <w:p w14:paraId="50BE1BB8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29.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Лица, имеющие право присутствовать при вскрытии  оферт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</w:t>
      </w:r>
    </w:p>
    <w:p w14:paraId="283A3B3C">
      <w:pPr>
        <w:pStyle w:val="148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Оференты или их представители имеют право участвовать в открытии оферт, если оферты не были поданы через 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i/>
          <w:iCs/>
          <w:sz w:val="24"/>
          <w:szCs w:val="24"/>
          <w:lang w:val="ru-RU" w:eastAsia="ru-RU"/>
        </w:rPr>
        <w:t xml:space="preserve"> “</w:t>
      </w:r>
      <w:r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i/>
          <w:iCs/>
          <w:sz w:val="24"/>
          <w:szCs w:val="24"/>
          <w:lang w:val="ru-RU" w:eastAsia="ru-RU"/>
        </w:rPr>
        <w:t>”.</w:t>
      </w:r>
    </w:p>
    <w:p w14:paraId="5CFF3B05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30.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Язык или языки, на которых должны быть составлены оферты или заявки на участие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 ___</w:t>
      </w:r>
      <w:r>
        <w:rPr>
          <w:rFonts w:ascii="Times New Roman" w:hAnsi="Times New Roman" w:cs="Times New Roman"/>
          <w:bCs/>
          <w:sz w:val="24"/>
          <w:szCs w:val="24"/>
          <w:u w:val="single"/>
          <w:lang w:val="ru-RU" w:eastAsia="ru-RU"/>
        </w:rPr>
        <w:t>русский или государственный языки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__________________</w:t>
      </w:r>
    </w:p>
    <w:p w14:paraId="6F643CCD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31.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Соответствующий договор относится к проекту и / или программе, финансируемым за счет средств Европейского Союза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 _____________________-______</w:t>
      </w:r>
    </w:p>
    <w:p w14:paraId="737D655A">
      <w:pPr>
        <w:pStyle w:val="148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32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Название и адрес органа, ответственного за разрешение споров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:</w:t>
      </w:r>
    </w:p>
    <w:p w14:paraId="2CA628A7">
      <w:pPr>
        <w:pStyle w:val="148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Национальное агентство по рассмотрению жалоб</w:t>
      </w:r>
    </w:p>
    <w:p w14:paraId="7D726B5A">
      <w:pPr>
        <w:pStyle w:val="148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Адрес: мун. Кишинев, бул. Штефан чел Маре ши Сфынт № 124 (4-й этаж),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MD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 2001;</w:t>
      </w:r>
    </w:p>
    <w:p w14:paraId="298D4FFC">
      <w:pPr>
        <w:pStyle w:val="148"/>
        <w:jc w:val="both"/>
        <w:rPr>
          <w:rFonts w:ascii="Times New Roman" w:hAnsi="Times New Roman" w:cs="Times New Roman"/>
          <w:i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 xml:space="preserve">Тел / факс / электронная почта: 022-820 652, 022 820-651, 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contestatii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@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ansc</w:t>
      </w:r>
      <w:r>
        <w:rPr>
          <w:rFonts w:ascii="Times New Roman" w:hAnsi="Times New Roman" w:cs="Times New Roman"/>
          <w:i/>
          <w:sz w:val="24"/>
          <w:szCs w:val="24"/>
          <w:lang w:val="ru-RU" w:eastAsia="ru-RU"/>
        </w:rPr>
        <w:t>.</w:t>
      </w:r>
      <w:r>
        <w:rPr>
          <w:rFonts w:ascii="Times New Roman" w:hAnsi="Times New Roman" w:cs="Times New Roman"/>
          <w:i/>
          <w:sz w:val="24"/>
          <w:szCs w:val="24"/>
          <w:lang w:eastAsia="ru-RU"/>
        </w:rPr>
        <w:t>md</w:t>
      </w:r>
    </w:p>
    <w:p w14:paraId="2D424CCA">
      <w:pPr>
        <w:pStyle w:val="148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33. 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Дата (даты) и ссылки на предыдущие публикации в Официальном журнале Европейского Союза, касающиеся договора (ов), к которому относится это уведомление (если применимо): _____________________________________</w:t>
      </w:r>
    </w:p>
    <w:p w14:paraId="6388BDD8">
      <w:pPr>
        <w:pStyle w:val="148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34. В случае регулярных покупок предполагаемые сроки публикации будущих уведомлений: ______________________________________________________</w:t>
      </w:r>
    </w:p>
    <w:p w14:paraId="0FE7E6DB">
      <w:pPr>
        <w:pStyle w:val="148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35. Дата публикации уведомления о намерениях или, если применимо, указание на то, что такое уведомление не публиковалось: ___________не применяется_________</w:t>
      </w:r>
    </w:p>
    <w:p w14:paraId="4E901BCD">
      <w:pPr>
        <w:pStyle w:val="148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36. Дата отправки уведомления о договоре: __на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SIA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RSAP</w:t>
      </w: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____</w:t>
      </w:r>
    </w:p>
    <w:p w14:paraId="29E68926">
      <w:pPr>
        <w:pStyle w:val="148"/>
        <w:jc w:val="both"/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37. В процедуре государственных закупок будут использованы / приняты:</w:t>
      </w:r>
    </w:p>
    <w:tbl>
      <w:tblPr>
        <w:tblStyle w:val="11"/>
        <w:tblW w:w="0" w:type="auto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2"/>
        <w:gridCol w:w="3810"/>
      </w:tblGrid>
      <w:tr w14:paraId="37850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2" w:type="dxa"/>
            <w:shd w:val="clear" w:color="auto" w:fill="FFFFFF"/>
          </w:tcPr>
          <w:p w14:paraId="0C284A81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hAnsi="Times New Roman" w:eastAsia="Calibri" w:cs="Times New Roman"/>
                <w:b/>
                <w:lang w:eastAsia="ru-RU"/>
              </w:rPr>
            </w:pPr>
            <w:r>
              <w:rPr>
                <w:rFonts w:ascii="Times New Roman" w:hAnsi="Times New Roman" w:eastAsia="Calibri" w:cs="Times New Roman"/>
                <w:b/>
                <w:lang w:eastAsia="ru-RU"/>
              </w:rPr>
              <w:t>Название электронного инструмента</w:t>
            </w:r>
          </w:p>
        </w:tc>
        <w:tc>
          <w:tcPr>
            <w:tcW w:w="3810" w:type="dxa"/>
            <w:shd w:val="clear" w:color="auto" w:fill="FFFFFF"/>
          </w:tcPr>
          <w:p w14:paraId="00BEE639">
            <w:pPr>
              <w:spacing w:line="240" w:lineRule="auto"/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  <w:lang w:val="en-US"/>
              </w:rPr>
              <w:t>Будет использовать / принимать или нет</w:t>
            </w:r>
          </w:p>
          <w:p w14:paraId="3692C464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hAnsi="Times New Roman" w:eastAsia="Calibri" w:cs="Times New Roman"/>
                <w:b/>
                <w:lang w:val="it-IT" w:eastAsia="ru-RU"/>
              </w:rPr>
            </w:pPr>
          </w:p>
        </w:tc>
      </w:tr>
      <w:tr w14:paraId="7A71B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2" w:type="dxa"/>
            <w:shd w:val="clear" w:color="auto" w:fill="FFFFFF"/>
          </w:tcPr>
          <w:p w14:paraId="054B979D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  <w:t>Электронная подача оферт или заявок на участие</w:t>
            </w:r>
          </w:p>
        </w:tc>
        <w:tc>
          <w:tcPr>
            <w:tcW w:w="3810" w:type="dxa"/>
            <w:shd w:val="clear" w:color="auto" w:fill="FFFFFF"/>
          </w:tcPr>
          <w:p w14:paraId="400427A5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>+</w:t>
            </w:r>
          </w:p>
        </w:tc>
      </w:tr>
      <w:tr w14:paraId="06400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2" w:type="dxa"/>
            <w:shd w:val="clear" w:color="auto" w:fill="FFFFFF"/>
          </w:tcPr>
          <w:p w14:paraId="77384144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  <w:t>Электронная система управления</w:t>
            </w:r>
          </w:p>
        </w:tc>
        <w:tc>
          <w:tcPr>
            <w:tcW w:w="3810" w:type="dxa"/>
            <w:shd w:val="clear" w:color="auto" w:fill="FFFFFF"/>
          </w:tcPr>
          <w:p w14:paraId="442CD04E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val="en-US" w:eastAsia="ru-RU"/>
              </w:rPr>
              <w:t>-</w:t>
            </w:r>
          </w:p>
        </w:tc>
      </w:tr>
      <w:tr w14:paraId="1827F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2" w:type="dxa"/>
            <w:shd w:val="clear" w:color="auto" w:fill="FFFFFF"/>
          </w:tcPr>
          <w:p w14:paraId="61EE9C66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  <w:t>Электронное выставление счетов</w:t>
            </w:r>
          </w:p>
        </w:tc>
        <w:tc>
          <w:tcPr>
            <w:tcW w:w="3810" w:type="dxa"/>
            <w:shd w:val="clear" w:color="auto" w:fill="FFFFFF"/>
          </w:tcPr>
          <w:p w14:paraId="19F2F183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>+</w:t>
            </w:r>
          </w:p>
        </w:tc>
      </w:tr>
      <w:tr w14:paraId="3E320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</w:trPr>
        <w:tc>
          <w:tcPr>
            <w:tcW w:w="5262" w:type="dxa"/>
            <w:shd w:val="clear" w:color="auto" w:fill="FFFFFF"/>
          </w:tcPr>
          <w:p w14:paraId="51262929">
            <w:pPr>
              <w:shd w:val="clear" w:color="auto" w:fill="FFFFFF"/>
              <w:tabs>
                <w:tab w:val="right" w:pos="426"/>
              </w:tabs>
              <w:spacing w:line="240" w:lineRule="auto"/>
              <w:rPr>
                <w:rFonts w:ascii="Times New Roman" w:hAnsi="Times New Roman" w:eastAsia="Calibri" w:cs="Times New Roman"/>
                <w:lang w:eastAsia="ru-RU"/>
              </w:rPr>
            </w:pPr>
            <w:r>
              <w:rPr>
                <w:rFonts w:ascii="Times New Roman" w:hAnsi="Times New Roman" w:eastAsia="Calibri" w:cs="Times New Roman"/>
                <w:lang w:eastAsia="ru-RU"/>
              </w:rPr>
              <w:t>Электронные платежи</w:t>
            </w:r>
          </w:p>
        </w:tc>
        <w:tc>
          <w:tcPr>
            <w:tcW w:w="3810" w:type="dxa"/>
            <w:shd w:val="clear" w:color="auto" w:fill="FFFFFF"/>
          </w:tcPr>
          <w:p w14:paraId="4005EBC0">
            <w:pPr>
              <w:shd w:val="clear" w:color="auto" w:fill="FFFFFF"/>
              <w:tabs>
                <w:tab w:val="right" w:pos="426"/>
              </w:tabs>
              <w:spacing w:line="240" w:lineRule="auto"/>
              <w:jc w:val="center"/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Calibri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14:paraId="150F13F9">
      <w:pPr>
        <w:shd w:val="clear" w:color="auto" w:fill="FFFFFF"/>
        <w:tabs>
          <w:tab w:val="right" w:pos="426"/>
        </w:tabs>
        <w:jc w:val="both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38.   Договор регулируется Соглашением о государственных закупках Всемирной торговой организации (только в случае уведомлений, отправленных для публикации в Официальном журнале Европейского Союза):_______________нет__________</w:t>
      </w:r>
    </w:p>
    <w:p w14:paraId="3E93D10B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 xml:space="preserve">39. Другая соответствующая информация: ________________________________ </w:t>
      </w:r>
    </w:p>
    <w:p w14:paraId="5F1C212F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</w:p>
    <w:p w14:paraId="31394FEA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</w:p>
    <w:p w14:paraId="45430678">
      <w:pPr>
        <w:shd w:val="clear" w:color="auto" w:fill="FFFFFF"/>
        <w:tabs>
          <w:tab w:val="right" w:pos="426"/>
        </w:tabs>
        <w:spacing w:before="120"/>
        <w:rPr>
          <w:rFonts w:ascii="Times New Roman" w:hAnsi="Times New Roman" w:eastAsia="Calibri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4"/>
          <w:lang w:eastAsia="ru-RU"/>
        </w:rPr>
        <w:t>Руководитель рабочей группы: ________________________Попазогло Н.П.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Sylfaen">
    <w:panose1 w:val="010A0502050306030303"/>
    <w:charset w:val="CC"/>
    <w:family w:val="roman"/>
    <w:pitch w:val="default"/>
    <w:sig w:usb0="04000687" w:usb1="00000000" w:usb2="00000000" w:usb3="00000000" w:csb0="2000009F" w:csb1="00000000"/>
  </w:font>
  <w:font w:name="Cambria Math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071D5B0"/>
    <w:multiLevelType w:val="singleLevel"/>
    <w:tmpl w:val="F071D5B0"/>
    <w:lvl w:ilvl="0" w:tentative="0">
      <w:start w:val="17"/>
      <w:numFmt w:val="decimal"/>
      <w:suff w:val="space"/>
      <w:lvlText w:val="%1."/>
      <w:lvlJc w:val="left"/>
    </w:lvl>
  </w:abstractNum>
  <w:abstractNum w:abstractNumId="1">
    <w:nsid w:val="0C4320CA"/>
    <w:multiLevelType w:val="multilevel"/>
    <w:tmpl w:val="0C4320CA"/>
    <w:lvl w:ilvl="0" w:tentative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 w:cs="Times New Roman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rFonts w:cs="Times New Roman"/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 w:cs="Times New Roman"/>
      </w:rPr>
    </w:lvl>
    <w:lvl w:ilvl="3" w:tentative="0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5C4"/>
    <w:rsid w:val="00013593"/>
    <w:rsid w:val="00035F78"/>
    <w:rsid w:val="000A65BF"/>
    <w:rsid w:val="000E6725"/>
    <w:rsid w:val="0012343F"/>
    <w:rsid w:val="001838A2"/>
    <w:rsid w:val="001963F4"/>
    <w:rsid w:val="001C03D2"/>
    <w:rsid w:val="00220BBE"/>
    <w:rsid w:val="00226260"/>
    <w:rsid w:val="00237903"/>
    <w:rsid w:val="002410CA"/>
    <w:rsid w:val="002704C5"/>
    <w:rsid w:val="00270A4F"/>
    <w:rsid w:val="002B4F9C"/>
    <w:rsid w:val="002E314B"/>
    <w:rsid w:val="002F5444"/>
    <w:rsid w:val="00310CAC"/>
    <w:rsid w:val="00324B0C"/>
    <w:rsid w:val="00351709"/>
    <w:rsid w:val="003655E4"/>
    <w:rsid w:val="004022E0"/>
    <w:rsid w:val="00412DAE"/>
    <w:rsid w:val="004142E1"/>
    <w:rsid w:val="00423F77"/>
    <w:rsid w:val="0043474E"/>
    <w:rsid w:val="00483F98"/>
    <w:rsid w:val="00495B83"/>
    <w:rsid w:val="004A3BC5"/>
    <w:rsid w:val="004E0956"/>
    <w:rsid w:val="004F2089"/>
    <w:rsid w:val="00502AAC"/>
    <w:rsid w:val="005148CF"/>
    <w:rsid w:val="00514E14"/>
    <w:rsid w:val="0051780D"/>
    <w:rsid w:val="005671A0"/>
    <w:rsid w:val="00567C90"/>
    <w:rsid w:val="00584C80"/>
    <w:rsid w:val="005A2D49"/>
    <w:rsid w:val="00601D86"/>
    <w:rsid w:val="00614FAD"/>
    <w:rsid w:val="00620BE0"/>
    <w:rsid w:val="006276C7"/>
    <w:rsid w:val="00676DB4"/>
    <w:rsid w:val="006816C6"/>
    <w:rsid w:val="006A1AF5"/>
    <w:rsid w:val="006B1BDC"/>
    <w:rsid w:val="006B6E63"/>
    <w:rsid w:val="00786964"/>
    <w:rsid w:val="007944B6"/>
    <w:rsid w:val="007C76D1"/>
    <w:rsid w:val="007D1C4F"/>
    <w:rsid w:val="00806813"/>
    <w:rsid w:val="00830FE7"/>
    <w:rsid w:val="00852053"/>
    <w:rsid w:val="008713CC"/>
    <w:rsid w:val="00873661"/>
    <w:rsid w:val="00876FDB"/>
    <w:rsid w:val="008A1588"/>
    <w:rsid w:val="008B1670"/>
    <w:rsid w:val="008D73C1"/>
    <w:rsid w:val="00921ADD"/>
    <w:rsid w:val="00977C59"/>
    <w:rsid w:val="00990735"/>
    <w:rsid w:val="00997939"/>
    <w:rsid w:val="009A2F83"/>
    <w:rsid w:val="009C363B"/>
    <w:rsid w:val="009D1BBE"/>
    <w:rsid w:val="009F38D6"/>
    <w:rsid w:val="00A30D48"/>
    <w:rsid w:val="00A36106"/>
    <w:rsid w:val="00A515C4"/>
    <w:rsid w:val="00A53468"/>
    <w:rsid w:val="00A55A2C"/>
    <w:rsid w:val="00A91CD9"/>
    <w:rsid w:val="00AB10E5"/>
    <w:rsid w:val="00B43111"/>
    <w:rsid w:val="00B57478"/>
    <w:rsid w:val="00B6329F"/>
    <w:rsid w:val="00B7123F"/>
    <w:rsid w:val="00B859CF"/>
    <w:rsid w:val="00B951E5"/>
    <w:rsid w:val="00BC6343"/>
    <w:rsid w:val="00BF54F3"/>
    <w:rsid w:val="00C17242"/>
    <w:rsid w:val="00C20486"/>
    <w:rsid w:val="00C21898"/>
    <w:rsid w:val="00C45764"/>
    <w:rsid w:val="00C52481"/>
    <w:rsid w:val="00C671F3"/>
    <w:rsid w:val="00C71F5E"/>
    <w:rsid w:val="00CC3B5C"/>
    <w:rsid w:val="00CC7765"/>
    <w:rsid w:val="00CE07ED"/>
    <w:rsid w:val="00CF3BCB"/>
    <w:rsid w:val="00D0148C"/>
    <w:rsid w:val="00D03B3F"/>
    <w:rsid w:val="00D25C94"/>
    <w:rsid w:val="00D82D49"/>
    <w:rsid w:val="00D90259"/>
    <w:rsid w:val="00D95BD5"/>
    <w:rsid w:val="00DC0DFE"/>
    <w:rsid w:val="00DD3D85"/>
    <w:rsid w:val="00E16951"/>
    <w:rsid w:val="00E26742"/>
    <w:rsid w:val="00E44B6C"/>
    <w:rsid w:val="00E56FCE"/>
    <w:rsid w:val="00EA2091"/>
    <w:rsid w:val="00EA7B38"/>
    <w:rsid w:val="00EC310C"/>
    <w:rsid w:val="00EC3E74"/>
    <w:rsid w:val="00ED21F1"/>
    <w:rsid w:val="00ED451F"/>
    <w:rsid w:val="00EF4B7F"/>
    <w:rsid w:val="00F119E1"/>
    <w:rsid w:val="00F370E9"/>
    <w:rsid w:val="00F63823"/>
    <w:rsid w:val="00FB16F9"/>
    <w:rsid w:val="00FB2264"/>
    <w:rsid w:val="00FC4677"/>
    <w:rsid w:val="00FE2F7B"/>
    <w:rsid w:val="13B363E0"/>
    <w:rsid w:val="231F65D6"/>
    <w:rsid w:val="5D8C393C"/>
    <w:rsid w:val="5F572D2C"/>
    <w:rsid w:val="61A1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qFormat/>
    <w:uiPriority w:val="0"/>
    <w:pPr>
      <w:keepNext/>
      <w:keepLines/>
      <w:spacing w:before="200" w:after="0" w:line="240" w:lineRule="auto"/>
      <w:outlineLvl w:val="1"/>
    </w:pPr>
    <w:rPr>
      <w:rFonts w:ascii="Calibri Light" w:hAnsi="Calibri Light" w:eastAsia="SimSun" w:cs="Arial"/>
      <w:b/>
      <w:bCs/>
      <w:color w:val="5B9BD5"/>
      <w:sz w:val="26"/>
      <w:szCs w:val="26"/>
      <w:lang w:val="ro-RO"/>
    </w:rPr>
  </w:style>
  <w:style w:type="paragraph" w:styleId="5">
    <w:name w:val="heading 3"/>
    <w:basedOn w:val="1"/>
    <w:next w:val="1"/>
    <w:link w:val="44"/>
    <w:qFormat/>
    <w:uiPriority w:val="0"/>
    <w:pPr>
      <w:keepNext/>
      <w:keepLines/>
      <w:spacing w:before="200" w:after="0" w:line="240" w:lineRule="auto"/>
      <w:outlineLvl w:val="2"/>
    </w:pPr>
    <w:rPr>
      <w:rFonts w:ascii="Calibri Light" w:hAnsi="Calibri Light" w:eastAsia="SimSun" w:cs="Arial"/>
      <w:b/>
      <w:bCs/>
      <w:color w:val="5B9BD5"/>
      <w:sz w:val="24"/>
      <w:szCs w:val="24"/>
      <w:lang w:val="ro-RO"/>
    </w:rPr>
  </w:style>
  <w:style w:type="paragraph" w:styleId="6">
    <w:name w:val="heading 4"/>
    <w:basedOn w:val="1"/>
    <w:next w:val="1"/>
    <w:link w:val="45"/>
    <w:qFormat/>
    <w:uiPriority w:val="0"/>
    <w:pPr>
      <w:keepNext/>
      <w:spacing w:after="0" w:line="240" w:lineRule="auto"/>
      <w:outlineLvl w:val="3"/>
    </w:pPr>
    <w:rPr>
      <w:rFonts w:ascii="Baltica RR" w:hAnsi="Baltica RR" w:eastAsia="SimSun" w:cs="Arial"/>
      <w:b/>
      <w:sz w:val="24"/>
      <w:szCs w:val="20"/>
      <w:lang w:val="ro-RO"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spacing w:after="0" w:line="240" w:lineRule="auto"/>
      <w:ind w:firstLine="6804"/>
      <w:outlineLvl w:val="4"/>
    </w:pPr>
    <w:rPr>
      <w:rFonts w:ascii="Calibri" w:hAnsi="Calibri" w:eastAsia="SimSun" w:cs="Arial"/>
      <w:sz w:val="28"/>
      <w:szCs w:val="20"/>
      <w:lang w:val="ro-RO" w:eastAsia="ru-RU"/>
    </w:rPr>
  </w:style>
  <w:style w:type="paragraph" w:styleId="8">
    <w:name w:val="heading 8"/>
    <w:basedOn w:val="1"/>
    <w:next w:val="1"/>
    <w:link w:val="47"/>
    <w:qFormat/>
    <w:uiPriority w:val="0"/>
    <w:pPr>
      <w:spacing w:before="240" w:after="60" w:line="240" w:lineRule="auto"/>
      <w:outlineLvl w:val="7"/>
    </w:pPr>
    <w:rPr>
      <w:rFonts w:ascii="Calibri" w:hAnsi="Calibri" w:eastAsia="SimSun" w:cs="Arial"/>
      <w:i/>
      <w:iCs/>
      <w:sz w:val="24"/>
      <w:szCs w:val="24"/>
      <w:lang w:val="ro-RO"/>
    </w:rPr>
  </w:style>
  <w:style w:type="paragraph" w:styleId="9">
    <w:name w:val="heading 9"/>
    <w:basedOn w:val="1"/>
    <w:next w:val="1"/>
    <w:link w:val="48"/>
    <w:qFormat/>
    <w:uiPriority w:val="0"/>
    <w:pPr>
      <w:spacing w:before="240" w:after="60" w:line="240" w:lineRule="auto"/>
      <w:outlineLvl w:val="8"/>
    </w:pPr>
    <w:rPr>
      <w:rFonts w:ascii="Cambria" w:hAnsi="Cambria" w:eastAsia="SimSun" w:cs="Arial"/>
      <w:lang w:val="ro-RO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Абзац списка2"/>
    <w:basedOn w:val="1"/>
    <w:link w:val="50"/>
    <w:uiPriority w:val="0"/>
    <w:pPr>
      <w:numPr>
        <w:ilvl w:val="0"/>
        <w:numId w:val="2"/>
      </w:numPr>
      <w:tabs>
        <w:tab w:val="left" w:pos="1134"/>
      </w:tabs>
      <w:spacing w:after="0" w:line="240" w:lineRule="auto"/>
      <w:jc w:val="both"/>
    </w:pPr>
    <w:rPr>
      <w:rFonts w:ascii="Calibri" w:hAnsi="Calibri" w:eastAsia="SimSun" w:cs="Arial"/>
      <w:sz w:val="24"/>
      <w:szCs w:val="24"/>
      <w:lang w:val="en-US" w:eastAsia="ru-RU"/>
    </w:rPr>
  </w:style>
  <w:style w:type="paragraph" w:styleId="12">
    <w:name w:val="Balloon Text"/>
    <w:basedOn w:val="1"/>
    <w:link w:val="58"/>
    <w:semiHidden/>
    <w:uiPriority w:val="0"/>
    <w:pPr>
      <w:spacing w:after="0" w:line="240" w:lineRule="auto"/>
    </w:pPr>
    <w:rPr>
      <w:rFonts w:ascii="Tahoma" w:hAnsi="Tahoma" w:eastAsia="SimSun" w:cs="Tahoma"/>
      <w:sz w:val="16"/>
      <w:szCs w:val="16"/>
      <w:lang w:eastAsia="ru-RU"/>
    </w:rPr>
  </w:style>
  <w:style w:type="paragraph" w:styleId="13">
    <w:name w:val="Body Text"/>
    <w:basedOn w:val="1"/>
    <w:link w:val="52"/>
    <w:uiPriority w:val="0"/>
    <w:pPr>
      <w:spacing w:after="0" w:line="240" w:lineRule="auto"/>
    </w:pPr>
    <w:rPr>
      <w:rFonts w:ascii="Baltica RR" w:hAnsi="Baltica RR" w:eastAsia="SimSun" w:cs="Arial"/>
      <w:sz w:val="24"/>
      <w:szCs w:val="20"/>
      <w:lang w:val="ro-RO"/>
    </w:rPr>
  </w:style>
  <w:style w:type="paragraph" w:styleId="14">
    <w:name w:val="Body Text 2"/>
    <w:basedOn w:val="1"/>
    <w:link w:val="57"/>
    <w:uiPriority w:val="0"/>
    <w:pPr>
      <w:tabs>
        <w:tab w:val="left" w:pos="426"/>
      </w:tabs>
      <w:spacing w:after="0" w:line="240" w:lineRule="auto"/>
      <w:jc w:val="both"/>
    </w:pPr>
    <w:rPr>
      <w:rFonts w:ascii="Baltica RR" w:hAnsi="Baltica RR" w:eastAsia="SimSun" w:cs="Arial"/>
      <w:sz w:val="24"/>
      <w:szCs w:val="20"/>
      <w:lang w:val="ro-RO" w:eastAsia="ru-RU"/>
    </w:rPr>
  </w:style>
  <w:style w:type="paragraph" w:styleId="15">
    <w:name w:val="Body Text Indent"/>
    <w:basedOn w:val="1"/>
    <w:link w:val="55"/>
    <w:uiPriority w:val="0"/>
    <w:pPr>
      <w:spacing w:after="0" w:line="240" w:lineRule="auto"/>
      <w:ind w:firstLine="720"/>
      <w:jc w:val="both"/>
    </w:pPr>
    <w:rPr>
      <w:rFonts w:ascii="Calibri" w:hAnsi="Calibri" w:eastAsia="SimSun" w:cs="Arial"/>
      <w:sz w:val="20"/>
      <w:szCs w:val="20"/>
      <w:lang w:val="ro-RO" w:eastAsia="ru-RU"/>
    </w:rPr>
  </w:style>
  <w:style w:type="paragraph" w:styleId="16">
    <w:name w:val="Body Text Indent 2"/>
    <w:basedOn w:val="1"/>
    <w:link w:val="56"/>
    <w:uiPriority w:val="0"/>
    <w:pPr>
      <w:spacing w:after="0" w:line="240" w:lineRule="auto"/>
      <w:ind w:firstLine="567"/>
    </w:pPr>
    <w:rPr>
      <w:rFonts w:ascii="Baltica RR" w:hAnsi="Baltica RR" w:eastAsia="SimSun" w:cs="Arial"/>
      <w:sz w:val="24"/>
      <w:szCs w:val="20"/>
      <w:lang w:val="ro-RO" w:eastAsia="ru-RU"/>
    </w:rPr>
  </w:style>
  <w:style w:type="paragraph" w:styleId="17">
    <w:name w:val="Body Text Indent 3"/>
    <w:basedOn w:val="1"/>
    <w:link w:val="62"/>
    <w:qFormat/>
    <w:uiPriority w:val="0"/>
    <w:pPr>
      <w:spacing w:after="120" w:line="240" w:lineRule="auto"/>
      <w:ind w:left="283"/>
    </w:pPr>
    <w:rPr>
      <w:rFonts w:ascii="Calibri" w:hAnsi="Calibri" w:eastAsia="SimSun" w:cs="Arial"/>
      <w:sz w:val="16"/>
      <w:szCs w:val="16"/>
      <w:lang w:val="ro-RO"/>
    </w:rPr>
  </w:style>
  <w:style w:type="paragraph" w:styleId="18">
    <w:name w:val="caption"/>
    <w:basedOn w:val="1"/>
    <w:qFormat/>
    <w:uiPriority w:val="0"/>
    <w:pPr>
      <w:spacing w:before="240" w:after="60" w:line="240" w:lineRule="auto"/>
      <w:jc w:val="center"/>
    </w:pPr>
    <w:rPr>
      <w:rFonts w:ascii="Arial" w:hAnsi="Arial" w:eastAsia="SimSun" w:cs="Times New Roman"/>
      <w:b/>
      <w:kern w:val="28"/>
      <w:sz w:val="32"/>
      <w:szCs w:val="20"/>
      <w:lang w:eastAsia="ru-RU"/>
    </w:rPr>
  </w:style>
  <w:style w:type="character" w:styleId="19">
    <w:name w:val="annotation reference"/>
    <w:qFormat/>
    <w:uiPriority w:val="0"/>
    <w:rPr>
      <w:sz w:val="16"/>
    </w:rPr>
  </w:style>
  <w:style w:type="paragraph" w:styleId="20">
    <w:name w:val="annotation text"/>
    <w:basedOn w:val="1"/>
    <w:link w:val="72"/>
    <w:qFormat/>
    <w:uiPriority w:val="0"/>
    <w:pPr>
      <w:spacing w:after="0" w:line="240" w:lineRule="auto"/>
    </w:pPr>
    <w:rPr>
      <w:rFonts w:ascii="Calibri" w:hAnsi="Calibri" w:eastAsia="SimSun" w:cs="Arial"/>
      <w:sz w:val="20"/>
      <w:szCs w:val="20"/>
      <w:lang w:eastAsia="ru-RU"/>
    </w:rPr>
  </w:style>
  <w:style w:type="paragraph" w:styleId="21">
    <w:name w:val="annotation subject"/>
    <w:basedOn w:val="20"/>
    <w:next w:val="20"/>
    <w:link w:val="73"/>
    <w:qFormat/>
    <w:uiPriority w:val="0"/>
    <w:rPr>
      <w:b/>
      <w:bCs/>
    </w:rPr>
  </w:style>
  <w:style w:type="paragraph" w:styleId="22">
    <w:name w:val="footer"/>
    <w:basedOn w:val="1"/>
    <w:link w:val="51"/>
    <w:qFormat/>
    <w:uiPriority w:val="0"/>
    <w:pPr>
      <w:tabs>
        <w:tab w:val="center" w:pos="4536"/>
        <w:tab w:val="right" w:pos="9072"/>
      </w:tabs>
      <w:spacing w:after="0" w:line="240" w:lineRule="auto"/>
    </w:pPr>
    <w:rPr>
      <w:rFonts w:ascii="Calibri" w:hAnsi="Calibri" w:eastAsia="SimSun" w:cs="Arial"/>
      <w:sz w:val="24"/>
      <w:szCs w:val="24"/>
      <w:lang w:val="ro-RO"/>
    </w:rPr>
  </w:style>
  <w:style w:type="character" w:styleId="23">
    <w:name w:val="footnote reference"/>
    <w:qFormat/>
    <w:uiPriority w:val="0"/>
    <w:rPr>
      <w:vertAlign w:val="superscript"/>
    </w:rPr>
  </w:style>
  <w:style w:type="paragraph" w:styleId="24">
    <w:name w:val="footnote text"/>
    <w:basedOn w:val="1"/>
    <w:link w:val="71"/>
    <w:qFormat/>
    <w:uiPriority w:val="0"/>
    <w:pPr>
      <w:spacing w:after="0" w:line="240" w:lineRule="auto"/>
      <w:jc w:val="both"/>
    </w:pPr>
    <w:rPr>
      <w:rFonts w:ascii="Calibri" w:hAnsi="Calibri" w:eastAsia="SimSun" w:cs="Arial"/>
      <w:sz w:val="20"/>
      <w:szCs w:val="20"/>
      <w:lang w:val="en-US"/>
    </w:rPr>
  </w:style>
  <w:style w:type="paragraph" w:styleId="25">
    <w:name w:val="header"/>
    <w:basedOn w:val="1"/>
    <w:link w:val="53"/>
    <w:uiPriority w:val="0"/>
    <w:pPr>
      <w:tabs>
        <w:tab w:val="center" w:pos="4703"/>
        <w:tab w:val="right" w:pos="9406"/>
      </w:tabs>
      <w:spacing w:after="0" w:line="240" w:lineRule="auto"/>
    </w:pPr>
    <w:rPr>
      <w:rFonts w:ascii="Calibri" w:hAnsi="Calibri" w:eastAsia="SimSun" w:cs="Arial"/>
      <w:sz w:val="20"/>
      <w:szCs w:val="20"/>
      <w:lang w:eastAsia="ru-RU"/>
    </w:rPr>
  </w:style>
  <w:style w:type="paragraph" w:styleId="26">
    <w:name w:val="HTML Preformatted"/>
    <w:basedOn w:val="1"/>
    <w:link w:val="83"/>
    <w:semiHidden/>
    <w:qFormat/>
    <w:uiPriority w:val="0"/>
    <w:pPr>
      <w:spacing w:after="0" w:line="240" w:lineRule="auto"/>
    </w:pPr>
    <w:rPr>
      <w:rFonts w:ascii="Consolas" w:hAnsi="Consolas" w:eastAsia="SimSun" w:cs="Arial"/>
      <w:sz w:val="20"/>
      <w:szCs w:val="20"/>
      <w:lang w:val="ro-RO"/>
    </w:rPr>
  </w:style>
  <w:style w:type="character" w:styleId="27">
    <w:name w:val="Hyperlink"/>
    <w:qFormat/>
    <w:uiPriority w:val="0"/>
    <w:rPr>
      <w:color w:val="0000FF"/>
      <w:u w:val="single"/>
    </w:rPr>
  </w:style>
  <w:style w:type="paragraph" w:styleId="28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character" w:styleId="29">
    <w:name w:val="page number"/>
    <w:uiPriority w:val="0"/>
    <w:rPr>
      <w:rFonts w:cs="Times New Roman"/>
    </w:rPr>
  </w:style>
  <w:style w:type="character" w:styleId="30">
    <w:name w:val="Strong"/>
    <w:qFormat/>
    <w:uiPriority w:val="0"/>
    <w:rPr>
      <w:rFonts w:cs="Times New Roman"/>
      <w:b/>
      <w:bCs/>
    </w:rPr>
  </w:style>
  <w:style w:type="paragraph" w:styleId="31">
    <w:name w:val="Subtitle"/>
    <w:basedOn w:val="1"/>
    <w:link w:val="54"/>
    <w:qFormat/>
    <w:uiPriority w:val="0"/>
    <w:pPr>
      <w:spacing w:after="0" w:line="240" w:lineRule="auto"/>
      <w:jc w:val="center"/>
    </w:pPr>
    <w:rPr>
      <w:rFonts w:ascii="Calibri" w:hAnsi="Calibri" w:eastAsia="SimSun" w:cs="Arial"/>
      <w:b/>
      <w:sz w:val="32"/>
      <w:szCs w:val="20"/>
      <w:lang w:val="en-US" w:eastAsia="ru-RU"/>
    </w:rPr>
  </w:style>
  <w:style w:type="table" w:styleId="32">
    <w:name w:val="Table Grid"/>
    <w:basedOn w:val="11"/>
    <w:qFormat/>
    <w:uiPriority w:val="39"/>
    <w:pPr>
      <w:spacing w:after="0" w:line="240" w:lineRule="auto"/>
    </w:pPr>
    <w:rPr>
      <w:rFonts w:ascii="Calibri" w:hAnsi="Calibri" w:eastAsia="Times New Roman" w:cs="Times New Roma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33">
    <w:name w:val="toc 1"/>
    <w:basedOn w:val="1"/>
    <w:next w:val="1"/>
    <w:autoRedefine/>
    <w:uiPriority w:val="0"/>
    <w:pPr>
      <w:tabs>
        <w:tab w:val="right" w:leader="dot" w:pos="9638"/>
      </w:tabs>
      <w:spacing w:after="100"/>
    </w:pPr>
    <w:rPr>
      <w:rFonts w:ascii="Times New Roman" w:hAnsi="Times New Roman" w:eastAsia="SimSun" w:cs="Times New Roman"/>
      <w:b/>
      <w:sz w:val="24"/>
      <w:szCs w:val="24"/>
      <w:lang w:val="en-US"/>
    </w:rPr>
  </w:style>
  <w:style w:type="paragraph" w:styleId="34">
    <w:name w:val="toc 2"/>
    <w:basedOn w:val="1"/>
    <w:next w:val="1"/>
    <w:autoRedefine/>
    <w:uiPriority w:val="0"/>
    <w:pPr>
      <w:tabs>
        <w:tab w:val="left" w:pos="660"/>
        <w:tab w:val="right" w:leader="dot" w:pos="9628"/>
      </w:tabs>
      <w:spacing w:after="100"/>
      <w:ind w:left="220"/>
    </w:pPr>
    <w:rPr>
      <w:rFonts w:ascii="Times New Roman" w:hAnsi="Times New Roman" w:eastAsia="SimSun" w:cs="Times New Roman"/>
      <w:b/>
      <w:sz w:val="24"/>
      <w:szCs w:val="24"/>
      <w:lang w:val="en-US"/>
    </w:rPr>
  </w:style>
  <w:style w:type="paragraph" w:styleId="35">
    <w:name w:val="toc 3"/>
    <w:basedOn w:val="1"/>
    <w:next w:val="1"/>
    <w:autoRedefine/>
    <w:uiPriority w:val="0"/>
    <w:pPr>
      <w:spacing w:after="100"/>
      <w:ind w:left="440"/>
    </w:pPr>
    <w:rPr>
      <w:rFonts w:ascii="Calibri" w:hAnsi="Calibri" w:eastAsia="SimSun" w:cs="Times New Roman"/>
      <w:lang w:val="en-US"/>
    </w:rPr>
  </w:style>
  <w:style w:type="paragraph" w:styleId="36">
    <w:name w:val="toc 4"/>
    <w:basedOn w:val="1"/>
    <w:next w:val="1"/>
    <w:autoRedefine/>
    <w:qFormat/>
    <w:uiPriority w:val="0"/>
    <w:pPr>
      <w:spacing w:after="100" w:line="276" w:lineRule="auto"/>
      <w:ind w:left="660"/>
    </w:pPr>
    <w:rPr>
      <w:rFonts w:ascii="Calibri" w:hAnsi="Calibri" w:eastAsia="SimSun" w:cs="Times New Roman"/>
      <w:lang w:val="en-US"/>
    </w:rPr>
  </w:style>
  <w:style w:type="paragraph" w:styleId="37">
    <w:name w:val="toc 5"/>
    <w:basedOn w:val="1"/>
    <w:next w:val="1"/>
    <w:autoRedefine/>
    <w:qFormat/>
    <w:uiPriority w:val="0"/>
    <w:pPr>
      <w:spacing w:after="100" w:line="276" w:lineRule="auto"/>
      <w:ind w:left="880"/>
    </w:pPr>
    <w:rPr>
      <w:rFonts w:ascii="Calibri" w:hAnsi="Calibri" w:eastAsia="SimSun" w:cs="Times New Roman"/>
      <w:lang w:val="en-US"/>
    </w:rPr>
  </w:style>
  <w:style w:type="paragraph" w:styleId="38">
    <w:name w:val="toc 6"/>
    <w:basedOn w:val="1"/>
    <w:next w:val="1"/>
    <w:autoRedefine/>
    <w:qFormat/>
    <w:uiPriority w:val="0"/>
    <w:pPr>
      <w:spacing w:after="100" w:line="276" w:lineRule="auto"/>
      <w:ind w:left="1100"/>
    </w:pPr>
    <w:rPr>
      <w:rFonts w:ascii="Calibri" w:hAnsi="Calibri" w:eastAsia="SimSun" w:cs="Times New Roman"/>
      <w:lang w:val="en-US"/>
    </w:rPr>
  </w:style>
  <w:style w:type="paragraph" w:styleId="39">
    <w:name w:val="toc 7"/>
    <w:basedOn w:val="1"/>
    <w:next w:val="1"/>
    <w:autoRedefine/>
    <w:qFormat/>
    <w:uiPriority w:val="0"/>
    <w:pPr>
      <w:spacing w:after="100" w:line="276" w:lineRule="auto"/>
      <w:ind w:left="1320"/>
    </w:pPr>
    <w:rPr>
      <w:rFonts w:ascii="Calibri" w:hAnsi="Calibri" w:eastAsia="SimSun" w:cs="Times New Roman"/>
      <w:lang w:val="en-US"/>
    </w:rPr>
  </w:style>
  <w:style w:type="paragraph" w:styleId="40">
    <w:name w:val="toc 8"/>
    <w:basedOn w:val="1"/>
    <w:next w:val="1"/>
    <w:autoRedefine/>
    <w:qFormat/>
    <w:uiPriority w:val="0"/>
    <w:pPr>
      <w:spacing w:after="100" w:line="276" w:lineRule="auto"/>
      <w:ind w:left="1540"/>
    </w:pPr>
    <w:rPr>
      <w:rFonts w:ascii="Calibri" w:hAnsi="Calibri" w:eastAsia="SimSun" w:cs="Times New Roman"/>
      <w:lang w:val="en-US"/>
    </w:rPr>
  </w:style>
  <w:style w:type="paragraph" w:styleId="41">
    <w:name w:val="toc 9"/>
    <w:basedOn w:val="1"/>
    <w:next w:val="1"/>
    <w:autoRedefine/>
    <w:qFormat/>
    <w:uiPriority w:val="0"/>
    <w:pPr>
      <w:spacing w:after="100" w:line="276" w:lineRule="auto"/>
      <w:ind w:left="1760"/>
    </w:pPr>
    <w:rPr>
      <w:rFonts w:ascii="Calibri" w:hAnsi="Calibri" w:eastAsia="SimSun" w:cs="Times New Roman"/>
      <w:lang w:val="en-US"/>
    </w:rPr>
  </w:style>
  <w:style w:type="character" w:customStyle="1" w:styleId="42">
    <w:name w:val="Заголовок 1 Знак"/>
    <w:basedOn w:val="10"/>
    <w:link w:val="2"/>
    <w:uiPriority w:val="0"/>
    <w:rPr>
      <w:rFonts w:ascii="Calibri" w:hAnsi="Calibri" w:eastAsia="SimSun" w:cs="Arial"/>
      <w:b/>
      <w:sz w:val="24"/>
      <w:szCs w:val="24"/>
      <w:lang w:val="en-US" w:eastAsia="ru-RU"/>
    </w:rPr>
  </w:style>
  <w:style w:type="character" w:customStyle="1" w:styleId="43">
    <w:name w:val="Заголовок 2 Знак"/>
    <w:basedOn w:val="10"/>
    <w:link w:val="4"/>
    <w:uiPriority w:val="0"/>
    <w:rPr>
      <w:rFonts w:ascii="Calibri Light" w:hAnsi="Calibri Light" w:eastAsia="SimSun" w:cs="Arial"/>
      <w:b/>
      <w:bCs/>
      <w:color w:val="5B9BD5"/>
      <w:sz w:val="26"/>
      <w:szCs w:val="26"/>
      <w:lang w:val="ro-RO"/>
    </w:rPr>
  </w:style>
  <w:style w:type="character" w:customStyle="1" w:styleId="44">
    <w:name w:val="Заголовок 3 Знак"/>
    <w:basedOn w:val="10"/>
    <w:link w:val="5"/>
    <w:uiPriority w:val="0"/>
    <w:rPr>
      <w:rFonts w:ascii="Calibri Light" w:hAnsi="Calibri Light" w:eastAsia="SimSun" w:cs="Arial"/>
      <w:b/>
      <w:bCs/>
      <w:color w:val="5B9BD5"/>
      <w:sz w:val="24"/>
      <w:szCs w:val="24"/>
      <w:lang w:val="ro-RO"/>
    </w:rPr>
  </w:style>
  <w:style w:type="character" w:customStyle="1" w:styleId="45">
    <w:name w:val="Заголовок 4 Знак"/>
    <w:basedOn w:val="10"/>
    <w:link w:val="6"/>
    <w:uiPriority w:val="0"/>
    <w:rPr>
      <w:rFonts w:ascii="Baltica RR" w:hAnsi="Baltica RR" w:eastAsia="SimSun" w:cs="Arial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uiPriority w:val="0"/>
    <w:rPr>
      <w:rFonts w:ascii="Calibri" w:hAnsi="Calibri" w:eastAsia="SimSun" w:cs="Arial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uiPriority w:val="0"/>
    <w:rPr>
      <w:rFonts w:ascii="Calibri" w:hAnsi="Calibri" w:eastAsia="SimSun" w:cs="Arial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uiPriority w:val="0"/>
    <w:rPr>
      <w:rFonts w:ascii="Cambria" w:hAnsi="Cambria" w:eastAsia="SimSun" w:cs="Arial"/>
      <w:lang w:val="ro-RO"/>
    </w:rPr>
  </w:style>
  <w:style w:type="paragraph" w:customStyle="1" w:styleId="49">
    <w:name w:val="Абзац списка1"/>
    <w:basedOn w:val="1"/>
    <w:qFormat/>
    <w:uiPriority w:val="34"/>
    <w:pPr>
      <w:ind w:left="720"/>
      <w:contextualSpacing/>
    </w:pPr>
    <w:rPr>
      <w:rFonts w:ascii="Calibri" w:hAnsi="Calibri" w:eastAsia="Calibri" w:cs="Arial"/>
      <w:lang w:val="en-US"/>
    </w:rPr>
  </w:style>
  <w:style w:type="character" w:customStyle="1" w:styleId="50">
    <w:name w:val="List Paragraph Char"/>
    <w:link w:val="3"/>
    <w:locked/>
    <w:uiPriority w:val="0"/>
    <w:rPr>
      <w:rFonts w:ascii="Calibri" w:hAnsi="Calibri" w:eastAsia="SimSun" w:cs="Arial"/>
      <w:sz w:val="24"/>
      <w:szCs w:val="24"/>
      <w:lang w:val="en-US" w:eastAsia="ru-RU"/>
    </w:rPr>
  </w:style>
  <w:style w:type="character" w:customStyle="1" w:styleId="51">
    <w:name w:val="Нижний колонтитул Знак"/>
    <w:basedOn w:val="10"/>
    <w:link w:val="22"/>
    <w:uiPriority w:val="0"/>
    <w:rPr>
      <w:rFonts w:ascii="Calibri" w:hAnsi="Calibri" w:eastAsia="SimSun" w:cs="Arial"/>
      <w:sz w:val="24"/>
      <w:szCs w:val="24"/>
      <w:lang w:val="ro-RO"/>
    </w:rPr>
  </w:style>
  <w:style w:type="character" w:customStyle="1" w:styleId="52">
    <w:name w:val="Основной текст Знак"/>
    <w:basedOn w:val="10"/>
    <w:link w:val="13"/>
    <w:uiPriority w:val="0"/>
    <w:rPr>
      <w:rFonts w:ascii="Baltica RR" w:hAnsi="Baltica RR" w:eastAsia="SimSun" w:cs="Arial"/>
      <w:sz w:val="24"/>
      <w:szCs w:val="20"/>
      <w:lang w:val="ro-RO"/>
    </w:rPr>
  </w:style>
  <w:style w:type="character" w:customStyle="1" w:styleId="53">
    <w:name w:val="Верхний колонтитул Знак"/>
    <w:basedOn w:val="10"/>
    <w:link w:val="25"/>
    <w:uiPriority w:val="0"/>
    <w:rPr>
      <w:rFonts w:ascii="Calibri" w:hAnsi="Calibri" w:eastAsia="SimSun" w:cs="Arial"/>
      <w:sz w:val="20"/>
      <w:szCs w:val="20"/>
      <w:lang w:eastAsia="ru-RU"/>
    </w:rPr>
  </w:style>
  <w:style w:type="character" w:customStyle="1" w:styleId="54">
    <w:name w:val="Подзаголовок Знак"/>
    <w:basedOn w:val="10"/>
    <w:link w:val="31"/>
    <w:qFormat/>
    <w:uiPriority w:val="0"/>
    <w:rPr>
      <w:rFonts w:ascii="Calibri" w:hAnsi="Calibri" w:eastAsia="SimSun" w:cs="Arial"/>
      <w:b/>
      <w:sz w:val="32"/>
      <w:szCs w:val="20"/>
      <w:lang w:val="en-US" w:eastAsia="ru-RU"/>
    </w:rPr>
  </w:style>
  <w:style w:type="character" w:customStyle="1" w:styleId="55">
    <w:name w:val="Основной текст с отступом Знак"/>
    <w:basedOn w:val="10"/>
    <w:link w:val="15"/>
    <w:uiPriority w:val="0"/>
    <w:rPr>
      <w:rFonts w:ascii="Calibri" w:hAnsi="Calibri" w:eastAsia="SimSun" w:cs="Arial"/>
      <w:sz w:val="20"/>
      <w:szCs w:val="20"/>
      <w:lang w:val="ro-RO" w:eastAsia="ru-RU"/>
    </w:rPr>
  </w:style>
  <w:style w:type="character" w:customStyle="1" w:styleId="56">
    <w:name w:val="Основной текст с отступом 2 Знак"/>
    <w:basedOn w:val="10"/>
    <w:link w:val="16"/>
    <w:uiPriority w:val="0"/>
    <w:rPr>
      <w:rFonts w:ascii="Baltica RR" w:hAnsi="Baltica RR" w:eastAsia="SimSun" w:cs="Arial"/>
      <w:sz w:val="24"/>
      <w:szCs w:val="20"/>
      <w:lang w:val="ro-RO" w:eastAsia="ru-RU"/>
    </w:rPr>
  </w:style>
  <w:style w:type="character" w:customStyle="1" w:styleId="57">
    <w:name w:val="Основной текст 2 Знак"/>
    <w:basedOn w:val="10"/>
    <w:link w:val="14"/>
    <w:uiPriority w:val="0"/>
    <w:rPr>
      <w:rFonts w:ascii="Baltica RR" w:hAnsi="Baltica RR" w:eastAsia="SimSun" w:cs="Arial"/>
      <w:sz w:val="24"/>
      <w:szCs w:val="20"/>
      <w:lang w:val="ro-RO" w:eastAsia="ru-RU"/>
    </w:rPr>
  </w:style>
  <w:style w:type="character" w:customStyle="1" w:styleId="58">
    <w:name w:val="Текст выноски Знак"/>
    <w:basedOn w:val="10"/>
    <w:link w:val="12"/>
    <w:semiHidden/>
    <w:uiPriority w:val="0"/>
    <w:rPr>
      <w:rFonts w:ascii="Tahoma" w:hAnsi="Tahoma" w:eastAsia="SimSun" w:cs="Tahoma"/>
      <w:sz w:val="16"/>
      <w:szCs w:val="16"/>
      <w:lang w:eastAsia="ru-RU"/>
    </w:rPr>
  </w:style>
  <w:style w:type="paragraph" w:customStyle="1" w:styleId="59">
    <w:name w:val="_Style 37"/>
    <w:basedOn w:val="1"/>
    <w:next w:val="28"/>
    <w:uiPriority w:val="0"/>
    <w:pPr>
      <w:spacing w:after="0" w:line="240" w:lineRule="auto"/>
      <w:ind w:firstLine="567"/>
      <w:jc w:val="both"/>
    </w:pPr>
    <w:rPr>
      <w:rFonts w:ascii="Times New Roman" w:hAnsi="Times New Roman" w:eastAsia="SimSun" w:cs="Times New Roman"/>
      <w:sz w:val="24"/>
      <w:szCs w:val="24"/>
      <w:lang w:eastAsia="ru-RU"/>
    </w:rPr>
  </w:style>
  <w:style w:type="paragraph" w:customStyle="1" w:styleId="60">
    <w:name w:val="cn"/>
    <w:basedOn w:val="1"/>
    <w:uiPriority w:val="0"/>
    <w:pPr>
      <w:spacing w:after="0" w:line="240" w:lineRule="auto"/>
      <w:jc w:val="center"/>
    </w:pPr>
    <w:rPr>
      <w:rFonts w:ascii="Times New Roman" w:hAnsi="Times New Roman" w:eastAsia="SimSun" w:cs="Times New Roman"/>
      <w:sz w:val="24"/>
      <w:szCs w:val="24"/>
      <w:lang w:eastAsia="ru-RU"/>
    </w:rPr>
  </w:style>
  <w:style w:type="paragraph" w:customStyle="1" w:styleId="61">
    <w:name w:val="cb"/>
    <w:basedOn w:val="1"/>
    <w:uiPriority w:val="0"/>
    <w:pPr>
      <w:spacing w:after="0" w:line="240" w:lineRule="auto"/>
      <w:jc w:val="center"/>
    </w:pPr>
    <w:rPr>
      <w:rFonts w:ascii="Times New Roman" w:hAnsi="Times New Roman" w:eastAsia="SimSun" w:cs="Times New Roman"/>
      <w:b/>
      <w:bCs/>
      <w:sz w:val="24"/>
      <w:szCs w:val="24"/>
      <w:lang w:eastAsia="ru-RU"/>
    </w:rPr>
  </w:style>
  <w:style w:type="character" w:customStyle="1" w:styleId="62">
    <w:name w:val="Основной текст с отступом 3 Знак"/>
    <w:basedOn w:val="10"/>
    <w:link w:val="17"/>
    <w:uiPriority w:val="0"/>
    <w:rPr>
      <w:rFonts w:ascii="Calibri" w:hAnsi="Calibri" w:eastAsia="SimSun" w:cs="Arial"/>
      <w:sz w:val="16"/>
      <w:szCs w:val="16"/>
      <w:lang w:val="ro-RO"/>
    </w:rPr>
  </w:style>
  <w:style w:type="paragraph" w:customStyle="1" w:styleId="63">
    <w:name w:val="cp"/>
    <w:basedOn w:val="1"/>
    <w:uiPriority w:val="0"/>
    <w:pPr>
      <w:spacing w:after="0" w:line="240" w:lineRule="auto"/>
      <w:jc w:val="center"/>
    </w:pPr>
    <w:rPr>
      <w:rFonts w:ascii="Times New Roman" w:hAnsi="Times New Roman" w:eastAsia="SimSun" w:cs="Times New Roman"/>
      <w:b/>
      <w:bCs/>
      <w:sz w:val="24"/>
      <w:szCs w:val="24"/>
      <w:lang w:val="ro-RO" w:eastAsia="ru-RU"/>
    </w:rPr>
  </w:style>
  <w:style w:type="paragraph" w:customStyle="1" w:styleId="64">
    <w:name w:val="rg"/>
    <w:basedOn w:val="1"/>
    <w:uiPriority w:val="0"/>
    <w:pPr>
      <w:spacing w:after="0" w:line="240" w:lineRule="auto"/>
      <w:jc w:val="right"/>
    </w:pPr>
    <w:rPr>
      <w:rFonts w:ascii="Times New Roman" w:hAnsi="Times New Roman" w:eastAsia="SimSun" w:cs="Times New Roman"/>
      <w:sz w:val="24"/>
      <w:szCs w:val="24"/>
      <w:lang w:eastAsia="ru-RU"/>
    </w:rPr>
  </w:style>
  <w:style w:type="paragraph" w:customStyle="1" w:styleId="65">
    <w:name w:val="Listă paragraf1"/>
    <w:basedOn w:val="1"/>
    <w:uiPriority w:val="0"/>
    <w:pPr>
      <w:spacing w:after="0" w:line="240" w:lineRule="auto"/>
      <w:ind w:left="708"/>
    </w:pPr>
    <w:rPr>
      <w:rFonts w:ascii="Times New Roman" w:hAnsi="Times New Roman" w:eastAsia="SimSun" w:cs="Times New Roman"/>
      <w:sz w:val="24"/>
      <w:szCs w:val="24"/>
      <w:lang w:val="ro-RO" w:eastAsia="ru-RU"/>
    </w:rPr>
  </w:style>
  <w:style w:type="paragraph" w:customStyle="1" w:styleId="66">
    <w:name w:val="Sub-Clause Text"/>
    <w:basedOn w:val="1"/>
    <w:uiPriority w:val="0"/>
    <w:pPr>
      <w:spacing w:before="120" w:after="120" w:line="240" w:lineRule="auto"/>
      <w:jc w:val="both"/>
    </w:pPr>
    <w:rPr>
      <w:rFonts w:ascii="Times New Roman" w:hAnsi="Times New Roman" w:eastAsia="SimSun" w:cs="Times New Roman"/>
      <w:spacing w:val="-4"/>
      <w:sz w:val="24"/>
      <w:szCs w:val="20"/>
      <w:lang w:val="en-US"/>
    </w:rPr>
  </w:style>
  <w:style w:type="paragraph" w:customStyle="1" w:styleId="67">
    <w:name w:val="(i)"/>
    <w:basedOn w:val="1"/>
    <w:uiPriority w:val="0"/>
    <w:pPr>
      <w:suppressAutoHyphens/>
      <w:spacing w:after="0" w:line="240" w:lineRule="auto"/>
      <w:jc w:val="both"/>
    </w:pPr>
    <w:rPr>
      <w:rFonts w:ascii="Tms Rmn" w:hAnsi="Tms Rmn" w:eastAsia="SimSun" w:cs="Times New Roman"/>
      <w:sz w:val="24"/>
      <w:szCs w:val="20"/>
      <w:lang w:val="en-US"/>
    </w:rPr>
  </w:style>
  <w:style w:type="paragraph" w:customStyle="1" w:styleId="68">
    <w:name w:val="List Paragraph1"/>
    <w:basedOn w:val="1"/>
    <w:uiPriority w:val="0"/>
    <w:pPr>
      <w:spacing w:after="200" w:line="276" w:lineRule="auto"/>
      <w:ind w:left="720"/>
      <w:contextualSpacing/>
    </w:pPr>
    <w:rPr>
      <w:rFonts w:ascii="Calibri" w:hAnsi="Calibri" w:eastAsia="PMingLiU" w:cs="Times New Roman"/>
      <w:lang w:val="en-US" w:eastAsia="zh-CN"/>
    </w:rPr>
  </w:style>
  <w:style w:type="paragraph" w:customStyle="1" w:styleId="69">
    <w:name w:val="BankNormal"/>
    <w:basedOn w:val="1"/>
    <w:uiPriority w:val="0"/>
    <w:pPr>
      <w:spacing w:after="240" w:line="240" w:lineRule="auto"/>
    </w:pPr>
    <w:rPr>
      <w:rFonts w:ascii="Times New Roman" w:hAnsi="Times New Roman" w:eastAsia="SimSun" w:cs="Times New Roman"/>
      <w:sz w:val="24"/>
      <w:szCs w:val="20"/>
      <w:lang w:val="en-US"/>
    </w:rPr>
  </w:style>
  <w:style w:type="paragraph" w:customStyle="1" w:styleId="70">
    <w:name w:val="TOC Heading"/>
    <w:basedOn w:val="2"/>
    <w:next w:val="1"/>
    <w:qFormat/>
    <w:uiPriority w:val="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character" w:customStyle="1" w:styleId="71">
    <w:name w:val="Текст сноски Знак"/>
    <w:basedOn w:val="10"/>
    <w:link w:val="24"/>
    <w:uiPriority w:val="0"/>
    <w:rPr>
      <w:rFonts w:ascii="Calibri" w:hAnsi="Calibri" w:eastAsia="SimSun" w:cs="Arial"/>
      <w:sz w:val="20"/>
      <w:szCs w:val="20"/>
      <w:lang w:val="en-US"/>
    </w:rPr>
  </w:style>
  <w:style w:type="character" w:customStyle="1" w:styleId="72">
    <w:name w:val="Текст примечания Знак"/>
    <w:basedOn w:val="10"/>
    <w:link w:val="20"/>
    <w:qFormat/>
    <w:uiPriority w:val="0"/>
    <w:rPr>
      <w:rFonts w:ascii="Calibri" w:hAnsi="Calibri" w:eastAsia="SimSun" w:cs="Arial"/>
      <w:sz w:val="20"/>
      <w:szCs w:val="20"/>
      <w:lang w:eastAsia="ru-RU"/>
    </w:rPr>
  </w:style>
  <w:style w:type="character" w:customStyle="1" w:styleId="73">
    <w:name w:val="Тема примечания Знак"/>
    <w:basedOn w:val="72"/>
    <w:link w:val="21"/>
    <w:qFormat/>
    <w:uiPriority w:val="0"/>
    <w:rPr>
      <w:rFonts w:ascii="Calibri" w:hAnsi="Calibri" w:eastAsia="SimSun" w:cs="Arial"/>
      <w:b/>
      <w:bCs/>
      <w:sz w:val="20"/>
      <w:szCs w:val="20"/>
      <w:lang w:eastAsia="ru-RU"/>
    </w:rPr>
  </w:style>
  <w:style w:type="paragraph" w:customStyle="1" w:styleId="74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5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Times New Roman" w:cs="Calibri"/>
      <w:kern w:val="3"/>
      <w:sz w:val="22"/>
      <w:szCs w:val="22"/>
      <w:lang w:val="en-US" w:eastAsia="en-US" w:bidi="ar-SA"/>
    </w:rPr>
  </w:style>
  <w:style w:type="character" w:customStyle="1" w:styleId="76">
    <w:name w:val="apple-converted-space"/>
    <w:qFormat/>
    <w:uiPriority w:val="0"/>
  </w:style>
  <w:style w:type="paragraph" w:customStyle="1" w:styleId="77">
    <w:name w:val="Style3"/>
    <w:basedOn w:val="5"/>
    <w:link w:val="78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Calibri" w:hAnsi="Calibri"/>
      <w:bCs w:val="0"/>
      <w:color w:val="auto"/>
      <w:lang w:val="en-US" w:eastAsia="ru-RU"/>
    </w:rPr>
  </w:style>
  <w:style w:type="character" w:customStyle="1" w:styleId="78">
    <w:name w:val="Style3 Char"/>
    <w:link w:val="77"/>
    <w:qFormat/>
    <w:locked/>
    <w:uiPriority w:val="0"/>
    <w:rPr>
      <w:rFonts w:ascii="Calibri" w:hAnsi="Calibri" w:eastAsia="SimSun" w:cs="Arial"/>
      <w:b/>
      <w:sz w:val="24"/>
      <w:szCs w:val="24"/>
      <w:lang w:val="en-US" w:eastAsia="ru-RU"/>
    </w:rPr>
  </w:style>
  <w:style w:type="paragraph" w:customStyle="1" w:styleId="79">
    <w:name w:val="Style153"/>
    <w:basedOn w:val="1"/>
    <w:qFormat/>
    <w:uiPriority w:val="0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hAnsi="Times New Roman" w:eastAsia="SimSun" w:cs="Times New Roman"/>
      <w:sz w:val="24"/>
      <w:szCs w:val="24"/>
      <w:lang w:val="ro-RO" w:eastAsia="ro-RO"/>
    </w:rPr>
  </w:style>
  <w:style w:type="character" w:customStyle="1" w:styleId="80">
    <w:name w:val="Font Style195"/>
    <w:qFormat/>
    <w:uiPriority w:val="0"/>
    <w:rPr>
      <w:rFonts w:ascii="Times New Roman" w:hAnsi="Times New Roman"/>
      <w:b/>
      <w:i/>
      <w:sz w:val="22"/>
    </w:rPr>
  </w:style>
  <w:style w:type="paragraph" w:customStyle="1" w:styleId="81">
    <w:name w:val="Style73"/>
    <w:basedOn w:val="1"/>
    <w:qFormat/>
    <w:uiPriority w:val="0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hAnsi="Times New Roman" w:eastAsia="SimSun" w:cs="Times New Roman"/>
      <w:sz w:val="24"/>
      <w:szCs w:val="24"/>
      <w:lang w:val="ro-RO" w:eastAsia="ro-RO"/>
    </w:rPr>
  </w:style>
  <w:style w:type="character" w:customStyle="1" w:styleId="82">
    <w:name w:val="Font Style197"/>
    <w:qFormat/>
    <w:uiPriority w:val="0"/>
    <w:rPr>
      <w:rFonts w:ascii="Times New Roman" w:hAnsi="Times New Roman"/>
      <w:sz w:val="22"/>
    </w:rPr>
  </w:style>
  <w:style w:type="character" w:customStyle="1" w:styleId="83">
    <w:name w:val="Стандартный HTML Знак"/>
    <w:basedOn w:val="10"/>
    <w:link w:val="26"/>
    <w:semiHidden/>
    <w:qFormat/>
    <w:uiPriority w:val="0"/>
    <w:rPr>
      <w:rFonts w:ascii="Consolas" w:hAnsi="Consolas" w:eastAsia="SimSun" w:cs="Arial"/>
      <w:sz w:val="20"/>
      <w:szCs w:val="20"/>
      <w:lang w:val="ro-RO"/>
    </w:rPr>
  </w:style>
  <w:style w:type="character" w:customStyle="1" w:styleId="84">
    <w:name w:val="Style4 Char"/>
    <w:qFormat/>
    <w:locked/>
    <w:uiPriority w:val="0"/>
    <w:rPr>
      <w:rFonts w:eastAsia="Times New Roman" w:cs="Times New Roman"/>
      <w:b/>
      <w:sz w:val="24"/>
      <w:szCs w:val="24"/>
      <w:lang w:val="ru-RU" w:eastAsia="ru-RU" w:bidi="ar-SA"/>
    </w:rPr>
  </w:style>
  <w:style w:type="character" w:customStyle="1" w:styleId="85">
    <w:name w:val="short_text"/>
    <w:qFormat/>
    <w:uiPriority w:val="0"/>
  </w:style>
  <w:style w:type="character" w:customStyle="1" w:styleId="86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87">
    <w:name w:val="ln2paragraf1"/>
    <w:qFormat/>
    <w:uiPriority w:val="0"/>
    <w:rPr>
      <w:b/>
    </w:rPr>
  </w:style>
  <w:style w:type="character" w:customStyle="1" w:styleId="88">
    <w:name w:val="ln2tparagraf"/>
    <w:qFormat/>
    <w:uiPriority w:val="0"/>
  </w:style>
  <w:style w:type="character" w:customStyle="1" w:styleId="89">
    <w:name w:val="ln2tpunct"/>
    <w:qFormat/>
    <w:uiPriority w:val="0"/>
  </w:style>
  <w:style w:type="character" w:customStyle="1" w:styleId="90">
    <w:name w:val="tax1"/>
    <w:qFormat/>
    <w:uiPriority w:val="0"/>
    <w:rPr>
      <w:b/>
      <w:sz w:val="26"/>
    </w:rPr>
  </w:style>
  <w:style w:type="paragraph" w:customStyle="1" w:styleId="91">
    <w:name w:val="Default Text"/>
    <w:basedOn w:val="1"/>
    <w:link w:val="92"/>
    <w:qFormat/>
    <w:uiPriority w:val="0"/>
    <w:pPr>
      <w:spacing w:after="0" w:line="240" w:lineRule="auto"/>
    </w:pPr>
    <w:rPr>
      <w:rFonts w:ascii="Calibri" w:hAnsi="Calibri" w:eastAsia="SimSun" w:cs="Arial"/>
      <w:sz w:val="24"/>
      <w:szCs w:val="20"/>
      <w:lang w:val="en-US" w:eastAsia="ru-RU"/>
    </w:rPr>
  </w:style>
  <w:style w:type="character" w:customStyle="1" w:styleId="92">
    <w:name w:val="Default Text Char"/>
    <w:link w:val="91"/>
    <w:qFormat/>
    <w:locked/>
    <w:uiPriority w:val="0"/>
    <w:rPr>
      <w:rFonts w:ascii="Calibri" w:hAnsi="Calibri" w:eastAsia="SimSun" w:cs="Arial"/>
      <w:sz w:val="24"/>
      <w:szCs w:val="20"/>
      <w:lang w:val="en-US" w:eastAsia="ru-RU"/>
    </w:rPr>
  </w:style>
  <w:style w:type="character" w:customStyle="1" w:styleId="93">
    <w:name w:val="jlqj4b chmk0b"/>
    <w:basedOn w:val="10"/>
    <w:qFormat/>
    <w:uiPriority w:val="0"/>
  </w:style>
  <w:style w:type="character" w:customStyle="1" w:styleId="94">
    <w:name w:val="Основной текст + Times New Roman9"/>
    <w:qFormat/>
    <w:uiPriority w:val="0"/>
    <w:rPr>
      <w:rFonts w:ascii="Times New Roman" w:hAnsi="Times New Roman" w:cs="Times New Roman"/>
      <w:b/>
      <w:bCs/>
      <w:sz w:val="11"/>
      <w:szCs w:val="11"/>
      <w:u w:val="none"/>
    </w:rPr>
  </w:style>
  <w:style w:type="character" w:customStyle="1" w:styleId="95">
    <w:name w:val="Основной текст (48)_"/>
    <w:link w:val="96"/>
    <w:qFormat/>
    <w:uiPriority w:val="0"/>
    <w:rPr>
      <w:sz w:val="11"/>
      <w:szCs w:val="11"/>
      <w:shd w:val="clear" w:color="auto" w:fill="FFFFFF"/>
    </w:rPr>
  </w:style>
  <w:style w:type="paragraph" w:customStyle="1" w:styleId="96">
    <w:name w:val="Основной текст (48)1"/>
    <w:basedOn w:val="1"/>
    <w:link w:val="95"/>
    <w:qFormat/>
    <w:uiPriority w:val="0"/>
    <w:pPr>
      <w:widowControl w:val="0"/>
      <w:shd w:val="clear" w:color="auto" w:fill="FFFFFF"/>
      <w:spacing w:before="240" w:after="0" w:line="240" w:lineRule="atLeast"/>
      <w:ind w:hanging="180"/>
    </w:pPr>
    <w:rPr>
      <w:sz w:val="11"/>
      <w:szCs w:val="11"/>
    </w:rPr>
  </w:style>
  <w:style w:type="character" w:customStyle="1" w:styleId="97">
    <w:name w:val="Основной текст (48)"/>
    <w:basedOn w:val="95"/>
    <w:qFormat/>
    <w:uiPriority w:val="0"/>
    <w:rPr>
      <w:sz w:val="11"/>
      <w:szCs w:val="11"/>
      <w:shd w:val="clear" w:color="auto" w:fill="FFFFFF"/>
    </w:rPr>
  </w:style>
  <w:style w:type="character" w:customStyle="1" w:styleId="98">
    <w:name w:val="Основной текст (72)_"/>
    <w:link w:val="99"/>
    <w:qFormat/>
    <w:uiPriority w:val="0"/>
    <w:rPr>
      <w:b/>
      <w:bCs/>
      <w:sz w:val="11"/>
      <w:szCs w:val="11"/>
      <w:shd w:val="clear" w:color="auto" w:fill="FFFFFF"/>
    </w:rPr>
  </w:style>
  <w:style w:type="paragraph" w:customStyle="1" w:styleId="99">
    <w:name w:val="Основной текст (72)1"/>
    <w:basedOn w:val="1"/>
    <w:link w:val="98"/>
    <w:qFormat/>
    <w:uiPriority w:val="0"/>
    <w:pPr>
      <w:widowControl w:val="0"/>
      <w:shd w:val="clear" w:color="auto" w:fill="FFFFFF"/>
      <w:spacing w:after="0" w:line="134" w:lineRule="exact"/>
      <w:jc w:val="both"/>
    </w:pPr>
    <w:rPr>
      <w:b/>
      <w:bCs/>
      <w:sz w:val="11"/>
      <w:szCs w:val="11"/>
    </w:rPr>
  </w:style>
  <w:style w:type="character" w:customStyle="1" w:styleId="100">
    <w:name w:val="Основной текст (72)"/>
    <w:basedOn w:val="98"/>
    <w:qFormat/>
    <w:uiPriority w:val="0"/>
    <w:rPr>
      <w:sz w:val="11"/>
      <w:szCs w:val="11"/>
      <w:shd w:val="clear" w:color="auto" w:fill="FFFFFF"/>
    </w:rPr>
  </w:style>
  <w:style w:type="character" w:customStyle="1" w:styleId="101">
    <w:name w:val="Колонтитул_"/>
    <w:link w:val="102"/>
    <w:qFormat/>
    <w:uiPriority w:val="0"/>
    <w:rPr>
      <w:sz w:val="21"/>
      <w:szCs w:val="21"/>
      <w:shd w:val="clear" w:color="auto" w:fill="FFFFFF"/>
    </w:rPr>
  </w:style>
  <w:style w:type="paragraph" w:customStyle="1" w:styleId="102">
    <w:name w:val="Колонтитул1"/>
    <w:basedOn w:val="1"/>
    <w:link w:val="101"/>
    <w:qFormat/>
    <w:uiPriority w:val="0"/>
    <w:pPr>
      <w:widowControl w:val="0"/>
      <w:shd w:val="clear" w:color="auto" w:fill="FFFFFF"/>
      <w:spacing w:after="0" w:line="240" w:lineRule="atLeast"/>
    </w:pPr>
    <w:rPr>
      <w:sz w:val="21"/>
      <w:szCs w:val="21"/>
    </w:rPr>
  </w:style>
  <w:style w:type="character" w:customStyle="1" w:styleId="103">
    <w:name w:val="Основной текст_"/>
    <w:qFormat/>
    <w:uiPriority w:val="0"/>
    <w:rPr>
      <w:rFonts w:ascii="Arial" w:hAnsi="Arial" w:cs="Arial"/>
      <w:sz w:val="16"/>
      <w:szCs w:val="16"/>
      <w:u w:val="none"/>
    </w:rPr>
  </w:style>
  <w:style w:type="character" w:customStyle="1" w:styleId="104">
    <w:name w:val="Основной текст (16)"/>
    <w:qFormat/>
    <w:uiPriority w:val="0"/>
    <w:rPr>
      <w:rFonts w:ascii="Times New Roman" w:hAnsi="Times New Roman" w:cs="Times New Roman"/>
      <w:sz w:val="19"/>
      <w:szCs w:val="19"/>
      <w:u w:val="none"/>
    </w:rPr>
  </w:style>
  <w:style w:type="character" w:customStyle="1" w:styleId="105">
    <w:name w:val="Основной текст + Times New Roman35"/>
    <w:qFormat/>
    <w:uiPriority w:val="0"/>
    <w:rPr>
      <w:rFonts w:ascii="Times New Roman" w:hAnsi="Times New Roman" w:cs="Times New Roman"/>
      <w:b/>
      <w:bCs/>
      <w:i/>
      <w:iCs/>
      <w:sz w:val="14"/>
      <w:szCs w:val="14"/>
      <w:u w:val="none"/>
    </w:rPr>
  </w:style>
  <w:style w:type="character" w:customStyle="1" w:styleId="106">
    <w:name w:val="Основной текст + Times New Roman25"/>
    <w:qFormat/>
    <w:uiPriority w:val="0"/>
    <w:rPr>
      <w:rFonts w:ascii="Times New Roman" w:hAnsi="Times New Roman" w:cs="Times New Roman"/>
      <w:sz w:val="14"/>
      <w:szCs w:val="14"/>
      <w:u w:val="none"/>
    </w:rPr>
  </w:style>
  <w:style w:type="character" w:customStyle="1" w:styleId="107">
    <w:name w:val="Основной текст + Times New Roman21"/>
    <w:qFormat/>
    <w:uiPriority w:val="0"/>
    <w:rPr>
      <w:rFonts w:ascii="Times New Roman" w:hAnsi="Times New Roman" w:cs="Times New Roman"/>
      <w:i/>
      <w:iCs/>
      <w:sz w:val="10"/>
      <w:szCs w:val="10"/>
      <w:u w:val="none"/>
    </w:rPr>
  </w:style>
  <w:style w:type="character" w:customStyle="1" w:styleId="108">
    <w:name w:val="Основной текст + Times New Roman20"/>
    <w:qFormat/>
    <w:uiPriority w:val="0"/>
    <w:rPr>
      <w:rFonts w:ascii="Times New Roman" w:hAnsi="Times New Roman" w:cs="Times New Roman"/>
      <w:i/>
      <w:iCs/>
      <w:sz w:val="14"/>
      <w:szCs w:val="14"/>
      <w:u w:val="none"/>
    </w:rPr>
  </w:style>
  <w:style w:type="character" w:customStyle="1" w:styleId="109">
    <w:name w:val="Основной текст (14)_"/>
    <w:link w:val="110"/>
    <w:qFormat/>
    <w:uiPriority w:val="0"/>
    <w:rPr>
      <w:sz w:val="14"/>
      <w:szCs w:val="14"/>
      <w:shd w:val="clear" w:color="auto" w:fill="FFFFFF"/>
    </w:rPr>
  </w:style>
  <w:style w:type="paragraph" w:customStyle="1" w:styleId="110">
    <w:name w:val="Основной текст (14)1"/>
    <w:basedOn w:val="1"/>
    <w:link w:val="109"/>
    <w:qFormat/>
    <w:uiPriority w:val="0"/>
    <w:pPr>
      <w:widowControl w:val="0"/>
      <w:shd w:val="clear" w:color="auto" w:fill="FFFFFF"/>
      <w:spacing w:after="1020" w:line="168" w:lineRule="exact"/>
      <w:ind w:hanging="1600"/>
    </w:pPr>
    <w:rPr>
      <w:sz w:val="14"/>
      <w:szCs w:val="14"/>
    </w:rPr>
  </w:style>
  <w:style w:type="character" w:customStyle="1" w:styleId="111">
    <w:name w:val="Основной текст (15)_"/>
    <w:link w:val="112"/>
    <w:qFormat/>
    <w:uiPriority w:val="0"/>
    <w:rPr>
      <w:b/>
      <w:bCs/>
      <w:sz w:val="23"/>
      <w:szCs w:val="23"/>
      <w:shd w:val="clear" w:color="auto" w:fill="FFFFFF"/>
    </w:rPr>
  </w:style>
  <w:style w:type="paragraph" w:customStyle="1" w:styleId="112">
    <w:name w:val="Основной текст (15)1"/>
    <w:basedOn w:val="1"/>
    <w:link w:val="111"/>
    <w:qFormat/>
    <w:uiPriority w:val="0"/>
    <w:pPr>
      <w:widowControl w:val="0"/>
      <w:shd w:val="clear" w:color="auto" w:fill="FFFFFF"/>
      <w:spacing w:before="120" w:after="1020" w:line="283" w:lineRule="exact"/>
      <w:ind w:hanging="920"/>
      <w:jc w:val="center"/>
    </w:pPr>
    <w:rPr>
      <w:b/>
      <w:bCs/>
      <w:sz w:val="23"/>
      <w:szCs w:val="23"/>
    </w:rPr>
  </w:style>
  <w:style w:type="character" w:customStyle="1" w:styleId="113">
    <w:name w:val="Основной текст (19) Exact1"/>
    <w:qFormat/>
    <w:uiPriority w:val="0"/>
    <w:rPr>
      <w:rFonts w:ascii="Arial" w:hAnsi="Arial"/>
      <w:color w:val="000000"/>
      <w:spacing w:val="-10"/>
      <w:w w:val="150"/>
      <w:position w:val="0"/>
      <w:sz w:val="17"/>
      <w:szCs w:val="17"/>
      <w:lang w:bidi="ar-SA"/>
    </w:rPr>
  </w:style>
  <w:style w:type="character" w:customStyle="1" w:styleId="114">
    <w:name w:val="Основной текст (17)_"/>
    <w:link w:val="115"/>
    <w:qFormat/>
    <w:uiPriority w:val="0"/>
    <w:rPr>
      <w:b/>
      <w:bCs/>
      <w:sz w:val="14"/>
      <w:szCs w:val="14"/>
      <w:shd w:val="clear" w:color="auto" w:fill="FFFFFF"/>
    </w:rPr>
  </w:style>
  <w:style w:type="paragraph" w:customStyle="1" w:styleId="115">
    <w:name w:val="Основной текст (17)1"/>
    <w:basedOn w:val="1"/>
    <w:link w:val="114"/>
    <w:qFormat/>
    <w:uiPriority w:val="0"/>
    <w:pPr>
      <w:widowControl w:val="0"/>
      <w:shd w:val="clear" w:color="auto" w:fill="FFFFFF"/>
      <w:spacing w:after="0" w:line="168" w:lineRule="exact"/>
    </w:pPr>
    <w:rPr>
      <w:b/>
      <w:bCs/>
      <w:sz w:val="14"/>
      <w:szCs w:val="14"/>
    </w:rPr>
  </w:style>
  <w:style w:type="character" w:customStyle="1" w:styleId="116">
    <w:name w:val="Основной текст (18)_"/>
    <w:link w:val="117"/>
    <w:qFormat/>
    <w:uiPriority w:val="0"/>
    <w:rPr>
      <w:i/>
      <w:iCs/>
      <w:sz w:val="14"/>
      <w:szCs w:val="14"/>
      <w:shd w:val="clear" w:color="auto" w:fill="FFFFFF"/>
    </w:rPr>
  </w:style>
  <w:style w:type="paragraph" w:customStyle="1" w:styleId="117">
    <w:name w:val="Основной текст (18)1"/>
    <w:basedOn w:val="1"/>
    <w:link w:val="116"/>
    <w:qFormat/>
    <w:uiPriority w:val="0"/>
    <w:pPr>
      <w:widowControl w:val="0"/>
      <w:shd w:val="clear" w:color="auto" w:fill="FFFFFF"/>
      <w:spacing w:after="120" w:line="168" w:lineRule="exact"/>
      <w:ind w:hanging="260"/>
      <w:jc w:val="center"/>
    </w:pPr>
    <w:rPr>
      <w:i/>
      <w:iCs/>
      <w:sz w:val="14"/>
      <w:szCs w:val="14"/>
    </w:rPr>
  </w:style>
  <w:style w:type="character" w:customStyle="1" w:styleId="118">
    <w:name w:val="Основной текст (21) Exact1"/>
    <w:qFormat/>
    <w:uiPriority w:val="0"/>
    <w:rPr>
      <w:color w:val="000000"/>
      <w:spacing w:val="2"/>
      <w:w w:val="100"/>
      <w:position w:val="0"/>
      <w:sz w:val="21"/>
      <w:szCs w:val="21"/>
      <w:lang w:bidi="ar-SA"/>
    </w:rPr>
  </w:style>
  <w:style w:type="character" w:customStyle="1" w:styleId="119">
    <w:name w:val="Основной текст (30)_"/>
    <w:link w:val="120"/>
    <w:qFormat/>
    <w:uiPriority w:val="0"/>
    <w:rPr>
      <w:b/>
      <w:bCs/>
      <w:sz w:val="16"/>
      <w:szCs w:val="16"/>
      <w:shd w:val="clear" w:color="auto" w:fill="FFFFFF"/>
    </w:rPr>
  </w:style>
  <w:style w:type="paragraph" w:customStyle="1" w:styleId="120">
    <w:name w:val="Основной текст (30)1"/>
    <w:basedOn w:val="1"/>
    <w:link w:val="119"/>
    <w:qFormat/>
    <w:uiPriority w:val="0"/>
    <w:pPr>
      <w:widowControl w:val="0"/>
      <w:shd w:val="clear" w:color="auto" w:fill="FFFFFF"/>
      <w:spacing w:before="600" w:after="0" w:line="240" w:lineRule="atLeast"/>
      <w:jc w:val="both"/>
    </w:pPr>
    <w:rPr>
      <w:b/>
      <w:bCs/>
      <w:sz w:val="16"/>
      <w:szCs w:val="16"/>
    </w:rPr>
  </w:style>
  <w:style w:type="character" w:customStyle="1" w:styleId="121">
    <w:name w:val="Основной текст (23)_"/>
    <w:link w:val="122"/>
    <w:qFormat/>
    <w:uiPriority w:val="0"/>
    <w:rPr>
      <w:b/>
      <w:bCs/>
      <w:sz w:val="14"/>
      <w:szCs w:val="14"/>
      <w:shd w:val="clear" w:color="auto" w:fill="FFFFFF"/>
    </w:rPr>
  </w:style>
  <w:style w:type="paragraph" w:customStyle="1" w:styleId="122">
    <w:name w:val="Основной текст (23)1"/>
    <w:basedOn w:val="1"/>
    <w:link w:val="121"/>
    <w:qFormat/>
    <w:uiPriority w:val="0"/>
    <w:pPr>
      <w:widowControl w:val="0"/>
      <w:shd w:val="clear" w:color="auto" w:fill="FFFFFF"/>
      <w:spacing w:after="0" w:line="240" w:lineRule="atLeast"/>
    </w:pPr>
    <w:rPr>
      <w:b/>
      <w:bCs/>
      <w:sz w:val="14"/>
      <w:szCs w:val="14"/>
    </w:rPr>
  </w:style>
  <w:style w:type="character" w:customStyle="1" w:styleId="123">
    <w:name w:val="Основной текст (21)_"/>
    <w:link w:val="124"/>
    <w:qFormat/>
    <w:uiPriority w:val="0"/>
    <w:rPr>
      <w:shd w:val="clear" w:color="auto" w:fill="FFFFFF"/>
    </w:rPr>
  </w:style>
  <w:style w:type="paragraph" w:customStyle="1" w:styleId="124">
    <w:name w:val="Основной текст (21)1"/>
    <w:basedOn w:val="1"/>
    <w:link w:val="123"/>
    <w:qFormat/>
    <w:uiPriority w:val="0"/>
    <w:pPr>
      <w:widowControl w:val="0"/>
      <w:shd w:val="clear" w:color="auto" w:fill="FFFFFF"/>
      <w:spacing w:after="300" w:line="240" w:lineRule="atLeast"/>
    </w:pPr>
  </w:style>
  <w:style w:type="character" w:customStyle="1" w:styleId="125">
    <w:name w:val="Основной текст (14) + Интервал 0 pt Exact"/>
    <w:qFormat/>
    <w:uiPriority w:val="0"/>
    <w:rPr>
      <w:sz w:val="13"/>
      <w:szCs w:val="13"/>
      <w:lang w:bidi="ar-SA"/>
    </w:rPr>
  </w:style>
  <w:style w:type="character" w:customStyle="1" w:styleId="126">
    <w:name w:val="Основной текст (15) + Интервал 0 pt Exact"/>
    <w:qFormat/>
    <w:uiPriority w:val="0"/>
    <w:rPr>
      <w:b/>
      <w:bCs/>
      <w:color w:val="FFFFFF"/>
      <w:spacing w:val="9"/>
      <w:sz w:val="22"/>
      <w:szCs w:val="22"/>
      <w:lang w:val="en-US" w:eastAsia="en-US" w:bidi="ar-SA"/>
    </w:rPr>
  </w:style>
  <w:style w:type="character" w:customStyle="1" w:styleId="127">
    <w:name w:val="Основной текст (18) + Интервал 0 pt Exact"/>
    <w:qFormat/>
    <w:uiPriority w:val="0"/>
    <w:rPr>
      <w:i/>
      <w:iCs/>
      <w:spacing w:val="-3"/>
      <w:sz w:val="13"/>
      <w:szCs w:val="13"/>
      <w:lang w:bidi="ar-SA"/>
    </w:rPr>
  </w:style>
  <w:style w:type="character" w:customStyle="1" w:styleId="128">
    <w:name w:val="Основной текст (14) + Малые прописные2"/>
    <w:qFormat/>
    <w:uiPriority w:val="0"/>
    <w:rPr>
      <w:smallCaps/>
      <w:sz w:val="13"/>
      <w:szCs w:val="13"/>
      <w:lang w:val="en-US" w:eastAsia="en-US" w:bidi="ar-SA"/>
    </w:rPr>
  </w:style>
  <w:style w:type="character" w:customStyle="1" w:styleId="129">
    <w:name w:val="Основной текст (23) + Интервал 0 pt Exact"/>
    <w:basedOn w:val="121"/>
    <w:qFormat/>
    <w:uiPriority w:val="0"/>
    <w:rPr>
      <w:sz w:val="14"/>
      <w:szCs w:val="14"/>
      <w:shd w:val="clear" w:color="auto" w:fill="FFFFFF"/>
    </w:rPr>
  </w:style>
  <w:style w:type="character" w:customStyle="1" w:styleId="130">
    <w:name w:val="Основной текст (18)2"/>
    <w:basedOn w:val="116"/>
    <w:qFormat/>
    <w:uiPriority w:val="0"/>
    <w:rPr>
      <w:sz w:val="14"/>
      <w:szCs w:val="14"/>
      <w:shd w:val="clear" w:color="auto" w:fill="FFFFFF"/>
    </w:rPr>
  </w:style>
  <w:style w:type="character" w:customStyle="1" w:styleId="131">
    <w:name w:val="Основной текст (14)4"/>
    <w:basedOn w:val="109"/>
    <w:qFormat/>
    <w:uiPriority w:val="0"/>
    <w:rPr>
      <w:sz w:val="14"/>
      <w:szCs w:val="14"/>
      <w:shd w:val="clear" w:color="auto" w:fill="FFFFFF"/>
    </w:rPr>
  </w:style>
  <w:style w:type="character" w:customStyle="1" w:styleId="132">
    <w:name w:val="Основной текст (17) + Интервал 0 pt Exact"/>
    <w:qFormat/>
    <w:uiPriority w:val="0"/>
    <w:rPr>
      <w:b/>
      <w:bCs/>
      <w:spacing w:val="1"/>
      <w:sz w:val="13"/>
      <w:szCs w:val="13"/>
      <w:lang w:bidi="ar-SA"/>
    </w:rPr>
  </w:style>
  <w:style w:type="character" w:customStyle="1" w:styleId="133">
    <w:name w:val="Заголовок №15_"/>
    <w:link w:val="134"/>
    <w:qFormat/>
    <w:uiPriority w:val="0"/>
    <w:rPr>
      <w:b/>
      <w:bCs/>
      <w:sz w:val="16"/>
      <w:szCs w:val="16"/>
      <w:shd w:val="clear" w:color="auto" w:fill="FFFFFF"/>
    </w:rPr>
  </w:style>
  <w:style w:type="paragraph" w:customStyle="1" w:styleId="134">
    <w:name w:val="Заголовок №151"/>
    <w:basedOn w:val="1"/>
    <w:link w:val="133"/>
    <w:qFormat/>
    <w:uiPriority w:val="0"/>
    <w:pPr>
      <w:widowControl w:val="0"/>
      <w:shd w:val="clear" w:color="auto" w:fill="FFFFFF"/>
      <w:spacing w:before="540" w:after="0" w:line="240" w:lineRule="atLeast"/>
      <w:jc w:val="center"/>
    </w:pPr>
    <w:rPr>
      <w:b/>
      <w:bCs/>
      <w:sz w:val="16"/>
      <w:szCs w:val="16"/>
    </w:rPr>
  </w:style>
  <w:style w:type="character" w:customStyle="1" w:styleId="135">
    <w:name w:val="Заголовок №15"/>
    <w:basedOn w:val="133"/>
    <w:qFormat/>
    <w:uiPriority w:val="0"/>
    <w:rPr>
      <w:sz w:val="16"/>
      <w:szCs w:val="16"/>
      <w:shd w:val="clear" w:color="auto" w:fill="FFFFFF"/>
    </w:rPr>
  </w:style>
  <w:style w:type="character" w:customStyle="1" w:styleId="136">
    <w:name w:val="Основной текст (14) + Курсив2"/>
    <w:qFormat/>
    <w:uiPriority w:val="0"/>
    <w:rPr>
      <w:i/>
      <w:iCs/>
      <w:sz w:val="14"/>
      <w:szCs w:val="14"/>
      <w:lang w:bidi="ar-SA"/>
    </w:rPr>
  </w:style>
  <w:style w:type="character" w:customStyle="1" w:styleId="137">
    <w:name w:val="Основной текст (30)2"/>
    <w:basedOn w:val="119"/>
    <w:qFormat/>
    <w:uiPriority w:val="0"/>
    <w:rPr>
      <w:sz w:val="16"/>
      <w:szCs w:val="16"/>
      <w:shd w:val="clear" w:color="auto" w:fill="FFFFFF"/>
    </w:rPr>
  </w:style>
  <w:style w:type="character" w:customStyle="1" w:styleId="138">
    <w:name w:val="Заголовок №15 (3)_"/>
    <w:link w:val="139"/>
    <w:qFormat/>
    <w:uiPriority w:val="0"/>
    <w:rPr>
      <w:rFonts w:ascii="Sylfaen" w:hAnsi="Sylfaen"/>
      <w:sz w:val="16"/>
      <w:szCs w:val="16"/>
      <w:shd w:val="clear" w:color="auto" w:fill="FFFFFF"/>
    </w:rPr>
  </w:style>
  <w:style w:type="paragraph" w:customStyle="1" w:styleId="139">
    <w:name w:val="Заголовок №15 (3)1"/>
    <w:basedOn w:val="1"/>
    <w:link w:val="138"/>
    <w:qFormat/>
    <w:uiPriority w:val="0"/>
    <w:pPr>
      <w:widowControl w:val="0"/>
      <w:shd w:val="clear" w:color="auto" w:fill="FFFFFF"/>
      <w:spacing w:before="120" w:after="120" w:line="240" w:lineRule="atLeast"/>
      <w:ind w:firstLine="340"/>
      <w:jc w:val="both"/>
    </w:pPr>
    <w:rPr>
      <w:rFonts w:ascii="Sylfaen" w:hAnsi="Sylfaen"/>
      <w:sz w:val="16"/>
      <w:szCs w:val="16"/>
    </w:rPr>
  </w:style>
  <w:style w:type="character" w:customStyle="1" w:styleId="140">
    <w:name w:val="Заголовок №15 (3)"/>
    <w:basedOn w:val="138"/>
    <w:qFormat/>
    <w:uiPriority w:val="0"/>
    <w:rPr>
      <w:rFonts w:ascii="Sylfaen" w:hAnsi="Sylfaen"/>
      <w:sz w:val="16"/>
      <w:szCs w:val="16"/>
      <w:shd w:val="clear" w:color="auto" w:fill="FFFFFF"/>
    </w:rPr>
  </w:style>
  <w:style w:type="character" w:customStyle="1" w:styleId="141">
    <w:name w:val="Основной текст (55)_"/>
    <w:link w:val="142"/>
    <w:qFormat/>
    <w:uiPriority w:val="0"/>
    <w:rPr>
      <w:i/>
      <w:iCs/>
      <w:sz w:val="11"/>
      <w:szCs w:val="11"/>
      <w:shd w:val="clear" w:color="auto" w:fill="FFFFFF"/>
    </w:rPr>
  </w:style>
  <w:style w:type="paragraph" w:customStyle="1" w:styleId="142">
    <w:name w:val="Основной текст (55)1"/>
    <w:basedOn w:val="1"/>
    <w:link w:val="141"/>
    <w:qFormat/>
    <w:uiPriority w:val="0"/>
    <w:pPr>
      <w:widowControl w:val="0"/>
      <w:shd w:val="clear" w:color="auto" w:fill="FFFFFF"/>
      <w:spacing w:after="0" w:line="168" w:lineRule="exact"/>
      <w:ind w:firstLine="340"/>
      <w:jc w:val="both"/>
    </w:pPr>
    <w:rPr>
      <w:i/>
      <w:iCs/>
      <w:sz w:val="11"/>
      <w:szCs w:val="11"/>
    </w:rPr>
  </w:style>
  <w:style w:type="character" w:customStyle="1" w:styleId="143">
    <w:name w:val="Основной текст (55)"/>
    <w:basedOn w:val="141"/>
    <w:qFormat/>
    <w:uiPriority w:val="0"/>
    <w:rPr>
      <w:sz w:val="11"/>
      <w:szCs w:val="11"/>
      <w:shd w:val="clear" w:color="auto" w:fill="FFFFFF"/>
    </w:rPr>
  </w:style>
  <w:style w:type="character" w:customStyle="1" w:styleId="144">
    <w:name w:val="Основной текст (19)_"/>
    <w:link w:val="145"/>
    <w:qFormat/>
    <w:uiPriority w:val="0"/>
    <w:rPr>
      <w:rFonts w:ascii="Arial" w:hAnsi="Arial"/>
      <w:spacing w:val="-10"/>
      <w:w w:val="150"/>
      <w:sz w:val="17"/>
      <w:szCs w:val="17"/>
      <w:shd w:val="clear" w:color="auto" w:fill="FFFFFF"/>
    </w:rPr>
  </w:style>
  <w:style w:type="paragraph" w:customStyle="1" w:styleId="145">
    <w:name w:val="Основной текст (19)1"/>
    <w:basedOn w:val="1"/>
    <w:link w:val="144"/>
    <w:qFormat/>
    <w:uiPriority w:val="0"/>
    <w:pPr>
      <w:widowControl w:val="0"/>
      <w:shd w:val="clear" w:color="auto" w:fill="FFFFFF"/>
      <w:spacing w:after="60" w:line="240" w:lineRule="atLeast"/>
    </w:pPr>
    <w:rPr>
      <w:rFonts w:ascii="Arial" w:hAnsi="Arial"/>
      <w:spacing w:val="-10"/>
      <w:w w:val="150"/>
      <w:sz w:val="17"/>
      <w:szCs w:val="17"/>
    </w:rPr>
  </w:style>
  <w:style w:type="character" w:customStyle="1" w:styleId="146">
    <w:name w:val="Основной текст + Times New Roman24"/>
    <w:qFormat/>
    <w:uiPriority w:val="0"/>
    <w:rPr>
      <w:rFonts w:ascii="Times New Roman" w:hAnsi="Times New Roman" w:cs="Times New Roman"/>
      <w:b/>
      <w:bCs/>
      <w:sz w:val="14"/>
      <w:szCs w:val="14"/>
      <w:u w:val="none"/>
    </w:rPr>
  </w:style>
  <w:style w:type="paragraph" w:styleId="147">
    <w:name w:val="List Paragraph"/>
    <w:basedOn w:val="1"/>
    <w:qFormat/>
    <w:uiPriority w:val="34"/>
    <w:pPr>
      <w:ind w:left="708"/>
    </w:pPr>
    <w:rPr>
      <w:rFonts w:ascii="Calibri" w:hAnsi="Calibri" w:eastAsia="Calibri" w:cs="Arial"/>
      <w:lang w:val="en-US"/>
    </w:rPr>
  </w:style>
  <w:style w:type="paragraph" w:styleId="148">
    <w:name w:val="No Spacing"/>
    <w:qFormat/>
    <w:uiPriority w:val="1"/>
    <w:pPr>
      <w:spacing w:after="0" w:line="240" w:lineRule="auto"/>
    </w:pPr>
    <w:rPr>
      <w:rFonts w:ascii="Calibri" w:hAnsi="Calibri" w:eastAsia="Calibri" w:cs="Arial"/>
      <w:sz w:val="22"/>
      <w:szCs w:val="22"/>
      <w:lang w:val="en-US" w:eastAsia="en-US" w:bidi="ar-SA"/>
    </w:rPr>
  </w:style>
  <w:style w:type="character" w:customStyle="1" w:styleId="149">
    <w:name w:val="Неразрешенное упоминание1"/>
    <w:basedOn w:val="10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1976</Words>
  <Characters>11264</Characters>
  <Lines>93</Lines>
  <Paragraphs>26</Paragraphs>
  <TotalTime>1</TotalTime>
  <ScaleCrop>false</ScaleCrop>
  <LinksUpToDate>false</LinksUpToDate>
  <CharactersWithSpaces>13214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2024-05-29T05:21:00Z</dcterms:created>
  <dc:creator>User</dc:creator>
  <cp:lastModifiedBy>user</cp:lastModifiedBy>
  <cp:lastPrinted>2022-11-16T11:26:00Z</cp:lastPrinted>
  <dcterms:modified xsi:type="dcterms:W3CDTF">2025-11-19T13:25:23Z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4E8AEC727FE24206AF262A87E3D0DB53_12</vt:lpwstr>
  </property>
</Properties>
</file>