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407CB0" w:rsidRPr="00407CB0">
              <w:rPr>
                <w:b/>
                <w:sz w:val="32"/>
                <w:szCs w:val="32"/>
              </w:rPr>
              <w:t>Lichidarea poligonului de deseuri menagere sat. Dobrogea Veche</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407CB0" w:rsidRPr="00407CB0">
              <w:rPr>
                <w:b/>
                <w:sz w:val="32"/>
                <w:szCs w:val="32"/>
              </w:rPr>
              <w:t>45222110-3</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E5FA7" w:rsidRPr="005E5FA7">
              <w:rPr>
                <w:sz w:val="32"/>
                <w:szCs w:val="32"/>
              </w:rPr>
              <w:t>Primaria com. Dobrogea Veche</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5E5FA7" w:rsidRPr="005E5FA7">
              <w:rPr>
                <w:sz w:val="32"/>
                <w:szCs w:val="32"/>
              </w:rPr>
              <w:t>Cererea  Ofertelor de Pret</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5E5FA7" w:rsidP="002870C3">
            <w:pPr>
              <w:rPr>
                <w:rFonts w:asciiTheme="majorHAnsi" w:hAnsiTheme="majorHAnsi" w:cstheme="majorHAnsi"/>
                <w:b/>
                <w:i/>
                <w:noProof w:val="0"/>
                <w:lang w:val="en-US"/>
              </w:rPr>
            </w:pPr>
            <w:r>
              <w:rPr>
                <w:rFonts w:asciiTheme="majorHAnsi" w:hAnsiTheme="majorHAnsi" w:cstheme="majorHAnsi"/>
                <w:b/>
                <w:i/>
                <w:noProof w:val="0"/>
                <w:lang w:val="en-US"/>
              </w:rPr>
              <w:t>PRIMARIA DOBROGEA VECHE</w:t>
            </w:r>
          </w:p>
          <w:p w:rsidR="005E5FA7" w:rsidRPr="005E5FA7" w:rsidRDefault="005E5FA7" w:rsidP="002870C3">
            <w:pPr>
              <w:rPr>
                <w:rFonts w:asciiTheme="majorHAnsi" w:hAnsiTheme="majorHAnsi" w:cstheme="majorHAnsi"/>
                <w:b/>
                <w:i/>
                <w:noProof w:val="0"/>
                <w:lang w:val="en-US"/>
              </w:rPr>
            </w:pPr>
            <w:r>
              <w:rPr>
                <w:rFonts w:asciiTheme="majorHAnsi" w:hAnsiTheme="majorHAnsi" w:cstheme="majorHAnsi"/>
                <w:b/>
                <w:i/>
                <w:noProof w:val="0"/>
                <w:lang w:val="en-US"/>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407CB0" w:rsidP="002870C3">
            <w:pPr>
              <w:rPr>
                <w:rFonts w:asciiTheme="majorHAnsi" w:hAnsiTheme="majorHAnsi" w:cstheme="majorHAnsi"/>
                <w:b/>
                <w:i/>
                <w:noProof w:val="0"/>
              </w:rPr>
            </w:pPr>
            <w:r w:rsidRPr="00407CB0">
              <w:rPr>
                <w:rFonts w:asciiTheme="majorHAnsi" w:hAnsiTheme="majorHAnsi" w:cstheme="majorHAnsi"/>
                <w:b/>
                <w:i/>
                <w:noProof w:val="0"/>
              </w:rPr>
              <w:t>Lichidarea poligonului de deseuri menagere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5E5FA7">
              <w:rPr>
                <w:rFonts w:asciiTheme="majorHAnsi" w:hAnsiTheme="majorHAnsi" w:cstheme="majorHAnsi"/>
                <w:b/>
                <w:i/>
                <w:noProof w:val="0"/>
              </w:rPr>
              <w:t xml:space="preserve">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5E5FA7">
              <w:t xml:space="preserve"> </w:t>
            </w:r>
            <w:r w:rsidR="005E5FA7" w:rsidRPr="005E5FA7">
              <w:rPr>
                <w:rFonts w:asciiTheme="majorHAnsi" w:hAnsiTheme="majorHAnsi" w:cstheme="majorHAnsi"/>
                <w:b/>
                <w:i/>
                <w:noProof w:val="0"/>
              </w:rPr>
              <w:t>Cererea  Ofertelor de Pret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407CB0" w:rsidP="002870C3">
            <w:pPr>
              <w:rPr>
                <w:rFonts w:asciiTheme="majorHAnsi" w:hAnsiTheme="majorHAnsi" w:cstheme="majorHAnsi"/>
                <w:b/>
                <w:i/>
                <w:noProof w:val="0"/>
              </w:rPr>
            </w:pPr>
            <w:r w:rsidRPr="00407CB0">
              <w:rPr>
                <w:rFonts w:asciiTheme="majorHAnsi" w:hAnsiTheme="majorHAnsi" w:cstheme="majorHAnsi"/>
                <w:b/>
                <w:i/>
                <w:noProof w:val="0"/>
              </w:rPr>
              <w:t>45222110-3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DUGET LOCAL 2021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sidRPr="005E5FA7">
              <w:rPr>
                <w:rFonts w:asciiTheme="majorHAnsi" w:hAnsiTheme="majorHAnsi" w:cstheme="majorHAnsi"/>
                <w:b/>
                <w:i/>
                <w:noProof w:val="0"/>
              </w:rPr>
              <w:t>PRIMARIA DOBROGEA VECHE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5FA7" w:rsidRPr="005E5FA7" w:rsidRDefault="005E5FA7" w:rsidP="005E5FA7">
            <w:pPr>
              <w:rPr>
                <w:rFonts w:asciiTheme="majorHAnsi" w:hAnsiTheme="majorHAnsi" w:cstheme="majorHAnsi"/>
                <w:b/>
                <w:i/>
                <w:noProof w:val="0"/>
              </w:rPr>
            </w:pPr>
            <w:r w:rsidRPr="005E5FA7">
              <w:rPr>
                <w:rFonts w:asciiTheme="majorHAnsi" w:hAnsiTheme="majorHAnsi" w:cstheme="majorHAnsi"/>
                <w:b/>
                <w:i/>
                <w:noProof w:val="0"/>
              </w:rPr>
              <w:t>PRIMARIA DOBROGEA VECHE</w:t>
            </w:r>
          </w:p>
          <w:p w:rsidR="002870C3" w:rsidRPr="002870C3" w:rsidRDefault="005E5FA7" w:rsidP="005E5FA7">
            <w:pPr>
              <w:rPr>
                <w:rFonts w:asciiTheme="majorHAnsi" w:hAnsiTheme="majorHAnsi" w:cstheme="majorHAnsi"/>
                <w:b/>
                <w:i/>
                <w:noProof w:val="0"/>
              </w:rPr>
            </w:pPr>
            <w:r w:rsidRPr="005E5FA7">
              <w:rPr>
                <w:rFonts w:asciiTheme="majorHAnsi" w:hAnsiTheme="majorHAnsi" w:cstheme="majorHAnsi"/>
                <w:b/>
                <w:i/>
                <w:noProof w:val="0"/>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5FA7" w:rsidRPr="005E5FA7" w:rsidRDefault="002870C3" w:rsidP="005E5FA7">
            <w:pPr>
              <w:rPr>
                <w:rFonts w:asciiTheme="majorHAnsi" w:hAnsiTheme="majorHAnsi" w:cstheme="majorHAnsi"/>
                <w:b/>
                <w:i/>
                <w:noProof w:val="0"/>
              </w:rPr>
            </w:pPr>
            <w:r w:rsidRPr="002870C3">
              <w:rPr>
                <w:rFonts w:asciiTheme="majorHAnsi" w:hAnsiTheme="majorHAnsi" w:cstheme="majorHAnsi"/>
                <w:b/>
                <w:i/>
                <w:noProof w:val="0"/>
              </w:rPr>
              <w:t>[</w:t>
            </w:r>
            <w:r w:rsidR="005E5FA7" w:rsidRPr="005E5FA7">
              <w:rPr>
                <w:rFonts w:asciiTheme="majorHAnsi" w:hAnsiTheme="majorHAnsi" w:cstheme="majorHAnsi"/>
                <w:b/>
                <w:i/>
                <w:noProof w:val="0"/>
              </w:rPr>
              <w:t>PRIMARIA DOBROGEA VECHE</w:t>
            </w:r>
          </w:p>
          <w:p w:rsidR="002870C3" w:rsidRPr="002870C3" w:rsidRDefault="005E5FA7" w:rsidP="005E5FA7">
            <w:pPr>
              <w:rPr>
                <w:rFonts w:asciiTheme="majorHAnsi" w:hAnsiTheme="majorHAnsi" w:cstheme="majorHAnsi"/>
                <w:b/>
                <w:i/>
                <w:noProof w:val="0"/>
              </w:rPr>
            </w:pPr>
            <w:r w:rsidRPr="005E5FA7">
              <w:rPr>
                <w:rFonts w:asciiTheme="majorHAnsi" w:hAnsiTheme="majorHAnsi" w:cstheme="majorHAnsi"/>
                <w:b/>
                <w:i/>
                <w:noProof w:val="0"/>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FA069E" w:rsidP="002870C3">
            <w:pPr>
              <w:jc w:val="both"/>
              <w:rPr>
                <w:rFonts w:asciiTheme="majorHAnsi" w:hAnsiTheme="majorHAnsi" w:cstheme="majorHAnsi"/>
                <w:b/>
                <w:i/>
                <w:noProof w:val="0"/>
              </w:rPr>
            </w:pPr>
            <w:r w:rsidRPr="00FA069E">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tabs>
                <w:tab w:val="right" w:pos="4743"/>
              </w:tabs>
              <w:rPr>
                <w:rFonts w:asciiTheme="majorHAnsi" w:hAnsiTheme="majorHAnsi" w:cstheme="majorHAnsi"/>
                <w:b/>
                <w:i/>
                <w:noProof w:val="0"/>
              </w:rPr>
            </w:pPr>
            <w:r w:rsidRPr="00FA069E">
              <w:rPr>
                <w:rFonts w:asciiTheme="majorHAnsi" w:hAnsiTheme="majorHAnsi" w:cstheme="majorHAnsi"/>
                <w:b/>
                <w:i/>
                <w:noProof w:val="0"/>
              </w:rPr>
              <w:t>Nu se aplica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w:t>
            </w:r>
            <w:r w:rsidR="00FA069E">
              <w:rPr>
                <w:rFonts w:asciiTheme="majorHAnsi" w:hAnsiTheme="majorHAnsi" w:cstheme="majorHAnsi"/>
                <w:b/>
                <w:i/>
                <w:noProof w:val="0"/>
              </w:rPr>
              <w:t xml:space="preserve">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5E5FA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FA069E" w:rsidRPr="005E57E4" w:rsidTr="005E5FA7">
        <w:trPr>
          <w:trHeight w:val="397"/>
        </w:trPr>
        <w:tc>
          <w:tcPr>
            <w:tcW w:w="638" w:type="dxa"/>
            <w:shd w:val="clear" w:color="auto" w:fill="auto"/>
            <w:vAlign w:val="center"/>
          </w:tcPr>
          <w:p w:rsidR="00FA069E" w:rsidRPr="005E57E4" w:rsidRDefault="00FA069E" w:rsidP="005E57E4">
            <w:pPr>
              <w:ind w:left="-57" w:right="-57"/>
              <w:jc w:val="center"/>
              <w:rPr>
                <w:rFonts w:asciiTheme="majorHAnsi" w:hAnsiTheme="majorHAnsi" w:cstheme="majorHAnsi"/>
              </w:rPr>
            </w:pPr>
          </w:p>
        </w:tc>
        <w:tc>
          <w:tcPr>
            <w:tcW w:w="887" w:type="dxa"/>
            <w:shd w:val="clear" w:color="auto" w:fill="auto"/>
            <w:vAlign w:val="center"/>
          </w:tcPr>
          <w:p w:rsidR="00FA069E" w:rsidRPr="00407CB0" w:rsidRDefault="00407CB0" w:rsidP="00FA4F44">
            <w:pPr>
              <w:spacing w:before="120"/>
              <w:jc w:val="center"/>
              <w:rPr>
                <w:lang w:val="ru-RU"/>
              </w:rPr>
            </w:pPr>
            <w:r w:rsidRPr="00407CB0">
              <w:t>45222110-3</w:t>
            </w:r>
          </w:p>
        </w:tc>
        <w:tc>
          <w:tcPr>
            <w:tcW w:w="2836" w:type="dxa"/>
            <w:shd w:val="clear" w:color="auto" w:fill="auto"/>
            <w:vAlign w:val="center"/>
          </w:tcPr>
          <w:p w:rsidR="00FA069E" w:rsidRPr="001D2322" w:rsidRDefault="00407CB0" w:rsidP="00FA4F44">
            <w:pPr>
              <w:spacing w:before="120"/>
              <w:jc w:val="center"/>
              <w:rPr>
                <w:i/>
                <w:lang w:val="en-US"/>
              </w:rPr>
            </w:pPr>
            <w:r w:rsidRPr="00407CB0">
              <w:rPr>
                <w:i/>
                <w:lang w:val="en-US"/>
              </w:rPr>
              <w:t>Lichidarea poligonului de deseuri menagere</w:t>
            </w:r>
          </w:p>
        </w:tc>
        <w:tc>
          <w:tcPr>
            <w:tcW w:w="992" w:type="dxa"/>
            <w:shd w:val="clear" w:color="auto" w:fill="auto"/>
            <w:vAlign w:val="center"/>
          </w:tcPr>
          <w:p w:rsidR="00FA069E" w:rsidRPr="001D2322" w:rsidRDefault="00FA069E" w:rsidP="00FA4F44">
            <w:pPr>
              <w:spacing w:before="120"/>
              <w:jc w:val="center"/>
              <w:rPr>
                <w:lang w:val="en-US"/>
              </w:rPr>
            </w:pPr>
            <w:r>
              <w:rPr>
                <w:lang w:val="en-US"/>
              </w:rPr>
              <w:t>set</w:t>
            </w:r>
          </w:p>
        </w:tc>
        <w:tc>
          <w:tcPr>
            <w:tcW w:w="992" w:type="dxa"/>
            <w:shd w:val="clear" w:color="auto" w:fill="auto"/>
            <w:vAlign w:val="center"/>
          </w:tcPr>
          <w:p w:rsidR="00FA069E" w:rsidRPr="001D2322" w:rsidRDefault="00FA069E" w:rsidP="00FA4F44">
            <w:pPr>
              <w:spacing w:before="120"/>
              <w:jc w:val="center"/>
              <w:rPr>
                <w:lang w:val="en-US"/>
              </w:rPr>
            </w:pPr>
            <w:r>
              <w:rPr>
                <w:lang w:val="en-US"/>
              </w:rPr>
              <w:t>1</w:t>
            </w:r>
          </w:p>
        </w:tc>
        <w:tc>
          <w:tcPr>
            <w:tcW w:w="3402" w:type="dxa"/>
            <w:shd w:val="clear" w:color="auto" w:fill="auto"/>
            <w:vAlign w:val="center"/>
          </w:tcPr>
          <w:p w:rsidR="00FA069E" w:rsidRPr="001D2322" w:rsidRDefault="00FA069E" w:rsidP="00FA4F44">
            <w:pPr>
              <w:spacing w:before="120"/>
              <w:jc w:val="center"/>
              <w:rPr>
                <w:lang w:val="en-US"/>
              </w:rPr>
            </w:pPr>
            <w:r>
              <w:rPr>
                <w:lang w:val="en-US"/>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688"/>
        <w:gridCol w:w="3808"/>
        <w:gridCol w:w="3530"/>
        <w:gridCol w:w="1750"/>
      </w:tblGrid>
      <w:tr w:rsidR="00BC1580" w:rsidRPr="004225A2" w:rsidTr="00BC1580">
        <w:tc>
          <w:tcPr>
            <w:tcW w:w="688" w:type="dxa"/>
          </w:tcPr>
          <w:p w:rsidR="00BC1580" w:rsidRPr="004225A2" w:rsidRDefault="00BC1580" w:rsidP="00FA4F44">
            <w:pPr>
              <w:tabs>
                <w:tab w:val="left" w:pos="612"/>
              </w:tabs>
              <w:spacing w:before="120" w:after="120"/>
              <w:rPr>
                <w:b/>
                <w:iCs/>
              </w:rPr>
            </w:pPr>
            <w:r w:rsidRPr="004225A2">
              <w:rPr>
                <w:b/>
                <w:iCs/>
              </w:rPr>
              <w:t>Nr. d/o</w:t>
            </w:r>
          </w:p>
        </w:tc>
        <w:tc>
          <w:tcPr>
            <w:tcW w:w="3808" w:type="dxa"/>
          </w:tcPr>
          <w:p w:rsidR="00BC1580" w:rsidRPr="004225A2" w:rsidRDefault="00BC1580" w:rsidP="00FA4F44">
            <w:pPr>
              <w:tabs>
                <w:tab w:val="left" w:pos="612"/>
              </w:tabs>
              <w:spacing w:before="120" w:after="120"/>
              <w:jc w:val="center"/>
              <w:rPr>
                <w:b/>
                <w:iCs/>
              </w:rPr>
            </w:pPr>
            <w:r w:rsidRPr="004225A2">
              <w:rPr>
                <w:b/>
                <w:iCs/>
              </w:rPr>
              <w:t>Descrierea criteriului/cerinței</w:t>
            </w:r>
          </w:p>
        </w:tc>
        <w:tc>
          <w:tcPr>
            <w:tcW w:w="3530" w:type="dxa"/>
          </w:tcPr>
          <w:p w:rsidR="00BC1580" w:rsidRPr="00457BEA" w:rsidRDefault="00BC1580" w:rsidP="00FA4F44">
            <w:pPr>
              <w:tabs>
                <w:tab w:val="left" w:pos="612"/>
              </w:tabs>
              <w:spacing w:before="120" w:after="120"/>
              <w:rPr>
                <w:b/>
                <w:iCs/>
                <w:lang w:val="en-US"/>
              </w:rPr>
            </w:pPr>
            <w:r w:rsidRPr="00457BEA">
              <w:rPr>
                <w:b/>
                <w:iCs/>
                <w:lang w:val="en-US"/>
              </w:rPr>
              <w:t>Mod de demonstrare a îndeplinirii criteriului/cerinței:</w:t>
            </w:r>
          </w:p>
        </w:tc>
        <w:tc>
          <w:tcPr>
            <w:tcW w:w="1750" w:type="dxa"/>
          </w:tcPr>
          <w:p w:rsidR="00BC1580" w:rsidRPr="004225A2" w:rsidRDefault="00BC1580" w:rsidP="00FA4F44">
            <w:pPr>
              <w:tabs>
                <w:tab w:val="left" w:pos="612"/>
              </w:tabs>
              <w:spacing w:before="120" w:after="120"/>
              <w:jc w:val="center"/>
              <w:rPr>
                <w:b/>
                <w:iCs/>
              </w:rPr>
            </w:pPr>
            <w:r w:rsidRPr="004225A2">
              <w:rPr>
                <w:b/>
                <w:iCs/>
              </w:rPr>
              <w:t>Nivelul minim/</w:t>
            </w:r>
            <w:r w:rsidRPr="004225A2">
              <w:rPr>
                <w:b/>
                <w:iCs/>
              </w:rPr>
              <w:br/>
              <w:t>Obligativitatea</w:t>
            </w:r>
          </w:p>
        </w:tc>
      </w:tr>
      <w:tr w:rsidR="00BC1580" w:rsidRPr="006A0AE5" w:rsidTr="00BC1580">
        <w:tc>
          <w:tcPr>
            <w:tcW w:w="688" w:type="dxa"/>
          </w:tcPr>
          <w:p w:rsidR="00BC1580" w:rsidRPr="00F929BC" w:rsidRDefault="00BC1580" w:rsidP="00FA4F44">
            <w:pPr>
              <w:jc w:val="both"/>
              <w:rPr>
                <w:color w:val="000000"/>
                <w:lang w:eastAsia="zh-CN"/>
              </w:rPr>
            </w:pPr>
            <w:r w:rsidRPr="00F929BC">
              <w:rPr>
                <w:color w:val="000000"/>
                <w:lang w:eastAsia="zh-CN"/>
              </w:rPr>
              <w:t>1</w:t>
            </w:r>
          </w:p>
        </w:tc>
        <w:tc>
          <w:tcPr>
            <w:tcW w:w="3808" w:type="dxa"/>
          </w:tcPr>
          <w:p w:rsidR="00BC1580" w:rsidRPr="000E1C37" w:rsidRDefault="00BC1580" w:rsidP="00FA4F44">
            <w:pPr>
              <w:jc w:val="both"/>
              <w:rPr>
                <w:color w:val="000000"/>
                <w:lang w:eastAsia="zh-CN"/>
              </w:rPr>
            </w:pPr>
            <w:r w:rsidRPr="000E1C37">
              <w:rPr>
                <w:color w:val="000000"/>
                <w:lang w:eastAsia="zh-CN"/>
              </w:rPr>
              <w:t>Oferta</w:t>
            </w:r>
          </w:p>
        </w:tc>
        <w:tc>
          <w:tcPr>
            <w:tcW w:w="3530" w:type="dxa"/>
          </w:tcPr>
          <w:p w:rsidR="00BC1580" w:rsidRDefault="00BC1580" w:rsidP="00FA4F44">
            <w:pPr>
              <w:rPr>
                <w:color w:val="000000"/>
                <w:lang w:eastAsia="zh-CN"/>
              </w:rPr>
            </w:pPr>
            <w:r w:rsidRPr="00F929BC">
              <w:rPr>
                <w:color w:val="000000"/>
                <w:lang w:eastAsia="zh-CN"/>
              </w:rPr>
              <w:t>Formularul Ofertei</w:t>
            </w:r>
            <w:r>
              <w:rPr>
                <w:color w:val="000000"/>
                <w:lang w:eastAsia="zh-CN"/>
              </w:rPr>
              <w:t xml:space="preserve"> F3.1</w:t>
            </w:r>
          </w:p>
          <w:p w:rsidR="00BC1580" w:rsidRPr="00F929BC" w:rsidRDefault="00BC1580" w:rsidP="00FA4F44">
            <w:pPr>
              <w:rPr>
                <w:color w:val="000000"/>
                <w:lang w:eastAsia="zh-CN"/>
              </w:rPr>
            </w:pPr>
            <w:r w:rsidRPr="00F929BC">
              <w:rPr>
                <w:color w:val="000000"/>
              </w:rPr>
              <w:t xml:space="preserve"> Confirmata prin aplicarea semnăturii participantului</w:t>
            </w:r>
          </w:p>
        </w:tc>
        <w:tc>
          <w:tcPr>
            <w:tcW w:w="1750" w:type="dxa"/>
          </w:tcPr>
          <w:p w:rsidR="00BC1580" w:rsidRPr="006A0AE5" w:rsidRDefault="00BC1580" w:rsidP="00FA4F44">
            <w:pPr>
              <w:rPr>
                <w:lang w:eastAsia="zh-CN"/>
              </w:rPr>
            </w:pPr>
            <w:r w:rsidRPr="006A0AE5">
              <w:rPr>
                <w:lang w:eastAsia="zh-CN"/>
              </w:rPr>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2</w:t>
            </w:r>
          </w:p>
        </w:tc>
        <w:tc>
          <w:tcPr>
            <w:tcW w:w="3808" w:type="dxa"/>
          </w:tcPr>
          <w:p w:rsidR="00BC1580" w:rsidRPr="000E1C37" w:rsidRDefault="00BC1580" w:rsidP="00FA4F44">
            <w:pPr>
              <w:autoSpaceDE w:val="0"/>
              <w:autoSpaceDN w:val="0"/>
              <w:adjustRightInd w:val="0"/>
              <w:rPr>
                <w:color w:val="000000"/>
              </w:rPr>
            </w:pPr>
            <w:r w:rsidRPr="000E1C37">
              <w:rPr>
                <w:color w:val="000000"/>
              </w:rPr>
              <w:t>DUAE</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Conform formularului.  Prezentarea oricărui alt formular DUAE decât cel solicitat de către autoritatea contractantă, poate servi ca temei de descalificare de la procedura de achiziție publică.  </w:t>
            </w:r>
          </w:p>
        </w:tc>
        <w:tc>
          <w:tcPr>
            <w:tcW w:w="1750" w:type="dxa"/>
          </w:tcPr>
          <w:p w:rsidR="00BC1580" w:rsidRPr="006A0AE5" w:rsidRDefault="00BC1580" w:rsidP="00FA4F44">
            <w:pPr>
              <w:rPr>
                <w:lang w:eastAsia="zh-CN"/>
              </w:rPr>
            </w:pPr>
            <w:r w:rsidRPr="006A0AE5">
              <w:t>obligatoriu</w:t>
            </w:r>
          </w:p>
        </w:tc>
      </w:tr>
      <w:tr w:rsidR="00BC1580" w:rsidRPr="006A0AE5" w:rsidTr="00BC1580">
        <w:trPr>
          <w:trHeight w:val="1152"/>
        </w:trPr>
        <w:tc>
          <w:tcPr>
            <w:tcW w:w="688" w:type="dxa"/>
          </w:tcPr>
          <w:p w:rsidR="00BC1580" w:rsidRPr="00F929BC" w:rsidRDefault="00BC1580" w:rsidP="00FA4F44">
            <w:pPr>
              <w:jc w:val="both"/>
              <w:rPr>
                <w:color w:val="000000"/>
                <w:lang w:eastAsia="zh-CN"/>
              </w:rPr>
            </w:pPr>
            <w:r>
              <w:rPr>
                <w:color w:val="000000"/>
                <w:lang w:eastAsia="zh-CN"/>
              </w:rPr>
              <w:t>3</w:t>
            </w:r>
          </w:p>
        </w:tc>
        <w:tc>
          <w:tcPr>
            <w:tcW w:w="3808" w:type="dxa"/>
          </w:tcPr>
          <w:p w:rsidR="00BC1580" w:rsidRPr="000E1C37" w:rsidRDefault="00BC1580" w:rsidP="00FA4F44">
            <w:pPr>
              <w:autoSpaceDE w:val="0"/>
              <w:autoSpaceDN w:val="0"/>
              <w:adjustRightInd w:val="0"/>
              <w:rPr>
                <w:color w:val="000000"/>
              </w:rPr>
            </w:pPr>
            <w:r w:rsidRPr="000E1C37">
              <w:rPr>
                <w:color w:val="000000"/>
              </w:rPr>
              <w:t>Devizul de cheltuieli</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Formularele 3, 5, 7 </w:t>
            </w:r>
            <w:r>
              <w:rPr>
                <w:color w:val="000000"/>
              </w:rPr>
              <w:t xml:space="preserve">cu şi fără TVA, </w:t>
            </w:r>
            <w:r w:rsidRPr="00F929BC">
              <w:rPr>
                <w:color w:val="000000"/>
              </w:rPr>
              <w:t>cu specificația parametrilor tehnici solicitați in caietul de sarcini. Confirmata prin aplicarea semnăturii participantului</w:t>
            </w:r>
          </w:p>
        </w:tc>
        <w:tc>
          <w:tcPr>
            <w:tcW w:w="1750" w:type="dxa"/>
          </w:tcPr>
          <w:p w:rsidR="00BC1580" w:rsidRPr="006A0AE5" w:rsidRDefault="00BC1580" w:rsidP="00FA4F44">
            <w:pPr>
              <w:rPr>
                <w:lang w:eastAsia="zh-CN"/>
              </w:rPr>
            </w:pPr>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4</w:t>
            </w:r>
          </w:p>
        </w:tc>
        <w:tc>
          <w:tcPr>
            <w:tcW w:w="3808" w:type="dxa"/>
          </w:tcPr>
          <w:p w:rsidR="00BC1580" w:rsidRPr="000E1C37" w:rsidRDefault="00BC1580" w:rsidP="00FA4F44">
            <w:pPr>
              <w:autoSpaceDE w:val="0"/>
              <w:autoSpaceDN w:val="0"/>
              <w:adjustRightInd w:val="0"/>
              <w:rPr>
                <w:color w:val="000000"/>
              </w:rPr>
            </w:pPr>
            <w:r>
              <w:rPr>
                <w:color w:val="000000"/>
              </w:rPr>
              <w:t>Certificat/Decizie de inregistrarea interprindeii/Extras din Registrul de Stat al persoanei Juridice</w:t>
            </w:r>
          </w:p>
        </w:tc>
        <w:tc>
          <w:tcPr>
            <w:tcW w:w="3530" w:type="dxa"/>
          </w:tcPr>
          <w:p w:rsidR="00BC1580" w:rsidRPr="00F929BC" w:rsidRDefault="00BC1580" w:rsidP="00FA4F44">
            <w:pPr>
              <w:autoSpaceDE w:val="0"/>
              <w:autoSpaceDN w:val="0"/>
              <w:adjustRightInd w:val="0"/>
              <w:rPr>
                <w:color w:val="000000"/>
              </w:rPr>
            </w:pPr>
            <w:r w:rsidRPr="00F929BC">
              <w:rPr>
                <w:color w:val="000000"/>
              </w:rPr>
              <w:t>- copie, confirmată prin aplicarea semnăturii ofertantului</w:t>
            </w:r>
          </w:p>
        </w:tc>
        <w:tc>
          <w:tcPr>
            <w:tcW w:w="1750" w:type="dxa"/>
          </w:tcPr>
          <w:p w:rsidR="00BC1580" w:rsidRPr="006A0AE5" w:rsidRDefault="00BC1580" w:rsidP="00FA4F44">
            <w:r w:rsidRPr="006A0AE5">
              <w:t>Obligatoriu</w:t>
            </w:r>
          </w:p>
        </w:tc>
      </w:tr>
      <w:tr w:rsidR="00BC1580" w:rsidRPr="006A0AE5" w:rsidTr="00BC1580">
        <w:tc>
          <w:tcPr>
            <w:tcW w:w="688" w:type="dxa"/>
          </w:tcPr>
          <w:p w:rsidR="00BC1580" w:rsidRPr="00407CB0" w:rsidRDefault="00407CB0" w:rsidP="00FA4F44">
            <w:pPr>
              <w:jc w:val="both"/>
              <w:rPr>
                <w:color w:val="000000"/>
                <w:lang w:val="ru-RU" w:eastAsia="zh-CN"/>
              </w:rPr>
            </w:pPr>
            <w:r>
              <w:rPr>
                <w:color w:val="000000"/>
                <w:lang w:val="ru-RU" w:eastAsia="zh-CN"/>
              </w:rPr>
              <w:t>5</w:t>
            </w:r>
          </w:p>
        </w:tc>
        <w:tc>
          <w:tcPr>
            <w:tcW w:w="3808" w:type="dxa"/>
          </w:tcPr>
          <w:p w:rsidR="00BC1580" w:rsidRPr="00F929BC" w:rsidRDefault="00BC1580" w:rsidP="00FA4F44">
            <w:pPr>
              <w:autoSpaceDE w:val="0"/>
              <w:autoSpaceDN w:val="0"/>
              <w:adjustRightInd w:val="0"/>
              <w:rPr>
                <w:color w:val="000000"/>
              </w:rPr>
            </w:pPr>
            <w:r w:rsidRPr="00F929BC">
              <w:rPr>
                <w:color w:val="000000"/>
              </w:rPr>
              <w:t>Certificat privind lipsa sau existenta restanțelor la bugetul public național</w:t>
            </w:r>
          </w:p>
        </w:tc>
        <w:tc>
          <w:tcPr>
            <w:tcW w:w="3530" w:type="dxa"/>
          </w:tcPr>
          <w:p w:rsidR="00BC1580" w:rsidRPr="00F929BC" w:rsidRDefault="00BC1580" w:rsidP="00FA4F44">
            <w:pPr>
              <w:autoSpaceDE w:val="0"/>
              <w:autoSpaceDN w:val="0"/>
              <w:adjustRightInd w:val="0"/>
              <w:rPr>
                <w:color w:val="000000"/>
              </w:rPr>
            </w:pPr>
            <w:r w:rsidRPr="00F929BC">
              <w:rPr>
                <w:color w:val="000000"/>
              </w:rPr>
              <w:t>Eliberat de Inspe</w:t>
            </w:r>
            <w:r>
              <w:rPr>
                <w:color w:val="000000"/>
              </w:rPr>
              <w:t xml:space="preserve">ctoratul Fiscal valabil la ziua </w:t>
            </w:r>
            <w:r w:rsidRPr="00F929BC">
              <w:rPr>
                <w:color w:val="000000"/>
              </w:rPr>
              <w:t>petrecerii concursului. Copie confirmată prin</w:t>
            </w:r>
          </w:p>
          <w:p w:rsidR="00BC1580" w:rsidRPr="00F929BC" w:rsidRDefault="00BC1580" w:rsidP="00FA4F44">
            <w:pPr>
              <w:autoSpaceDE w:val="0"/>
              <w:autoSpaceDN w:val="0"/>
              <w:adjustRightInd w:val="0"/>
              <w:rPr>
                <w:color w:val="000000"/>
              </w:rPr>
            </w:pPr>
            <w:r w:rsidRPr="00F929BC">
              <w:rPr>
                <w:color w:val="000000"/>
              </w:rPr>
              <w:t>semnătură și ștampila ofertantului.</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407CB0" w:rsidRDefault="00407CB0" w:rsidP="00FA4F44">
            <w:pPr>
              <w:jc w:val="both"/>
              <w:rPr>
                <w:color w:val="000000"/>
                <w:lang w:val="ru-RU" w:eastAsia="zh-CN"/>
              </w:rPr>
            </w:pPr>
            <w:r>
              <w:rPr>
                <w:color w:val="000000"/>
                <w:lang w:val="ru-RU" w:eastAsia="zh-CN"/>
              </w:rPr>
              <w:t>6</w:t>
            </w:r>
          </w:p>
        </w:tc>
        <w:tc>
          <w:tcPr>
            <w:tcW w:w="3808" w:type="dxa"/>
          </w:tcPr>
          <w:p w:rsidR="00BC1580" w:rsidRPr="00F929BC" w:rsidRDefault="00BC1580" w:rsidP="00FA4F44">
            <w:pPr>
              <w:autoSpaceDE w:val="0"/>
              <w:autoSpaceDN w:val="0"/>
              <w:adjustRightInd w:val="0"/>
              <w:rPr>
                <w:bCs/>
                <w:color w:val="000000"/>
              </w:rPr>
            </w:pPr>
            <w:r w:rsidRPr="00F929BC">
              <w:rPr>
                <w:bCs/>
                <w:color w:val="000000"/>
              </w:rPr>
              <w:t>Raport financiar</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Ultimul raport financiar </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407CB0" w:rsidRDefault="00407CB0" w:rsidP="00FA4F44">
            <w:pPr>
              <w:jc w:val="both"/>
              <w:rPr>
                <w:color w:val="000000"/>
                <w:lang w:val="ru-RU" w:eastAsia="zh-CN"/>
              </w:rPr>
            </w:pPr>
            <w:r>
              <w:rPr>
                <w:color w:val="000000"/>
                <w:lang w:val="ru-RU" w:eastAsia="zh-CN"/>
              </w:rPr>
              <w:lastRenderedPageBreak/>
              <w:t>7</w:t>
            </w:r>
          </w:p>
        </w:tc>
        <w:tc>
          <w:tcPr>
            <w:tcW w:w="3808" w:type="dxa"/>
          </w:tcPr>
          <w:p w:rsidR="00BC1580" w:rsidRPr="00F929BC" w:rsidRDefault="00BC1580" w:rsidP="00FA4F44">
            <w:pPr>
              <w:autoSpaceDE w:val="0"/>
              <w:autoSpaceDN w:val="0"/>
              <w:adjustRightInd w:val="0"/>
              <w:rPr>
                <w:color w:val="000000"/>
              </w:rPr>
            </w:pPr>
            <w:r w:rsidRPr="00F929BC">
              <w:rPr>
                <w:color w:val="000000"/>
              </w:rPr>
              <w:t xml:space="preserve">Grafic de  executare a lucrărilor </w:t>
            </w:r>
          </w:p>
        </w:tc>
        <w:tc>
          <w:tcPr>
            <w:tcW w:w="3530" w:type="dxa"/>
          </w:tcPr>
          <w:p w:rsidR="00BC1580" w:rsidRPr="00F929BC" w:rsidRDefault="00BC1580" w:rsidP="00FA4F44">
            <w:pPr>
              <w:autoSpaceDE w:val="0"/>
              <w:autoSpaceDN w:val="0"/>
              <w:adjustRightInd w:val="0"/>
              <w:rPr>
                <w:color w:val="000000"/>
              </w:rPr>
            </w:pPr>
            <w:r w:rsidRPr="00F929BC">
              <w:rPr>
                <w:color w:val="000000"/>
              </w:rPr>
              <w:t>FORMULAR F 3.3confirmată prin aplicarea semnăturii ofertantului</w:t>
            </w:r>
          </w:p>
        </w:tc>
        <w:tc>
          <w:tcPr>
            <w:tcW w:w="1750" w:type="dxa"/>
          </w:tcPr>
          <w:p w:rsidR="00BC1580" w:rsidRPr="006A0AE5" w:rsidRDefault="00BC1580" w:rsidP="00FA4F44">
            <w:pPr>
              <w:rPr>
                <w:lang w:val="en-US"/>
              </w:rPr>
            </w:pPr>
            <w:r w:rsidRPr="006A0AE5">
              <w:t>Obligatoriu</w:t>
            </w:r>
          </w:p>
        </w:tc>
      </w:tr>
      <w:tr w:rsidR="00BC1580" w:rsidRPr="006A0AE5" w:rsidTr="00BC1580">
        <w:tc>
          <w:tcPr>
            <w:tcW w:w="688" w:type="dxa"/>
          </w:tcPr>
          <w:p w:rsidR="00BC1580" w:rsidRPr="00407CB0" w:rsidRDefault="00407CB0" w:rsidP="00FA4F44">
            <w:pPr>
              <w:jc w:val="both"/>
              <w:rPr>
                <w:color w:val="000000"/>
                <w:lang w:val="ru-RU" w:eastAsia="zh-CN"/>
              </w:rPr>
            </w:pPr>
            <w:r>
              <w:rPr>
                <w:color w:val="000000"/>
                <w:lang w:val="ru-RU" w:eastAsia="zh-CN"/>
              </w:rPr>
              <w:t>8</w:t>
            </w:r>
          </w:p>
        </w:tc>
        <w:tc>
          <w:tcPr>
            <w:tcW w:w="3808" w:type="dxa"/>
          </w:tcPr>
          <w:p w:rsidR="00BC1580" w:rsidRPr="00DE06A9" w:rsidRDefault="00BC1580" w:rsidP="00FA4F44">
            <w:pPr>
              <w:autoSpaceDE w:val="0"/>
              <w:autoSpaceDN w:val="0"/>
              <w:adjustRightInd w:val="0"/>
              <w:rPr>
                <w:color w:val="000000"/>
              </w:rPr>
            </w:pPr>
            <w:r w:rsidRPr="00DE06A9">
              <w:rPr>
                <w:color w:val="000000"/>
              </w:rPr>
              <w:t>( în conformitate cu Ordin MF nr. 176 din 05.10.2018) Prezentarea oricărui alt formular decât cel solicitat de către autoritatea contractantă, poate servi ca temei de descalificare de la procedura de achiziție publică</w:t>
            </w:r>
          </w:p>
        </w:tc>
        <w:tc>
          <w:tcPr>
            <w:tcW w:w="3530" w:type="dxa"/>
          </w:tcPr>
          <w:p w:rsidR="00BC1580" w:rsidRDefault="00BC1580" w:rsidP="00FA4F44">
            <w:pPr>
              <w:autoSpaceDE w:val="0"/>
              <w:autoSpaceDN w:val="0"/>
              <w:adjustRightInd w:val="0"/>
              <w:rPr>
                <w:b/>
                <w:color w:val="000000"/>
              </w:rPr>
            </w:pPr>
            <w:r w:rsidRPr="00F929BC">
              <w:rPr>
                <w:color w:val="000000"/>
              </w:rPr>
              <w:t>FORMULARE</w:t>
            </w:r>
            <w:r w:rsidRPr="006A0AE5">
              <w:rPr>
                <w:b/>
                <w:color w:val="000000"/>
              </w:rPr>
              <w:t xml:space="preserve"> </w:t>
            </w:r>
          </w:p>
          <w:p w:rsidR="00BC1580" w:rsidRPr="00F929BC" w:rsidRDefault="00BC1580" w:rsidP="00FA4F44">
            <w:pPr>
              <w:autoSpaceDE w:val="0"/>
              <w:autoSpaceDN w:val="0"/>
              <w:adjustRightInd w:val="0"/>
              <w:rPr>
                <w:color w:val="000000"/>
              </w:rPr>
            </w:pPr>
            <w:r w:rsidRPr="000E1C37">
              <w:rPr>
                <w:color w:val="000000"/>
              </w:rPr>
              <w:t>F3.5, F3.6, F3.7, F3.8,  F3.10, F3.11, F3.12, F 3.13, F3.14, F3.15</w:t>
            </w:r>
            <w:r w:rsidRPr="00F929BC">
              <w:rPr>
                <w:color w:val="000000"/>
              </w:rPr>
              <w:t xml:space="preserve"> </w:t>
            </w:r>
            <w:r>
              <w:rPr>
                <w:color w:val="000000"/>
              </w:rPr>
              <w:t>, confirmată prin semnătură sau</w:t>
            </w:r>
            <w:r w:rsidRPr="006A0AE5">
              <w:rPr>
                <w:color w:val="000000"/>
              </w:rPr>
              <w:t xml:space="preserve"> ștampila ofertantului.</w:t>
            </w:r>
            <w:r w:rsidRPr="00F929BC">
              <w:rPr>
                <w:color w:val="000000"/>
              </w:rPr>
              <w:t xml:space="preserve">  </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407CB0" w:rsidRDefault="00407CB0" w:rsidP="00FA4F44">
            <w:pPr>
              <w:jc w:val="both"/>
              <w:rPr>
                <w:color w:val="000000"/>
                <w:lang w:val="ru-RU" w:eastAsia="zh-CN"/>
              </w:rPr>
            </w:pPr>
            <w:r>
              <w:rPr>
                <w:color w:val="000000"/>
                <w:lang w:val="ru-RU" w:eastAsia="zh-CN"/>
              </w:rPr>
              <w:t>9</w:t>
            </w:r>
          </w:p>
        </w:tc>
        <w:tc>
          <w:tcPr>
            <w:tcW w:w="3808" w:type="dxa"/>
          </w:tcPr>
          <w:p w:rsidR="00BC1580" w:rsidRPr="00F929BC" w:rsidRDefault="00BC1580" w:rsidP="00FA4F44">
            <w:pPr>
              <w:autoSpaceDE w:val="0"/>
              <w:autoSpaceDN w:val="0"/>
              <w:adjustRightInd w:val="0"/>
              <w:rPr>
                <w:lang w:val="en-US"/>
              </w:rPr>
            </w:pPr>
            <w:r w:rsidRPr="00F929BC">
              <w:rPr>
                <w:lang w:val="en-US"/>
              </w:rPr>
              <w:t>Certificatul de atestare</w:t>
            </w:r>
          </w:p>
          <w:p w:rsidR="00BC1580" w:rsidRPr="00F929BC" w:rsidRDefault="00BC1580" w:rsidP="00FA4F44">
            <w:pPr>
              <w:autoSpaceDE w:val="0"/>
              <w:autoSpaceDN w:val="0"/>
              <w:adjustRightInd w:val="0"/>
              <w:rPr>
                <w:color w:val="000000"/>
              </w:rPr>
            </w:pPr>
            <w:r w:rsidRPr="00F929BC">
              <w:rPr>
                <w:lang w:val="en-US"/>
              </w:rPr>
              <w:t>Tehnico</w:t>
            </w:r>
            <w:r w:rsidRPr="00F929BC">
              <w:t xml:space="preserve"> </w:t>
            </w:r>
            <w:r w:rsidRPr="00F929BC">
              <w:rPr>
                <w:lang w:val="en-US"/>
              </w:rPr>
              <w:t>profesională</w:t>
            </w:r>
            <w:r w:rsidRPr="00F929BC">
              <w:t xml:space="preserve"> </w:t>
            </w:r>
            <w:r w:rsidRPr="00F929BC">
              <w:rPr>
                <w:lang w:val="en-US"/>
              </w:rPr>
              <w:t>a</w:t>
            </w:r>
            <w:r w:rsidRPr="00F929BC">
              <w:t xml:space="preserve"> </w:t>
            </w:r>
            <w:r w:rsidRPr="00F929BC">
              <w:rPr>
                <w:lang w:val="en-US"/>
              </w:rPr>
              <w:t>dirigintelui de șantier</w:t>
            </w:r>
          </w:p>
        </w:tc>
        <w:tc>
          <w:tcPr>
            <w:tcW w:w="3530" w:type="dxa"/>
          </w:tcPr>
          <w:p w:rsidR="00BC1580" w:rsidRPr="00F929BC" w:rsidRDefault="00BC1580" w:rsidP="00FA4F44">
            <w:pPr>
              <w:autoSpaceDE w:val="0"/>
              <w:autoSpaceDN w:val="0"/>
              <w:adjustRightInd w:val="0"/>
              <w:rPr>
                <w:color w:val="000000"/>
              </w:rPr>
            </w:pPr>
            <w:r w:rsidRPr="00F929BC">
              <w:rPr>
                <w:lang w:val="en-US"/>
              </w:rPr>
              <w:t>confirmată prin semnătura of</w:t>
            </w:r>
            <w:r w:rsidRPr="00F929BC">
              <w:t>ertantului</w:t>
            </w:r>
          </w:p>
        </w:tc>
        <w:tc>
          <w:tcPr>
            <w:tcW w:w="1750" w:type="dxa"/>
          </w:tcPr>
          <w:p w:rsidR="00BC1580" w:rsidRPr="006A0AE5" w:rsidRDefault="00BC1580" w:rsidP="00FA4F44">
            <w:pPr>
              <w:rPr>
                <w:lang w:val="en-US"/>
              </w:rPr>
            </w:pPr>
            <w:r w:rsidRPr="006A0AE5">
              <w:t xml:space="preserve">Obligatoriu </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bookmarkStart w:id="170" w:name="_GoBack"/>
            <w:bookmarkEnd w:id="170"/>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CA2946" w:rsidRDefault="00CA2946" w:rsidP="00CA2946">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 xml:space="preserve">cu nota </w:t>
            </w:r>
            <w:r w:rsidR="00A20ACF" w:rsidRPr="005D708F">
              <w:rPr>
                <w:rFonts w:asciiTheme="majorHAnsi" w:hAnsiTheme="majorHAnsi" w:cstheme="majorHAnsi"/>
                <w:i/>
              </w:rPr>
              <w:t xml:space="preserve"> “Pentru garanţia pentru ofertă la </w:t>
            </w:r>
            <w:r w:rsidR="002A04D8" w:rsidRPr="002A04D8">
              <w:rPr>
                <w:rFonts w:asciiTheme="majorHAnsi" w:hAnsiTheme="majorHAnsi" w:cstheme="majorHAnsi"/>
                <w:i/>
              </w:rPr>
              <w:t>„procedura de achiziție publică</w:t>
            </w:r>
            <w:r>
              <w:rPr>
                <w:rFonts w:asciiTheme="majorHAnsi" w:hAnsiTheme="majorHAnsi" w:cstheme="majorHAnsi"/>
                <w:i/>
              </w:rPr>
              <w:t>nr. ____ din 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407CB0" w:rsidRDefault="00961DDC" w:rsidP="001F6E5A">
            <w:pPr>
              <w:tabs>
                <w:tab w:val="left" w:pos="372"/>
              </w:tabs>
              <w:suppressAutoHyphens/>
              <w:rPr>
                <w:rFonts w:asciiTheme="majorHAnsi" w:hAnsiTheme="majorHAnsi" w:cstheme="majorHAnsi"/>
                <w:b/>
                <w:i/>
                <w:lang w:val="ru-RU"/>
              </w:rPr>
            </w:pPr>
            <w:r>
              <w:rPr>
                <w:rFonts w:asciiTheme="majorHAnsi" w:hAnsiTheme="majorHAnsi" w:cstheme="majorHAnsi"/>
                <w:b/>
                <w:i/>
              </w:rPr>
              <w:t>6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07CB0" w:rsidP="001F6E5A">
            <w:pPr>
              <w:tabs>
                <w:tab w:val="left" w:pos="372"/>
              </w:tabs>
              <w:suppressAutoHyphens/>
              <w:rPr>
                <w:rFonts w:asciiTheme="majorHAnsi" w:hAnsiTheme="majorHAnsi" w:cstheme="majorHAnsi"/>
                <w:b/>
                <w:i/>
              </w:rPr>
            </w:pPr>
            <w:r>
              <w:rPr>
                <w:rFonts w:asciiTheme="majorHAnsi" w:hAnsiTheme="majorHAnsi" w:cstheme="majorHAnsi"/>
                <w:b/>
                <w:i/>
              </w:rPr>
              <w:t>s. Dobrogea Veche, r-nul Si</w:t>
            </w:r>
            <w:r w:rsidR="00961DDC" w:rsidRPr="00961DDC">
              <w:rPr>
                <w:rFonts w:asciiTheme="majorHAnsi" w:hAnsiTheme="majorHAnsi" w:cstheme="majorHAnsi"/>
                <w:b/>
                <w:i/>
              </w:rPr>
              <w:t>gerei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1DDC"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61DDC">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w:t>
            </w:r>
            <w:r w:rsidR="00961DDC">
              <w:rPr>
                <w:rFonts w:asciiTheme="majorHAnsi" w:hAnsiTheme="majorHAnsi" w:cstheme="majorHAnsi"/>
                <w:i/>
                <w:spacing w:val="-4"/>
              </w:rPr>
              <w:t>180</w:t>
            </w:r>
            <w:r w:rsidRPr="005D708F">
              <w:rPr>
                <w:rFonts w:asciiTheme="majorHAnsi" w:hAnsiTheme="majorHAnsi" w:cstheme="majorHAnsi"/>
                <w:i/>
                <w:spacing w:val="-4"/>
              </w:rPr>
              <w:t>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1DDC"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191345" w:rsidP="001F6E5A">
            <w:pPr>
              <w:rPr>
                <w:rFonts w:asciiTheme="majorHAnsi" w:hAnsiTheme="majorHAnsi" w:cstheme="majorHAnsi"/>
                <w:i/>
              </w:rPr>
            </w:pPr>
            <w:r w:rsidRPr="00191345">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191345" w:rsidP="001F6E5A">
            <w:pPr>
              <w:jc w:val="both"/>
              <w:rPr>
                <w:rFonts w:asciiTheme="majorHAnsi" w:hAnsiTheme="majorHAnsi" w:cstheme="majorHAnsi"/>
                <w:i/>
              </w:rPr>
            </w:pPr>
            <w:r w:rsidRPr="00191345">
              <w:rPr>
                <w:rFonts w:asciiTheme="majorHAnsi" w:hAnsiTheme="majorHAnsi" w:cstheme="majorHAnsi"/>
                <w:i/>
              </w:rPr>
              <w:t>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w:t>
            </w:r>
            <w:r w:rsidR="00191345">
              <w:rPr>
                <w:rFonts w:asciiTheme="majorHAnsi" w:hAnsiTheme="majorHAnsi" w:cstheme="majorHAnsi"/>
                <w:b/>
                <w:i/>
                <w:iCs/>
              </w:rPr>
              <w:t xml:space="preserve"> pe loturi </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w:t>
            </w:r>
            <w:r w:rsidR="00191345">
              <w:rPr>
                <w:rFonts w:asciiTheme="majorHAnsi" w:hAnsiTheme="majorHAnsi" w:cstheme="majorHAnsi"/>
                <w:b/>
                <w:i/>
                <w:iCs/>
              </w:rPr>
              <w:t>nu se aplica_</w:t>
            </w:r>
            <w:r w:rsidRPr="005D708F">
              <w:rPr>
                <w:rFonts w:asciiTheme="majorHAnsi" w:hAnsiTheme="majorHAnsi" w:cstheme="majorHAnsi"/>
                <w:b/>
                <w:i/>
                <w:iCs/>
              </w:rPr>
              <w:t>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w:t>
            </w:r>
            <w:r w:rsidR="00191345" w:rsidRPr="00191345">
              <w:rPr>
                <w:rFonts w:asciiTheme="majorHAnsi" w:hAnsiTheme="majorHAnsi" w:cstheme="majorHAnsi"/>
                <w:b/>
                <w:i/>
                <w:color w:val="000000" w:themeColor="text1"/>
              </w:rPr>
              <w:t>pretui cel mai scazut _</w:t>
            </w:r>
            <w:r w:rsidR="00191345">
              <w:rPr>
                <w:rFonts w:asciiTheme="majorHAnsi" w:hAnsiTheme="majorHAnsi" w:cstheme="majorHAnsi"/>
                <w:b/>
                <w:i/>
                <w:color w:val="000000" w:themeColor="text1"/>
              </w:rPr>
              <w:t>_____</w:t>
            </w:r>
            <w:r w:rsidRPr="005D708F">
              <w:rPr>
                <w:rFonts w:asciiTheme="majorHAnsi" w:hAnsiTheme="majorHAnsi" w:cstheme="majorHAnsi"/>
                <w:b/>
                <w:i/>
                <w:color w:val="000000" w:themeColor="text1"/>
              </w:rPr>
              <w: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 xml:space="preserve">Garanţia de bună execuţie </w:t>
            </w:r>
            <w:r w:rsidRPr="005D708F">
              <w:rPr>
                <w:rFonts w:asciiTheme="majorHAnsi" w:hAnsiTheme="majorHAnsi" w:cstheme="majorHAnsi"/>
                <w:color w:val="000000" w:themeColor="text1"/>
              </w:rPr>
              <w:lastRenderedPageBreak/>
              <w:t>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lastRenderedPageBreak/>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191345" w:rsidRDefault="00A20ACF" w:rsidP="00191345">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00191345">
              <w:rPr>
                <w:rFonts w:asciiTheme="majorHAnsi" w:hAnsiTheme="majorHAnsi" w:cstheme="majorHAnsi"/>
                <w:i/>
                <w:color w:val="000000" w:themeColor="text1"/>
              </w:rPr>
              <w:t>nr. ______ din 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tabs>
                <w:tab w:val="right" w:pos="4743"/>
              </w:tabs>
              <w:jc w:val="both"/>
              <w:rPr>
                <w:rFonts w:asciiTheme="majorHAnsi" w:hAnsiTheme="majorHAnsi" w:cstheme="majorHAnsi"/>
                <w:b/>
                <w:i/>
                <w:iCs/>
                <w:color w:val="FF0000"/>
              </w:rPr>
            </w:pPr>
            <w:r>
              <w:rPr>
                <w:rFonts w:asciiTheme="majorHAnsi" w:hAnsiTheme="majorHAnsi" w:cstheme="majorHAnsi"/>
                <w:b/>
                <w:i/>
                <w:iCs/>
                <w:color w:val="FF0000"/>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tabs>
                <w:tab w:val="right" w:pos="4743"/>
              </w:tabs>
              <w:jc w:val="both"/>
              <w:rPr>
                <w:rFonts w:asciiTheme="majorHAnsi" w:hAnsiTheme="majorHAnsi" w:cstheme="majorHAnsi"/>
                <w:b/>
                <w:i/>
                <w:iCs/>
                <w:color w:val="FF0000"/>
              </w:rPr>
            </w:pPr>
            <w:r>
              <w:rPr>
                <w:rFonts w:asciiTheme="majorHAnsi" w:hAnsiTheme="majorHAnsi" w:cstheme="majorHAnsi"/>
                <w:i/>
              </w:rPr>
              <w:t>[__6</w:t>
            </w:r>
            <w:r w:rsidR="00A20ACF" w:rsidRPr="005D708F">
              <w:rPr>
                <w:rFonts w:asciiTheme="majorHAnsi" w:hAnsiTheme="majorHAnsi" w:cstheme="majorHAnsi"/>
                <w:i/>
              </w:rPr>
              <w:t>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D51F26"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E5FA7" w:rsidRDefault="005E5FA7"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10" o:title=""/>
                                            </v:shape>
                                            <o:OLEObject Type="Embed" ProgID="Word.Picture.8" ShapeID="_x0000_i1025" DrawAspect="Content" ObjectID="_168008008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5E5FA7" w:rsidRDefault="005E5FA7" w:rsidP="00460653">
                                  <w:r w:rsidRPr="00507C02">
                                    <w:rPr>
                                      <w:rFonts w:asciiTheme="minorHAnsi" w:eastAsiaTheme="minorEastAsia" w:hAnsiTheme="minorHAnsi" w:cstheme="minorBidi"/>
                                      <w:sz w:val="22"/>
                                      <w:szCs w:val="22"/>
                                      <w:lang w:val="ru-RU"/>
                                    </w:rPr>
                                    <w:object w:dxaOrig="4320" w:dyaOrig="4320">
                                      <v:shape id="_x0000_i1025" type="#_x0000_t75" style="width:29.4pt;height:36.6pt" o:ole="" fillcolor="window">
                                        <v:imagedata r:id="rId12" o:title=""/>
                                      </v:shape>
                                      <o:OLEObject Type="Embed" ProgID="Word.Picture.8" ShapeID="_x0000_i1025" DrawAspect="Content" ObjectID="_1677996815"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F3" w:rsidRDefault="006432F3" w:rsidP="00A20ACF">
      <w:r>
        <w:separator/>
      </w:r>
    </w:p>
  </w:endnote>
  <w:endnote w:type="continuationSeparator" w:id="0">
    <w:p w:rsidR="006432F3" w:rsidRDefault="006432F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rsidP="001F6E5A">
    <w:pPr>
      <w:pStyle w:val="a4"/>
      <w:jc w:val="center"/>
    </w:pPr>
    <w:r>
      <w:fldChar w:fldCharType="begin"/>
    </w:r>
    <w:r>
      <w:instrText xml:space="preserve"> PAGE   \* MERGEFORMAT </w:instrText>
    </w:r>
    <w:r>
      <w:fldChar w:fldCharType="separate"/>
    </w:r>
    <w:r w:rsidR="00407CB0">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rsidP="001F6E5A">
    <w:pPr>
      <w:pStyle w:val="a4"/>
      <w:jc w:val="center"/>
    </w:pPr>
    <w:r>
      <w:fldChar w:fldCharType="begin"/>
    </w:r>
    <w:r>
      <w:instrText xml:space="preserve"> PAGE   \* MERGEFORMAT </w:instrText>
    </w:r>
    <w:r>
      <w:fldChar w:fldCharType="separate"/>
    </w:r>
    <w:r w:rsidR="00407CB0">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F3" w:rsidRDefault="006432F3" w:rsidP="00A20ACF">
      <w:r>
        <w:separator/>
      </w:r>
    </w:p>
  </w:footnote>
  <w:footnote w:type="continuationSeparator" w:id="0">
    <w:p w:rsidR="006432F3" w:rsidRDefault="006432F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1345"/>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07CB0"/>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5FA7"/>
    <w:rsid w:val="005E6B4A"/>
    <w:rsid w:val="00601B8F"/>
    <w:rsid w:val="0060606F"/>
    <w:rsid w:val="00612081"/>
    <w:rsid w:val="006234C1"/>
    <w:rsid w:val="00627D01"/>
    <w:rsid w:val="00634A31"/>
    <w:rsid w:val="006432F3"/>
    <w:rsid w:val="006442C1"/>
    <w:rsid w:val="006638BF"/>
    <w:rsid w:val="0067392B"/>
    <w:rsid w:val="006819B2"/>
    <w:rsid w:val="0069507C"/>
    <w:rsid w:val="00696992"/>
    <w:rsid w:val="006A58F9"/>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353B5"/>
    <w:rsid w:val="00944E16"/>
    <w:rsid w:val="009451E2"/>
    <w:rsid w:val="00945428"/>
    <w:rsid w:val="009530EF"/>
    <w:rsid w:val="00961DDC"/>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1580"/>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A2946"/>
    <w:rsid w:val="00CB4A20"/>
    <w:rsid w:val="00CE1192"/>
    <w:rsid w:val="00CE11D6"/>
    <w:rsid w:val="00CF39BF"/>
    <w:rsid w:val="00D01642"/>
    <w:rsid w:val="00D15B26"/>
    <w:rsid w:val="00D25CC1"/>
    <w:rsid w:val="00D318EB"/>
    <w:rsid w:val="00D34BFF"/>
    <w:rsid w:val="00D372D7"/>
    <w:rsid w:val="00D379F6"/>
    <w:rsid w:val="00D51EB7"/>
    <w:rsid w:val="00D51F26"/>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A069E"/>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18205</Words>
  <Characters>103773</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cp:revision>
  <cp:lastPrinted>2021-03-23T07:26:00Z</cp:lastPrinted>
  <dcterms:created xsi:type="dcterms:W3CDTF">2021-04-16T09:08:00Z</dcterms:created>
  <dcterms:modified xsi:type="dcterms:W3CDTF">2021-04-16T09:08:00Z</dcterms:modified>
</cp:coreProperties>
</file>