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5F6" w:rsidRPr="00FF430B" w:rsidRDefault="00D45321" w:rsidP="00D45321">
      <w:pPr>
        <w:jc w:val="center"/>
        <w:rPr>
          <w:b/>
          <w:lang w:val="ro-MD"/>
        </w:rPr>
      </w:pPr>
      <w:r>
        <w:rPr>
          <w:b/>
          <w:lang w:val="ro-MD"/>
        </w:rPr>
        <w:t>CAIET DE SARCINI</w:t>
      </w:r>
    </w:p>
    <w:p w:rsidR="007F15F6" w:rsidRPr="00FF430B" w:rsidRDefault="007F15F6" w:rsidP="007F15F6">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7F15F6" w:rsidRDefault="007F15F6" w:rsidP="007F15F6">
      <w:pPr>
        <w:shd w:val="clear" w:color="auto" w:fill="FFFFFF" w:themeFill="background1"/>
        <w:spacing w:before="120"/>
        <w:rPr>
          <w:sz w:val="32"/>
          <w:szCs w:val="32"/>
        </w:rPr>
      </w:pPr>
      <w:r w:rsidRPr="00FF430B">
        <w:rPr>
          <w:lang w:val="ro-MD"/>
        </w:rPr>
        <w:t>Obiectul</w:t>
      </w:r>
      <w:r w:rsidRPr="00776520">
        <w:t xml:space="preserve"> </w:t>
      </w:r>
      <w:r>
        <w:t xml:space="preserve">Lotul 1 </w:t>
      </w:r>
      <w:r w:rsidRPr="00F47290">
        <w:rPr>
          <w:b/>
          <w:i/>
          <w:sz w:val="22"/>
          <w:szCs w:val="22"/>
          <w:lang w:val="en-US"/>
        </w:rPr>
        <w:t xml:space="preserve">Lucrări de reparații curente </w:t>
      </w:r>
      <w:r>
        <w:rPr>
          <w:b/>
          <w:i/>
          <w:sz w:val="22"/>
          <w:szCs w:val="22"/>
          <w:lang w:val="en-US"/>
        </w:rPr>
        <w:t xml:space="preserve">la </w:t>
      </w:r>
      <w:r w:rsidRPr="00752940">
        <w:rPr>
          <w:b/>
          <w:i/>
          <w:sz w:val="22"/>
          <w:szCs w:val="22"/>
          <w:lang w:val="en-US"/>
        </w:rPr>
        <w:t xml:space="preserve">Serviciul Centrul maternal din str. Grenoble 163/5 </w:t>
      </w:r>
    </w:p>
    <w:p w:rsidR="007F15F6" w:rsidRPr="00FF430B" w:rsidRDefault="007F15F6" w:rsidP="007F15F6">
      <w:pPr>
        <w:tabs>
          <w:tab w:val="left" w:pos="567"/>
        </w:tabs>
        <w:jc w:val="both"/>
        <w:rPr>
          <w:i/>
          <w:lang w:val="ro-MD"/>
        </w:rPr>
      </w:pPr>
      <w:r w:rsidRPr="00FF430B">
        <w:rPr>
          <w:lang w:val="ro-MD"/>
        </w:rPr>
        <w:t>Autoritatea contractantă</w:t>
      </w:r>
      <w:r>
        <w:rPr>
          <w:lang w:val="ro-MD"/>
        </w:rPr>
        <w:t xml:space="preserve"> </w:t>
      </w:r>
      <w:r>
        <w:rPr>
          <w:sz w:val="32"/>
          <w:szCs w:val="32"/>
        </w:rPr>
        <w:t>Direcția generală pentru protecția drepturilor copilului</w:t>
      </w:r>
      <w:r w:rsidRPr="00FF430B">
        <w:rPr>
          <w:i/>
          <w:lang w:val="ro-MD"/>
        </w:rPr>
        <w:t xml:space="preserve"> </w:t>
      </w:r>
    </w:p>
    <w:tbl>
      <w:tblPr>
        <w:tblW w:w="10090" w:type="dxa"/>
        <w:tblInd w:w="-459" w:type="dxa"/>
        <w:tblLayout w:type="fixed"/>
        <w:tblLook w:val="0000" w:firstRow="0" w:lastRow="0" w:firstColumn="0" w:lastColumn="0" w:noHBand="0" w:noVBand="0"/>
      </w:tblPr>
      <w:tblGrid>
        <w:gridCol w:w="709"/>
        <w:gridCol w:w="1276"/>
        <w:gridCol w:w="5979"/>
        <w:gridCol w:w="850"/>
        <w:gridCol w:w="1276"/>
      </w:tblGrid>
      <w:tr w:rsidR="007F15F6" w:rsidRPr="000E0709" w:rsidTr="00BD3F9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F15F6" w:rsidRPr="000E0709" w:rsidRDefault="007F15F6" w:rsidP="00BD3F9C">
            <w:pPr>
              <w:ind w:right="-108"/>
              <w:jc w:val="center"/>
              <w:rPr>
                <w:sz w:val="22"/>
                <w:szCs w:val="22"/>
                <w:lang w:val="en-US"/>
              </w:rPr>
            </w:pPr>
            <w:r w:rsidRPr="000E0709">
              <w:rPr>
                <w:sz w:val="22"/>
                <w:szCs w:val="22"/>
                <w:lang w:val="en-US"/>
              </w:rPr>
              <w:t>№</w:t>
            </w:r>
          </w:p>
          <w:p w:rsidR="007F15F6" w:rsidRPr="000E0709" w:rsidRDefault="007F15F6" w:rsidP="00BD3F9C">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7F15F6" w:rsidRPr="000E0709" w:rsidRDefault="007F15F6" w:rsidP="00BD3F9C">
            <w:pPr>
              <w:ind w:left="-120" w:right="-108"/>
              <w:jc w:val="center"/>
              <w:rPr>
                <w:sz w:val="22"/>
                <w:szCs w:val="22"/>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5979" w:type="dxa"/>
            <w:vMerge w:val="restart"/>
            <w:tcBorders>
              <w:top w:val="single" w:sz="6" w:space="0" w:color="auto"/>
              <w:left w:val="single" w:sz="6" w:space="0" w:color="auto"/>
              <w:bottom w:val="single" w:sz="6" w:space="0" w:color="auto"/>
              <w:right w:val="nil"/>
            </w:tcBorders>
            <w:shd w:val="pct5" w:color="auto" w:fill="auto"/>
            <w:vAlign w:val="center"/>
          </w:tcPr>
          <w:p w:rsidR="007F15F6" w:rsidRPr="000E0709" w:rsidRDefault="007F15F6" w:rsidP="00BD3F9C">
            <w:pPr>
              <w:jc w:val="center"/>
              <w:rPr>
                <w:sz w:val="22"/>
                <w:szCs w:val="22"/>
              </w:rPr>
            </w:pPr>
          </w:p>
          <w:p w:rsidR="007F15F6" w:rsidRPr="000E0709" w:rsidRDefault="007F15F6" w:rsidP="00BD3F9C">
            <w:pPr>
              <w:jc w:val="center"/>
              <w:rPr>
                <w:sz w:val="22"/>
                <w:szCs w:val="22"/>
                <w:lang w:val="en-US"/>
              </w:rPr>
            </w:pPr>
            <w:r w:rsidRPr="000E0709">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7F15F6" w:rsidRPr="000E0709" w:rsidRDefault="007F15F6" w:rsidP="00BD3F9C">
            <w:pPr>
              <w:ind w:left="-108" w:right="-108"/>
              <w:jc w:val="center"/>
              <w:rPr>
                <w:sz w:val="22"/>
                <w:szCs w:val="22"/>
              </w:rPr>
            </w:pPr>
          </w:p>
          <w:p w:rsidR="007F15F6" w:rsidRPr="000E0709" w:rsidRDefault="007F15F6" w:rsidP="00BD3F9C">
            <w:pPr>
              <w:ind w:left="-108" w:right="-108"/>
              <w:jc w:val="center"/>
              <w:rPr>
                <w:sz w:val="22"/>
                <w:szCs w:val="22"/>
                <w:lang w:val="en-US"/>
              </w:rPr>
            </w:pPr>
            <w:r w:rsidRPr="000E0709">
              <w:rPr>
                <w:sz w:val="22"/>
                <w:szCs w:val="22"/>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7F15F6" w:rsidRPr="000E0709" w:rsidRDefault="007F15F6" w:rsidP="00BD3F9C">
            <w:pPr>
              <w:ind w:left="-108" w:right="-108"/>
              <w:jc w:val="center"/>
              <w:rPr>
                <w:sz w:val="22"/>
                <w:szCs w:val="22"/>
                <w:lang w:val="en-US"/>
              </w:rPr>
            </w:pPr>
            <w:r w:rsidRPr="000E0709">
              <w:rPr>
                <w:sz w:val="22"/>
                <w:szCs w:val="22"/>
              </w:rPr>
              <w:t>Cantitate conform datelor din proiect</w:t>
            </w:r>
          </w:p>
        </w:tc>
      </w:tr>
      <w:tr w:rsidR="007F15F6" w:rsidRPr="0050752B" w:rsidTr="00BD3F9C">
        <w:trPr>
          <w:cantSplit/>
          <w:trHeight w:val="253"/>
        </w:trPr>
        <w:tc>
          <w:tcPr>
            <w:tcW w:w="709" w:type="dxa"/>
            <w:vMerge/>
            <w:tcBorders>
              <w:top w:val="single" w:sz="6" w:space="0" w:color="auto"/>
              <w:left w:val="single" w:sz="6" w:space="0" w:color="auto"/>
              <w:bottom w:val="single" w:sz="6" w:space="0" w:color="auto"/>
              <w:right w:val="nil"/>
            </w:tcBorders>
            <w:vAlign w:val="center"/>
          </w:tcPr>
          <w:p w:rsidR="007F15F6" w:rsidRPr="000E0709" w:rsidRDefault="007F15F6" w:rsidP="00BD3F9C">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7F15F6" w:rsidRPr="000E0709" w:rsidRDefault="007F15F6" w:rsidP="00BD3F9C">
            <w:pPr>
              <w:jc w:val="center"/>
              <w:rPr>
                <w:sz w:val="22"/>
                <w:szCs w:val="22"/>
                <w:lang w:val="en-US"/>
              </w:rPr>
            </w:pPr>
          </w:p>
        </w:tc>
        <w:tc>
          <w:tcPr>
            <w:tcW w:w="5979" w:type="dxa"/>
            <w:vMerge/>
            <w:tcBorders>
              <w:top w:val="single" w:sz="6" w:space="0" w:color="auto"/>
              <w:left w:val="single" w:sz="6" w:space="0" w:color="auto"/>
              <w:bottom w:val="single" w:sz="6" w:space="0" w:color="auto"/>
              <w:right w:val="nil"/>
            </w:tcBorders>
            <w:vAlign w:val="center"/>
          </w:tcPr>
          <w:p w:rsidR="007F15F6" w:rsidRPr="000E0709" w:rsidRDefault="007F15F6" w:rsidP="00BD3F9C">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7F15F6" w:rsidRPr="000E0709" w:rsidRDefault="007F15F6" w:rsidP="00BD3F9C">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7F15F6" w:rsidRPr="000E0709" w:rsidRDefault="007F15F6" w:rsidP="00BD3F9C">
            <w:pPr>
              <w:jc w:val="center"/>
              <w:rPr>
                <w:sz w:val="22"/>
                <w:szCs w:val="22"/>
                <w:lang w:val="en-US"/>
              </w:rPr>
            </w:pPr>
          </w:p>
        </w:tc>
      </w:tr>
    </w:tbl>
    <w:p w:rsidR="007F15F6" w:rsidRPr="000E0709" w:rsidRDefault="007F15F6" w:rsidP="007F15F6">
      <w:pPr>
        <w:rPr>
          <w:sz w:val="2"/>
          <w:szCs w:val="2"/>
          <w:lang w:val="en-US"/>
        </w:rPr>
      </w:pPr>
    </w:p>
    <w:tbl>
      <w:tblPr>
        <w:tblW w:w="10090" w:type="dxa"/>
        <w:tblInd w:w="-459" w:type="dxa"/>
        <w:tblLayout w:type="fixed"/>
        <w:tblLook w:val="0000" w:firstRow="0" w:lastRow="0" w:firstColumn="0" w:lastColumn="0" w:noHBand="0" w:noVBand="0"/>
      </w:tblPr>
      <w:tblGrid>
        <w:gridCol w:w="708"/>
        <w:gridCol w:w="1276"/>
        <w:gridCol w:w="5979"/>
        <w:gridCol w:w="850"/>
        <w:gridCol w:w="1277"/>
      </w:tblGrid>
      <w:tr w:rsidR="007F15F6" w:rsidRPr="000E0709" w:rsidTr="00BD3F9C">
        <w:trPr>
          <w:cantSplit/>
          <w:tblHeader/>
        </w:trPr>
        <w:tc>
          <w:tcPr>
            <w:tcW w:w="708" w:type="dxa"/>
            <w:tcBorders>
              <w:top w:val="single" w:sz="6" w:space="0" w:color="auto"/>
              <w:left w:val="single" w:sz="6" w:space="0" w:color="auto"/>
              <w:bottom w:val="double" w:sz="6" w:space="0" w:color="auto"/>
              <w:right w:val="nil"/>
            </w:tcBorders>
            <w:shd w:val="pct5" w:color="auto" w:fill="auto"/>
          </w:tcPr>
          <w:p w:rsidR="007F15F6" w:rsidRPr="000E0709" w:rsidRDefault="007F15F6" w:rsidP="00BD3F9C">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7F15F6" w:rsidRPr="000E0709" w:rsidRDefault="007F15F6" w:rsidP="00BD3F9C">
            <w:pPr>
              <w:ind w:left="-120" w:right="-108"/>
              <w:jc w:val="center"/>
              <w:rPr>
                <w:sz w:val="22"/>
                <w:szCs w:val="22"/>
                <w:lang w:val="en-US"/>
              </w:rPr>
            </w:pPr>
            <w:r w:rsidRPr="000E0709">
              <w:rPr>
                <w:sz w:val="22"/>
                <w:szCs w:val="22"/>
                <w:lang w:val="en-US"/>
              </w:rPr>
              <w:t>2</w:t>
            </w:r>
          </w:p>
        </w:tc>
        <w:tc>
          <w:tcPr>
            <w:tcW w:w="5979" w:type="dxa"/>
            <w:tcBorders>
              <w:top w:val="single" w:sz="6" w:space="0" w:color="auto"/>
              <w:left w:val="single" w:sz="6" w:space="0" w:color="auto"/>
              <w:bottom w:val="double" w:sz="6" w:space="0" w:color="auto"/>
              <w:right w:val="nil"/>
            </w:tcBorders>
            <w:shd w:val="pct5" w:color="auto" w:fill="auto"/>
          </w:tcPr>
          <w:p w:rsidR="007F15F6" w:rsidRPr="000E0709" w:rsidRDefault="007F15F6" w:rsidP="00BD3F9C">
            <w:pPr>
              <w:jc w:val="center"/>
              <w:rPr>
                <w:sz w:val="22"/>
                <w:szCs w:val="22"/>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7F15F6" w:rsidRPr="000E0709" w:rsidRDefault="007F15F6" w:rsidP="00BD3F9C">
            <w:pPr>
              <w:ind w:left="-108" w:right="-108"/>
              <w:jc w:val="center"/>
              <w:rPr>
                <w:sz w:val="22"/>
                <w:szCs w:val="22"/>
                <w:lang w:val="en-US"/>
              </w:rPr>
            </w:pPr>
            <w:r w:rsidRPr="000E0709">
              <w:rPr>
                <w:sz w:val="22"/>
                <w:szCs w:val="22"/>
                <w:lang w:val="en-US"/>
              </w:rPr>
              <w:t>4</w:t>
            </w:r>
          </w:p>
        </w:tc>
        <w:tc>
          <w:tcPr>
            <w:tcW w:w="1277" w:type="dxa"/>
            <w:tcBorders>
              <w:top w:val="single" w:sz="6" w:space="0" w:color="auto"/>
              <w:left w:val="single" w:sz="6" w:space="0" w:color="auto"/>
              <w:bottom w:val="double" w:sz="6" w:space="0" w:color="auto"/>
              <w:right w:val="nil"/>
            </w:tcBorders>
            <w:shd w:val="pct5" w:color="auto" w:fill="auto"/>
          </w:tcPr>
          <w:p w:rsidR="007F15F6" w:rsidRPr="000E0709" w:rsidRDefault="007F15F6" w:rsidP="00BD3F9C">
            <w:pPr>
              <w:ind w:left="-108" w:right="-108"/>
              <w:jc w:val="center"/>
              <w:rPr>
                <w:sz w:val="22"/>
                <w:szCs w:val="22"/>
                <w:lang w:val="en-US"/>
              </w:rPr>
            </w:pPr>
            <w:r w:rsidRPr="000E0709">
              <w:rPr>
                <w:sz w:val="22"/>
                <w:szCs w:val="22"/>
                <w:lang w:val="en-US"/>
              </w:rPr>
              <w:t>5</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r w:rsidRPr="00B40365">
              <w:rPr>
                <w:sz w:val="22"/>
                <w:szCs w:val="22"/>
                <w:lang w:val="en-US"/>
              </w:rPr>
              <w:t xml:space="preserve"> </w:t>
            </w: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 xml:space="preserve">1. Lucrari de constructie </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1.1. Pereti</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RpCJ35A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Desfaceri de tencuieli interioare sau exterioare driscuite la pereti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528,90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RpCM33A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placajelor din faianta, gresie, ceramica</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88,60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CD57A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Executarea peretilor despartitori monostrat din placi din ipsos "cu rosturi in relief" cu gr.8 cm., in incaperi cu inaltime: pina la 4 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1,12</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CD51C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Zidarie din caramida , format 250 x 120 x 65 la pereti despartitori armati cu grosimea 1/2 caramida, inaltimea pina la 4 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0,03</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Grunduirea suprafetelor interioare a peretilor cu Betonocontact,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CF02B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Tencuieli interioare de 2 cm grosime, driscuite, executate manual, la pereti sau stilpi, pe suprafete plane cu mortar de ciment-var  marca M 100-T pentru sprit, grund si stratul vizibil, pe zidarie de caramida sau blocuri mici de beton</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93,70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CF50B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Tencuieli interioare de 7 mm grosime, executate manual, cu amestec uscat pe baza de ipsos, la pereti si pereti despartitori, preparare manuala a mortarului.</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CF17C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Diverse lucrari - strat de impaslitura din fibra de sticla aplicat pe suprafata elementelor prefabricate din b.c.a. lipit cu aracet, inclusiv stratul de amorsaj</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CF51B k=2</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Tencuieli interioare de 5 mm grosime, executate manual, cu amestec uscat pe baza de ipsos, la pereti si pereti despartitori, preparare manuala a mortarului. Diferenta in plus  pentru fiecare 1,0 mm (se adauga  la art. CF50)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Aplicarea manuala a chitului pe baza de ipsos "Eurofin" grosime 1,0 mm pe suprafetele  peretilor,  coloanelor  si  tavanelor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Aplicarea manuala a chitului pentru lucrari la interior "Mesterul Manole"  grosime 0,5 mm pe suprafetele  peretilor,  coloanelor  si  tavanelor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Grunduirea suprafetelor interioare a peretilor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CN06A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Vopsitorii interioare cu vopsea pe baza de copolimeri vinilici in emulsie apoasa,  aplicate in 2 straturi pe glet existent, executate manual (super Lavabila,rezistenta  sporita la spalare, murdarie si patare de orice fel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733,70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lastRenderedPageBreak/>
              <w:t>14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CI22B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Placaj din placute de ceramica (la pereti, stilpi, pilastri si glafuri)  fixate de adeziv (amestec uscat),  dimensiuni  placute: pina la 200 x 200 mm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93,70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CK18C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coltari din pvc</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65,00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1.2. Glafuri rigle ,coloane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RpCJ35A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Desfaceri de tencuieli interioare driscuite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38,12</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CF61A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Driscuire continua a suprafetei (tencuiala de un strat) cu amestec uscat de ipsos: glafuri de ferestre si usi plane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38,12</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CK18C k sal 0.5</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 Montarea coltari din aluminiu la muchii( se exclud suruburi)</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95,00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Aplicarea manuala a chitului pe baza de ipsos "Eurofin" grosime 1,0 mm pe suprafetele peretilor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38,12</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Grunduirea suprafetelor interioare a peretilor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38,12</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CN06A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Vopsitorii interioare cu vopsea pe baza de copolimeri vinilici in emulsie apoasa,  aplicate in 2 straturi pe glet existent, executate manual la glafuri (Lavabila,rezistenta  sporita la spalare, murdarie si patare de orice fel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38,12</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1.3. Tavan</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RpCJ35A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Desfaceri de tencuieli interioare sau exterioare driscuite la pereti sau tavane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RpCM33E</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placajelor din PVC, azbociment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19,00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CK29F</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Tavane suspendate din panouri prefabricate "Armstrong", inclusiv sistemul-grila</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207,60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СF59F</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Placarea suprafetelor cu un strat de PGC cu executarea carcasei metalice simple plane, cu inaltimea pina la 4 m: rigle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Grunduirea suprafetelor interioare a peretilor cu Betonocontact,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CF52B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Tencuieli interioare de 7 mm grosime, executate manual, cu amestec uscat pe baza de ipsos, la tavan, preparare manuala a mortarului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CF17C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Diverse lucrari - strat de impaslitura din fibra de sticla aplicat pe suprafata elementelor prefabricate din b.c.a. lipit cu aracet, inclusiv stratul de amorsaj</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29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CF53B k=2</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Tencuieli interioare de 5 mm grosime, executate manual, cu amestec uscat pe baza de ipsos, la tavan, preparare manuala a mortarului. Diferenta in plus sau in minus pentru fiecare 1,0 mm  (se adauga sau se scade la art CF52)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Aplicarea manuala a chitului pe baza de ipsos "Eurofin" grosime 1,0 mm pe suprafetele  peretilor,  coloanelor  si  tavanelor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65,50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CF56A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Aplicarea manuala a chitului pentru lucrari la interior "Mesterul Manole"  grosime 0,5 mm pe suprafetele  peretilor,  coloanelor  si  tavanelor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65,50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Grunduirea suprafetelor interioare a tavan</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65,50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CN06A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Vopsitorii interioare cu vopsea pe baza de copolimeri vinilici in emulsie apoasa,  aplicate in 2 straturi pe glet existent, executate manual (Lavabila,rezistenta  sporita la spalare, murdarie si patare de orice fel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65,50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1.4. Pardoseli</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RpCK42C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Desfacerea pardoselilor reci din placi de beton, marmura, piatra, gresie, placi ceramice, etc</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64,90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RpCK41B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Desfacerea pardoselilor din parchet de stejar sau fag</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125,30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RpCK41C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Desfacerea pardoselilor din covor din PVC pe suport sau fara suport textil, mocheta, etc</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52,90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CN53A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Grunduirea suprafetelor interioare a pardoseli cu Betonocontact,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CG01A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Strat suport pentru pardoseli executat din mortar din ciment M 100-T de 3 cm grosime cu fata driscuita fin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166,00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39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CG56A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Sapa din amestec de autonivelare "Nivelir": grosime 10mm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217,60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CG56A1 k=5</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Corectia la norma CG56A: se scade la 1mm grosime: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-140,10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RpCE37A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Executarea hidroizolatiei la rece, in cimp continuu, cu 1 strat de material de armare gata impregnat, fara strat de acoperire pe suprafete orizontale sau inclinate pina la 20 grade (tip Penetron) N mater hidroizolant 1.5 Kg/m2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21,00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CG17D</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Pardoseli din placi de gresie ceramica inclusiv stratul suport din mortar adeziv, executate pe suprafete: mai mari de 16 m2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78,50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CI14B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Elemente liniare din placi din gresie portelanata aplicate cu adeziv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75,60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CG36B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Pardoseli din placi laminat gr 10 mm clasa 33 4V montale pe uscat cu pozarea stratului sintetic pe suport existent, inclusiv plintele de pvc  si curatarea, in incaperii mai mica sau egala cu 16 mp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165,60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1.5. Timplarie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RpCO56A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Demontari: timplarie din lemn (usi, ferestre, obloane, cutii, rulou, masti, etc.)</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27,00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CK25A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36,90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CK27A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Glasvanduri din profile din mase plastice la constructii cu inaltimi pina la 35 m din panouri fixe montate pe parapet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3,00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1.6. Lucrari retea incalzire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RpIB11A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Demontari radiatoare de pozitie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42,30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49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RpIB11C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Demontarea consolelor sau dispozitivelor de sustinere pentru desfiintare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56,00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RpIC19A1</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tevii negri, pentru instalatii, montate la incalzire centrala prin sudare, la constructii industriale, la legarea aparatelor, a coloanelor de distributie etc. avind diametrul de 3/8" - 3/4"</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IB05B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Radiatoare din bimetal , corpul de radiator avind 10 elemente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17,00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ID01A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Robinet cu ventil cu dublu reglaj cu racord olandez (tur sau retur) pentru instalatii de incalzire central, avind diametrul nominal de  -1/2"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lastRenderedPageBreak/>
              <w:t>53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ID06A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Robinet de aerisire cu cheie mobila pentru instalatii de incalzire centrala, avind diametrul nominal de 1/4"</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17,00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IC50A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Dop radiator, avind diametrul de 3/8" ...1/2"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IC50B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Reductie radiator, avind diametrul de 3/4" ...1"</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IB20A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Elemente de sustinere pentru corpuri de incalzire, montat pe zid de caramida.</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IC35C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RpSA43C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Bratara pentru fixarea conductelor de alimentare cu apa si gaze, din otel sau material plastic montata prin incastrare, conductele avind diametrul de 1"</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110,00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59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SD01A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Robinet de serviciu, simplu sau dublu cu racord, indiferent de modul de inchidere, avind diametrul de PPR -d=25</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IC38B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Piesa de racordare (fiting), cu 2 imbinari, din polipropilena imbinate prin polifusiune cu teava din polipropilena armata, avind diametrul exterior de 25,0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68,00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IC38H</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Piesa de racordare (fiting), cu 3 imbinari, din polipropilena imbinate prin polifusiune cu teava din polipropilena armata, avind diametrul exterior de 25,0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36,00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IC38B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Piesa de racordare (MP 25x3/4), cu 2 imbinari, din polipropilena imbinate prin polifusiune cu teava din polipropilena armata, avind diametrul exterior de 25,0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IE03A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Efectuarea probei de etanseitate la presiune a  conductelor de alimentare a aparatelor de incalzire (aeroterme, termoconvectoare, covectoare de plinta, etc.) avind diametrul de 3/8" ... 1"</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IE04A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Efectuarea probei de dilatare-contractare si de functionare, a  conductelor de alimentare a aparatelor de incalzire (aeroterme, termoconvectoare, covectoare de plinta, etc.) avind diametrul de 3/8" ... 1"</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120,00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1.7. Instalatii sanitare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RpCU05D</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Executarea strapungerilor pentru conducte sau tiranti in pereti din zidarie de caramida, de 16 - 25 cm grosime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RpCU05C1</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Executarea strapungerilor pentru conducte sau tiranti in pereti sau plansee din piatra sau beton armat pina la 15 cm, pentru executarea strapungerilor mecanizat</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RpCU06A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Executarea santurilor de pina la 5 cm adincime, in pereti din zidarie de caramida de 5 x 50 cm2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5,30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RpCU07D</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Matarea santurilor in pereti de pina la 50 cm2, dupa instalatii sau consolidari</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5,30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69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RpCU07C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Matarea golurilor in plansee, cu mortar de ciment, dupa instalatii</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RpCU07B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Matarea golurilor in pereti, cu mortar de ciment-var, dupa instalatii sau consolidari</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RpSC05A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unui lavoar de faianta, inclusiv accesoriile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RpSC02A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unei cazi pentru dus, inclusiv accesoriile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RpSD03A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unei baterii stative, avind diametru de 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lastRenderedPageBreak/>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lastRenderedPageBreak/>
              <w:t>74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RpSB01A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Demontarea tuburilor si pieselor de legatura fasonate din fonta, pentru canalizare, cu diametrul de 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RpSA20B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Teava din material plastic imbinata prin sudura prin polifuziune, in conducte de legatura, la obiecte sanitare, la obiecte de locuit si soccial-culturale, avind diametrul de 20-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RpSB13C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tevii din material plastic pentru canalizare, imbinata cu garnitura de cauciuc, montata aparent sau ingropat sub pardoseala, avind diametrul de 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RpSB13E</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tevii din material plastic pentru canalizare, imbinata cu garnitura de cauciuc, montata aparent sau ingropat sub pardoseala, avind diametrul de 110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RpSB14C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piesei de legatura din material plastic pentru canalizare, imbinata cu garnitura de cauciuc, avind diametrul de 50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79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RpSB14E</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piesei de legatura din material plastic pentru canalizare, imbinata cu garnitura de cauciuc, avind diametrul de 110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RpSA43F</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Bratara pentru fixarea conductelor de alimentare cu apa si gaze, din otel sau material plastic montata prin incastrare, conductele avind diametrul de 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RpSA43I</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Bratara pentru fixarea conductelor de alimentare cu apa si gaze, din otel sau material plastic montata prin incastrare, conductele avind diametrul de 4"</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RpSA43B</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Bratara pentru fixarea conductelor de alimentare cu apa si gaze, din otel sau material plastic  montata prin incastrare, conductele avind diametrul de 3/4"</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SC04C</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Lavoar din semiportelan, portelan sanitar etc. inclusiv pentru  handicapati, avind teava de scurgere din material plastic, montat pe piedestal</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SD04A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Baterie amestecatoare cu brat basculant stativa pentru lavoar sau spalator, indiferent de modul de inchidere, inclusiv pentru handicapati, avind diametrul de 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3,00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SD02A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Baterie amestecatoare pentru baie, cu dus flexibil sau fix, indiferent de modul de inchidere, inclusiv pentru handicapati, montata pe pereti din zidarie de caramida sau b.c.a.</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SC07A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Vas pentru closet, complet echipat, din semiportelan, portelan sanitar etc. inclusiv pentru handicapati, asezat pe pardoseala, cu rezervorul de apa montat la inaltime sau semiinaltime, avind sifonul interior tip S, cu racord flexibil, robimet colt si robinet plutitor cu dn=1/2"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RpSB15A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Furtunului gofrat p/u WC</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RpSD20A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robinetului de reglaj, drept sau coltar, montat inaintea armaturii de la obiectele sanitare, avind diametrul de 3/8" - 1/2"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8,00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89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RpSB41A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sifonului de pardoseala din polipropilena, avind diametrul iesirii de 50 mm.(Rigola de dus linear set SMOOTH (Otel Inox, neted) FLH40-A2 C15 600 x70)</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lastRenderedPageBreak/>
              <w:t>90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SC13A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Oglinda sanitara din semicristal cu marginile slefuite, avid dimensiunile de 500 x 600 mm, montata pe perete din zidarie de caramida sau b.c.a.</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pret de piata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Perdea pentru baie 180x200cm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1.8. Retea de ventilare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RCsB29L k=15</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Forarea gaurilor strapunse in zidarii de caramida si piatra, utilizind cu masina cu foreza-carota diamantata  cu diametrul de: 130 mm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VA02E</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Confectionarea si montarea canalelor de ventilatie drepte, din tabla zincata 0,5 mm grosime, avind perimetrul sectiunii circulare de 125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4,50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94</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VA13F2</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Piesa speciala (cot), din tabla zincata sau  aluminiu de 0,5 - 2 mm grosime inclusiv, avind perimetrul sectiunii circulare de 250 - 400 mm, confectionarea in ateliere cenmtralizate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1,20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95</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VA15F</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Piesa speciala (ramificatie), din tabla zincata sau aluminiu de 0,5 - 2 mm grosime, avind perimetrul sectiunii circulare de 250 - 400 mm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m2</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0,90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96</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VB09A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Rama cu jaluzele fixe, gata confectionate montata pe zidarie</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97</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VB03A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Clapeta de inchidere pentru canale verticale,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98</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VC07A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Montarea ventilatoarelor axiale, de fereastra, tip VF 315 - VF 900, avind greutatea de 3,6 - 8,2 kg cu motor de 0,25 - 0,55 kw</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2,00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99</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CL20A</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 xml:space="preserve">Grile de ventilatie gata confectionate din PVC, cu jaluzele reglabile manual,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buc</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10,00</w:t>
            </w:r>
          </w:p>
        </w:tc>
      </w:tr>
      <w:tr w:rsidR="007F15F6" w:rsidRPr="00F85A42" w:rsidTr="00BD3F9C">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7F15F6" w:rsidRPr="00B40365" w:rsidRDefault="007F15F6" w:rsidP="00BD3F9C">
            <w:pPr>
              <w:jc w:val="right"/>
              <w:rPr>
                <w:sz w:val="22"/>
                <w:szCs w:val="22"/>
                <w:lang w:val="en-US"/>
              </w:rPr>
            </w:pPr>
          </w:p>
        </w:tc>
        <w:tc>
          <w:tcPr>
            <w:tcW w:w="1276" w:type="dxa"/>
            <w:tcBorders>
              <w:top w:val="nil"/>
              <w:bottom w:val="nil"/>
            </w:tcBorders>
          </w:tcPr>
          <w:p w:rsidR="007F15F6" w:rsidRPr="00B40365" w:rsidRDefault="007F15F6" w:rsidP="00BD3F9C">
            <w:pPr>
              <w:rPr>
                <w:sz w:val="22"/>
                <w:szCs w:val="22"/>
                <w:lang w:val="en-US"/>
              </w:rPr>
            </w:pPr>
          </w:p>
        </w:tc>
        <w:tc>
          <w:tcPr>
            <w:tcW w:w="5979" w:type="dxa"/>
            <w:tcBorders>
              <w:top w:val="nil"/>
              <w:bottom w:val="nil"/>
            </w:tcBorders>
          </w:tcPr>
          <w:p w:rsidR="007F15F6" w:rsidRPr="00B40365" w:rsidRDefault="007F15F6" w:rsidP="00BD3F9C">
            <w:pPr>
              <w:rPr>
                <w:b/>
                <w:bCs/>
                <w:sz w:val="22"/>
                <w:szCs w:val="22"/>
                <w:lang w:val="en-US"/>
              </w:rPr>
            </w:pPr>
            <w:r w:rsidRPr="00F85A42">
              <w:rPr>
                <w:b/>
                <w:bCs/>
                <w:sz w:val="22"/>
                <w:szCs w:val="22"/>
                <w:lang w:val="en-US"/>
              </w:rPr>
              <w:t>1.9. Diverse</w:t>
            </w:r>
          </w:p>
          <w:p w:rsidR="007F15F6" w:rsidRPr="00F85A42" w:rsidRDefault="007F15F6" w:rsidP="00BD3F9C">
            <w:pPr>
              <w:rPr>
                <w:sz w:val="4"/>
                <w:szCs w:val="4"/>
                <w:lang w:val="en-US"/>
              </w:rPr>
            </w:pPr>
          </w:p>
        </w:tc>
        <w:tc>
          <w:tcPr>
            <w:tcW w:w="850" w:type="dxa"/>
            <w:tcBorders>
              <w:top w:val="nil"/>
              <w:bottom w:val="nil"/>
            </w:tcBorders>
          </w:tcPr>
          <w:p w:rsidR="007F15F6" w:rsidRPr="00F85A42" w:rsidRDefault="007F15F6" w:rsidP="00BD3F9C">
            <w:pPr>
              <w:rPr>
                <w:sz w:val="22"/>
                <w:szCs w:val="22"/>
                <w:lang w:val="en-US"/>
              </w:rPr>
            </w:pPr>
          </w:p>
        </w:tc>
        <w:tc>
          <w:tcPr>
            <w:tcW w:w="1277" w:type="dxa"/>
            <w:tcBorders>
              <w:top w:val="nil"/>
              <w:bottom w:val="nil"/>
            </w:tcBorders>
          </w:tcPr>
          <w:p w:rsidR="007F15F6" w:rsidRPr="00F85A42" w:rsidRDefault="007F15F6" w:rsidP="00BD3F9C">
            <w:pPr>
              <w:rPr>
                <w:sz w:val="22"/>
                <w:szCs w:val="22"/>
                <w:lang w:val="en-US"/>
              </w:rPr>
            </w:pP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100</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TrB01A1-5</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Transportul materialelor din grupa 1-3 (incarcare, asezare, descarcare, asezare), cu roabe pe pneuri, pe distanta de 50 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t</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101</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TRI1AA08C2</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Descarcarea materialelor din grupa A - grele si marunte prin aruncare - pe rampa sau teren, din auto categoria 2</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t</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102</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TrI1AA01D1</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Incarcarea materialelor din grupa A - grele si marunte prin transport pina la 10 m - de pe rampa, in vagon, categoria 1 (gunoiul )</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t</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15,00</w:t>
            </w:r>
          </w:p>
        </w:tc>
      </w:tr>
      <w:tr w:rsidR="007F15F6" w:rsidRPr="00B40365" w:rsidTr="00BD3F9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7F15F6" w:rsidRPr="00B40365" w:rsidRDefault="007F15F6" w:rsidP="00BD3F9C">
            <w:pPr>
              <w:jc w:val="center"/>
              <w:rPr>
                <w:sz w:val="22"/>
                <w:szCs w:val="22"/>
                <w:lang w:val="en-US"/>
              </w:rPr>
            </w:pPr>
            <w:r w:rsidRPr="00B40365">
              <w:rPr>
                <w:sz w:val="22"/>
                <w:szCs w:val="22"/>
                <w:lang w:val="en-US"/>
              </w:rPr>
              <w:t>103</w:t>
            </w:r>
          </w:p>
        </w:tc>
        <w:tc>
          <w:tcPr>
            <w:tcW w:w="1276" w:type="dxa"/>
            <w:tcBorders>
              <w:top w:val="single" w:sz="4" w:space="0" w:color="auto"/>
              <w:bottom w:val="single" w:sz="4" w:space="0" w:color="auto"/>
            </w:tcBorders>
            <w:vAlign w:val="center"/>
          </w:tcPr>
          <w:p w:rsidR="007F15F6" w:rsidRPr="00262B1B" w:rsidRDefault="007F15F6" w:rsidP="00BD3F9C">
            <w:pPr>
              <w:jc w:val="center"/>
              <w:rPr>
                <w:sz w:val="22"/>
                <w:szCs w:val="22"/>
                <w:lang w:val="en-US"/>
              </w:rPr>
            </w:pPr>
            <w:r w:rsidRPr="00262B1B">
              <w:rPr>
                <w:sz w:val="22"/>
                <w:szCs w:val="22"/>
                <w:lang w:val="en-US"/>
              </w:rPr>
              <w:t>TsI50B5</w:t>
            </w:r>
          </w:p>
        </w:tc>
        <w:tc>
          <w:tcPr>
            <w:tcW w:w="5979" w:type="dxa"/>
            <w:tcBorders>
              <w:top w:val="single" w:sz="4" w:space="0" w:color="auto"/>
              <w:bottom w:val="single" w:sz="4" w:space="0" w:color="auto"/>
            </w:tcBorders>
            <w:vAlign w:val="center"/>
          </w:tcPr>
          <w:p w:rsidR="007F15F6" w:rsidRPr="00B40365" w:rsidRDefault="007F15F6" w:rsidP="00BD3F9C">
            <w:pPr>
              <w:rPr>
                <w:lang w:val="en-US"/>
              </w:rPr>
            </w:pPr>
            <w:r w:rsidRPr="00B40365">
              <w:rPr>
                <w:lang w:val="en-US"/>
              </w:rPr>
              <w:t>Transportarea deseu constructie cu autobasculanta de 5 t la distanta  de 15 km</w:t>
            </w:r>
          </w:p>
          <w:p w:rsidR="007F15F6" w:rsidRPr="0064454F" w:rsidRDefault="007F15F6" w:rsidP="00BD3F9C">
            <w:pPr>
              <w:rPr>
                <w:sz w:val="4"/>
                <w:szCs w:val="4"/>
                <w:lang w:val="en-US"/>
              </w:rPr>
            </w:pPr>
          </w:p>
        </w:tc>
        <w:tc>
          <w:tcPr>
            <w:tcW w:w="850"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t</w:t>
            </w:r>
          </w:p>
        </w:tc>
        <w:tc>
          <w:tcPr>
            <w:tcW w:w="1277" w:type="dxa"/>
            <w:tcBorders>
              <w:top w:val="single" w:sz="4" w:space="0" w:color="auto"/>
              <w:bottom w:val="single" w:sz="4" w:space="0" w:color="auto"/>
            </w:tcBorders>
            <w:vAlign w:val="center"/>
          </w:tcPr>
          <w:p w:rsidR="007F15F6" w:rsidRPr="00B40365" w:rsidRDefault="007F15F6" w:rsidP="00BD3F9C">
            <w:pPr>
              <w:jc w:val="center"/>
              <w:rPr>
                <w:sz w:val="22"/>
                <w:szCs w:val="22"/>
                <w:lang w:val="en-US"/>
              </w:rPr>
            </w:pPr>
            <w:r w:rsidRPr="00B40365">
              <w:rPr>
                <w:sz w:val="22"/>
                <w:szCs w:val="22"/>
                <w:lang w:val="en-US"/>
              </w:rPr>
              <w:t>15,00</w:t>
            </w:r>
          </w:p>
        </w:tc>
      </w:tr>
    </w:tbl>
    <w:p w:rsidR="007F15F6" w:rsidRPr="00FF430B" w:rsidRDefault="007F15F6" w:rsidP="007F15F6">
      <w:pPr>
        <w:tabs>
          <w:tab w:val="left" w:pos="567"/>
        </w:tabs>
        <w:jc w:val="both"/>
        <w:rPr>
          <w:lang w:val="ro-MD"/>
        </w:rPr>
      </w:pPr>
    </w:p>
    <w:p w:rsidR="007F15F6" w:rsidRPr="00FF430B" w:rsidRDefault="007F15F6" w:rsidP="007F15F6">
      <w:pPr>
        <w:tabs>
          <w:tab w:val="left" w:pos="567"/>
        </w:tabs>
        <w:jc w:val="both"/>
        <w:rPr>
          <w:lang w:val="ro-MD"/>
        </w:rPr>
      </w:pPr>
      <w:r w:rsidRPr="00FF430B">
        <w:rPr>
          <w:lang w:val="ro-MD"/>
        </w:rPr>
        <w:t>     </w:t>
      </w:r>
      <w:r w:rsidRPr="00FF430B">
        <w:rPr>
          <w:bCs/>
          <w:lang w:val="ro-MD"/>
        </w:rPr>
        <w:t xml:space="preserve">Data </w:t>
      </w:r>
      <w:r w:rsidR="00D45321">
        <w:rPr>
          <w:lang w:val="ro-MD"/>
        </w:rPr>
        <w:t>27.10.2022</w:t>
      </w:r>
    </w:p>
    <w:p w:rsidR="007F15F6" w:rsidRPr="00FF430B" w:rsidRDefault="007F15F6" w:rsidP="007F15F6">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7F15F6" w:rsidRPr="00FF430B" w:rsidRDefault="007F15F6" w:rsidP="007F15F6">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7F15F6" w:rsidRPr="00FF430B" w:rsidRDefault="007F15F6" w:rsidP="007F15F6">
      <w:pPr>
        <w:pStyle w:val="Corptext"/>
        <w:tabs>
          <w:tab w:val="left" w:pos="567"/>
        </w:tabs>
        <w:rPr>
          <w:rFonts w:ascii="Times New Roman" w:hAnsi="Times New Roman"/>
          <w:szCs w:val="24"/>
          <w:lang w:val="ro-MD"/>
        </w:rPr>
      </w:pPr>
    </w:p>
    <w:p w:rsidR="007F15F6" w:rsidRPr="00FF430B" w:rsidRDefault="007F15F6" w:rsidP="007F15F6">
      <w:pPr>
        <w:pStyle w:val="Corptext"/>
        <w:tabs>
          <w:tab w:val="left" w:pos="567"/>
        </w:tabs>
        <w:rPr>
          <w:rFonts w:ascii="Times New Roman" w:hAnsi="Times New Roman"/>
          <w:szCs w:val="24"/>
          <w:lang w:val="ro-MD"/>
        </w:rPr>
      </w:pPr>
    </w:p>
    <w:p w:rsidR="007F15F6" w:rsidRDefault="007F15F6" w:rsidP="007F15F6">
      <w:pPr>
        <w:pStyle w:val="Corptext"/>
        <w:tabs>
          <w:tab w:val="left" w:pos="567"/>
        </w:tabs>
        <w:rPr>
          <w:rFonts w:ascii="Times New Roman" w:hAnsi="Times New Roman"/>
          <w:i/>
          <w:szCs w:val="24"/>
          <w:lang w:val="ro-MD"/>
        </w:rPr>
      </w:pPr>
    </w:p>
    <w:p w:rsidR="007F15F6" w:rsidRDefault="007F15F6" w:rsidP="007F15F6">
      <w:pPr>
        <w:pStyle w:val="Corptext"/>
        <w:tabs>
          <w:tab w:val="left" w:pos="567"/>
        </w:tabs>
        <w:rPr>
          <w:rFonts w:ascii="Times New Roman" w:hAnsi="Times New Roman"/>
          <w:i/>
          <w:szCs w:val="24"/>
          <w:lang w:val="ro-MD"/>
        </w:rPr>
      </w:pPr>
    </w:p>
    <w:p w:rsidR="007F15F6" w:rsidRDefault="007F15F6" w:rsidP="007F15F6">
      <w:pPr>
        <w:pStyle w:val="Corptext"/>
        <w:tabs>
          <w:tab w:val="left" w:pos="567"/>
        </w:tabs>
        <w:rPr>
          <w:rFonts w:ascii="Times New Roman" w:hAnsi="Times New Roman"/>
          <w:i/>
          <w:szCs w:val="24"/>
          <w:lang w:val="ro-MD"/>
        </w:rPr>
      </w:pPr>
      <w:bookmarkStart w:id="0" w:name="_GoBack"/>
      <w:bookmarkEnd w:id="0"/>
    </w:p>
    <w:sectPr w:rsidR="007F15F6" w:rsidSect="00D45321">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FDD4613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C42"/>
    <w:rsid w:val="00663250"/>
    <w:rsid w:val="007A2C42"/>
    <w:rsid w:val="007F15F6"/>
    <w:rsid w:val="00D4532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C6334"/>
  <w15:chartTrackingRefBased/>
  <w15:docId w15:val="{7CD4FE45-8955-4FF4-9C46-134D3AA2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5F6"/>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7F15F6"/>
    <w:pPr>
      <w:numPr>
        <w:numId w:val="1"/>
      </w:numPr>
      <w:jc w:val="center"/>
      <w:outlineLvl w:val="0"/>
    </w:pPr>
    <w:rPr>
      <w:b/>
    </w:rPr>
  </w:style>
  <w:style w:type="paragraph" w:styleId="Titlu2">
    <w:name w:val="heading 2"/>
    <w:basedOn w:val="Normal"/>
    <w:next w:val="Normal"/>
    <w:link w:val="Titlu2Caracter"/>
    <w:unhideWhenUsed/>
    <w:qFormat/>
    <w:rsid w:val="007F15F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7F15F6"/>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7F15F6"/>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7F15F6"/>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7F15F6"/>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7F15F6"/>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F15F6"/>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7F15F6"/>
    <w:rPr>
      <w:rFonts w:asciiTheme="majorHAnsi" w:eastAsiaTheme="majorEastAsia" w:hAnsiTheme="majorHAnsi" w:cstheme="majorBidi"/>
      <w:b/>
      <w:bCs/>
      <w:noProof/>
      <w:color w:val="5B9BD5" w:themeColor="accent1"/>
      <w:sz w:val="26"/>
      <w:szCs w:val="26"/>
    </w:rPr>
  </w:style>
  <w:style w:type="character" w:customStyle="1" w:styleId="Titlu3Caracter">
    <w:name w:val="Titlu 3 Caracter"/>
    <w:basedOn w:val="Fontdeparagrafimplicit"/>
    <w:link w:val="Titlu3"/>
    <w:rsid w:val="007F15F6"/>
    <w:rPr>
      <w:rFonts w:asciiTheme="majorHAnsi" w:eastAsiaTheme="majorEastAsia" w:hAnsiTheme="majorHAnsi" w:cstheme="majorBidi"/>
      <w:b/>
      <w:bCs/>
      <w:noProof/>
      <w:color w:val="5B9BD5" w:themeColor="accent1"/>
      <w:sz w:val="24"/>
      <w:szCs w:val="24"/>
    </w:rPr>
  </w:style>
  <w:style w:type="character" w:customStyle="1" w:styleId="Titlu4Caracter">
    <w:name w:val="Titlu 4 Caracter"/>
    <w:aliases w:val=" Sub-Clause Sub-paragraph Caracter"/>
    <w:basedOn w:val="Fontdeparagrafimplicit"/>
    <w:link w:val="Titlu4"/>
    <w:rsid w:val="007F15F6"/>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7F15F6"/>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7F15F6"/>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7F15F6"/>
    <w:rPr>
      <w:rFonts w:ascii="Cambria" w:eastAsia="Times New Roman" w:hAnsi="Cambria" w:cs="Times New Roman"/>
    </w:rPr>
  </w:style>
  <w:style w:type="paragraph" w:styleId="Subsol">
    <w:name w:val="footer"/>
    <w:basedOn w:val="Normal"/>
    <w:link w:val="SubsolCaracter"/>
    <w:uiPriority w:val="99"/>
    <w:rsid w:val="007F15F6"/>
    <w:pPr>
      <w:tabs>
        <w:tab w:val="center" w:pos="4536"/>
        <w:tab w:val="right" w:pos="9072"/>
      </w:tabs>
    </w:pPr>
  </w:style>
  <w:style w:type="character" w:customStyle="1" w:styleId="SubsolCaracter">
    <w:name w:val="Subsol Caracter"/>
    <w:basedOn w:val="Fontdeparagrafimplicit"/>
    <w:link w:val="Subsol"/>
    <w:uiPriority w:val="99"/>
    <w:rsid w:val="007F15F6"/>
    <w:rPr>
      <w:rFonts w:ascii="Times New Roman" w:eastAsia="Times New Roman" w:hAnsi="Times New Roman" w:cs="Times New Roman"/>
      <w:noProof/>
      <w:sz w:val="24"/>
      <w:szCs w:val="24"/>
    </w:rPr>
  </w:style>
  <w:style w:type="character" w:styleId="Numrdepagin">
    <w:name w:val="page number"/>
    <w:basedOn w:val="Fontdeparagrafimplicit"/>
    <w:rsid w:val="007F15F6"/>
  </w:style>
  <w:style w:type="paragraph" w:styleId="Listparagraf">
    <w:name w:val="List Paragraph"/>
    <w:aliases w:val="HotarirePunct1"/>
    <w:basedOn w:val="Normal"/>
    <w:uiPriority w:val="34"/>
    <w:qFormat/>
    <w:rsid w:val="007F15F6"/>
    <w:pPr>
      <w:numPr>
        <w:numId w:val="2"/>
      </w:numPr>
      <w:tabs>
        <w:tab w:val="left" w:pos="1134"/>
      </w:tabs>
      <w:jc w:val="both"/>
    </w:pPr>
    <w:rPr>
      <w:noProof w:val="0"/>
      <w:lang w:val="en-US"/>
    </w:rPr>
  </w:style>
  <w:style w:type="paragraph" w:styleId="Corptext">
    <w:name w:val="Body Text"/>
    <w:basedOn w:val="Normal"/>
    <w:link w:val="CorptextCaracter"/>
    <w:uiPriority w:val="99"/>
    <w:rsid w:val="007F15F6"/>
    <w:rPr>
      <w:rFonts w:ascii="Baltica RR" w:hAnsi="Baltica RR"/>
      <w:noProof w:val="0"/>
      <w:szCs w:val="20"/>
    </w:rPr>
  </w:style>
  <w:style w:type="character" w:customStyle="1" w:styleId="CorptextCaracter">
    <w:name w:val="Corp text Caracter"/>
    <w:basedOn w:val="Fontdeparagrafimplicit"/>
    <w:link w:val="Corptext"/>
    <w:uiPriority w:val="99"/>
    <w:rsid w:val="007F15F6"/>
    <w:rPr>
      <w:rFonts w:ascii="Baltica RR" w:eastAsia="Times New Roman" w:hAnsi="Baltica RR" w:cs="Times New Roman"/>
      <w:sz w:val="24"/>
      <w:szCs w:val="20"/>
    </w:rPr>
  </w:style>
  <w:style w:type="paragraph" w:styleId="Antet">
    <w:name w:val="header"/>
    <w:basedOn w:val="Normal"/>
    <w:link w:val="AntetCaracter"/>
    <w:uiPriority w:val="99"/>
    <w:rsid w:val="007F15F6"/>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7F15F6"/>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7F15F6"/>
    <w:pPr>
      <w:jc w:val="center"/>
    </w:pPr>
    <w:rPr>
      <w:b/>
      <w:noProof w:val="0"/>
      <w:sz w:val="32"/>
      <w:szCs w:val="20"/>
      <w:lang w:val="en-US" w:eastAsia="ru-RU"/>
    </w:rPr>
  </w:style>
  <w:style w:type="character" w:customStyle="1" w:styleId="SubtitluCaracter">
    <w:name w:val="Subtitlu Caracter"/>
    <w:basedOn w:val="Fontdeparagrafimplicit"/>
    <w:link w:val="Subtitlu"/>
    <w:rsid w:val="007F15F6"/>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F15F6"/>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F15F6"/>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7F15F6"/>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F15F6"/>
    <w:rPr>
      <w:rFonts w:ascii="Baltica RR" w:eastAsia="Times New Roman" w:hAnsi="Baltica RR" w:cs="Times New Roman"/>
      <w:sz w:val="24"/>
      <w:szCs w:val="20"/>
      <w:lang w:eastAsia="ru-RU"/>
    </w:rPr>
  </w:style>
  <w:style w:type="paragraph" w:styleId="Corptext2">
    <w:name w:val="Body Text 2"/>
    <w:basedOn w:val="Normal"/>
    <w:link w:val="Corptext2Caracter"/>
    <w:uiPriority w:val="99"/>
    <w:rsid w:val="007F15F6"/>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7F15F6"/>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7F15F6"/>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F15F6"/>
    <w:rPr>
      <w:rFonts w:ascii="Tahoma" w:eastAsia="Times New Roman" w:hAnsi="Tahoma" w:cs="Tahoma"/>
      <w:sz w:val="16"/>
      <w:szCs w:val="16"/>
      <w:lang w:val="ru-RU" w:eastAsia="ru-RU"/>
    </w:rPr>
  </w:style>
  <w:style w:type="table" w:styleId="Tabelgril">
    <w:name w:val="Table Grid"/>
    <w:basedOn w:val="TabelNormal"/>
    <w:uiPriority w:val="39"/>
    <w:rsid w:val="007F15F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15F6"/>
    <w:pPr>
      <w:ind w:firstLine="567"/>
      <w:jc w:val="both"/>
    </w:pPr>
    <w:rPr>
      <w:noProof w:val="0"/>
      <w:lang w:val="ru-RU" w:eastAsia="ru-RU"/>
    </w:rPr>
  </w:style>
  <w:style w:type="paragraph" w:customStyle="1" w:styleId="cn">
    <w:name w:val="cn"/>
    <w:basedOn w:val="Normal"/>
    <w:rsid w:val="007F15F6"/>
    <w:pPr>
      <w:jc w:val="center"/>
    </w:pPr>
    <w:rPr>
      <w:noProof w:val="0"/>
      <w:lang w:val="ru-RU" w:eastAsia="ru-RU"/>
    </w:rPr>
  </w:style>
  <w:style w:type="paragraph" w:customStyle="1" w:styleId="cb">
    <w:name w:val="cb"/>
    <w:basedOn w:val="Normal"/>
    <w:rsid w:val="007F15F6"/>
    <w:pPr>
      <w:jc w:val="center"/>
    </w:pPr>
    <w:rPr>
      <w:b/>
      <w:bCs/>
      <w:noProof w:val="0"/>
      <w:lang w:val="ru-RU" w:eastAsia="ru-RU"/>
    </w:rPr>
  </w:style>
  <w:style w:type="paragraph" w:styleId="Indentcorptext3">
    <w:name w:val="Body Text Indent 3"/>
    <w:basedOn w:val="Normal"/>
    <w:link w:val="Indentcorptext3Caracter"/>
    <w:rsid w:val="007F15F6"/>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F15F6"/>
    <w:rPr>
      <w:rFonts w:ascii="Times New Roman" w:eastAsia="Times New Roman" w:hAnsi="Times New Roman" w:cs="Times New Roman"/>
      <w:sz w:val="16"/>
      <w:szCs w:val="16"/>
    </w:rPr>
  </w:style>
  <w:style w:type="character" w:styleId="Hyperlink">
    <w:name w:val="Hyperlink"/>
    <w:uiPriority w:val="99"/>
    <w:rsid w:val="007F15F6"/>
    <w:rPr>
      <w:color w:val="0000FF"/>
      <w:u w:val="single"/>
    </w:rPr>
  </w:style>
  <w:style w:type="paragraph" w:customStyle="1" w:styleId="cp">
    <w:name w:val="cp"/>
    <w:basedOn w:val="Normal"/>
    <w:rsid w:val="007F15F6"/>
    <w:pPr>
      <w:jc w:val="center"/>
    </w:pPr>
    <w:rPr>
      <w:b/>
      <w:bCs/>
      <w:noProof w:val="0"/>
      <w:lang w:eastAsia="ru-RU"/>
    </w:rPr>
  </w:style>
  <w:style w:type="paragraph" w:customStyle="1" w:styleId="rg">
    <w:name w:val="rg"/>
    <w:basedOn w:val="Normal"/>
    <w:rsid w:val="007F15F6"/>
    <w:pPr>
      <w:jc w:val="right"/>
    </w:pPr>
    <w:rPr>
      <w:noProof w:val="0"/>
      <w:lang w:val="ru-RU" w:eastAsia="ru-RU"/>
    </w:rPr>
  </w:style>
  <w:style w:type="paragraph" w:customStyle="1" w:styleId="Listparagraf1">
    <w:name w:val="Listă paragraf1"/>
    <w:basedOn w:val="Normal"/>
    <w:qFormat/>
    <w:rsid w:val="007F15F6"/>
    <w:pPr>
      <w:ind w:left="708"/>
    </w:pPr>
    <w:rPr>
      <w:noProof w:val="0"/>
      <w:lang w:eastAsia="ru-RU"/>
    </w:rPr>
  </w:style>
  <w:style w:type="paragraph" w:customStyle="1" w:styleId="Sub-ClauseText">
    <w:name w:val="Sub-Clause Text"/>
    <w:basedOn w:val="Normal"/>
    <w:rsid w:val="007F15F6"/>
    <w:pPr>
      <w:spacing w:before="120" w:after="120"/>
      <w:jc w:val="both"/>
    </w:pPr>
    <w:rPr>
      <w:noProof w:val="0"/>
      <w:spacing w:val="-4"/>
      <w:szCs w:val="20"/>
      <w:lang w:val="en-US"/>
    </w:rPr>
  </w:style>
  <w:style w:type="paragraph" w:customStyle="1" w:styleId="i">
    <w:name w:val="(i)"/>
    <w:basedOn w:val="Normal"/>
    <w:rsid w:val="007F15F6"/>
    <w:pPr>
      <w:suppressAutoHyphens/>
      <w:jc w:val="both"/>
    </w:pPr>
    <w:rPr>
      <w:rFonts w:ascii="Tms Rmn" w:hAnsi="Tms Rmn"/>
      <w:noProof w:val="0"/>
      <w:szCs w:val="20"/>
      <w:lang w:val="en-US"/>
    </w:rPr>
  </w:style>
  <w:style w:type="paragraph" w:customStyle="1" w:styleId="ListParagraph1">
    <w:name w:val="List Paragraph1"/>
    <w:basedOn w:val="Normal"/>
    <w:qFormat/>
    <w:rsid w:val="007F15F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F15F6"/>
    <w:pPr>
      <w:spacing w:after="240"/>
    </w:pPr>
    <w:rPr>
      <w:noProof w:val="0"/>
      <w:szCs w:val="20"/>
      <w:lang w:val="en-US"/>
    </w:rPr>
  </w:style>
  <w:style w:type="paragraph" w:styleId="Titlucuprins">
    <w:name w:val="TOC Heading"/>
    <w:basedOn w:val="Titlu1"/>
    <w:next w:val="Normal"/>
    <w:uiPriority w:val="39"/>
    <w:unhideWhenUsed/>
    <w:qFormat/>
    <w:rsid w:val="007F15F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F15F6"/>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F15F6"/>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F15F6"/>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F15F6"/>
    <w:pPr>
      <w:jc w:val="both"/>
    </w:pPr>
    <w:rPr>
      <w:noProof w:val="0"/>
      <w:sz w:val="20"/>
      <w:szCs w:val="20"/>
      <w:lang w:val="en-US"/>
    </w:rPr>
  </w:style>
  <w:style w:type="character" w:customStyle="1" w:styleId="TextnotdesubsolCaracter">
    <w:name w:val="Text notă de subsol Caracter"/>
    <w:basedOn w:val="Fontdeparagrafimplicit"/>
    <w:link w:val="Textnotdesubsol"/>
    <w:rsid w:val="007F15F6"/>
    <w:rPr>
      <w:rFonts w:ascii="Times New Roman" w:eastAsia="Times New Roman" w:hAnsi="Times New Roman" w:cs="Times New Roman"/>
      <w:sz w:val="20"/>
      <w:szCs w:val="20"/>
      <w:lang w:val="en-US"/>
    </w:rPr>
  </w:style>
  <w:style w:type="character" w:styleId="Referinnotdesubsol">
    <w:name w:val="footnote reference"/>
    <w:rsid w:val="007F15F6"/>
    <w:rPr>
      <w:vertAlign w:val="superscript"/>
    </w:rPr>
  </w:style>
  <w:style w:type="character" w:styleId="Referincomentariu">
    <w:name w:val="annotation reference"/>
    <w:uiPriority w:val="99"/>
    <w:rsid w:val="007F15F6"/>
    <w:rPr>
      <w:sz w:val="16"/>
      <w:szCs w:val="16"/>
    </w:rPr>
  </w:style>
  <w:style w:type="paragraph" w:styleId="Textcomentariu">
    <w:name w:val="annotation text"/>
    <w:basedOn w:val="Normal"/>
    <w:link w:val="TextcomentariuCaracter"/>
    <w:uiPriority w:val="99"/>
    <w:rsid w:val="007F15F6"/>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F15F6"/>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7F15F6"/>
    <w:rPr>
      <w:b/>
      <w:bCs/>
    </w:rPr>
  </w:style>
  <w:style w:type="character" w:customStyle="1" w:styleId="SubiectComentariuCaracter">
    <w:name w:val="Subiect Comentariu Caracter"/>
    <w:basedOn w:val="TextcomentariuCaracter"/>
    <w:link w:val="SubiectComentariu"/>
    <w:rsid w:val="007F15F6"/>
    <w:rPr>
      <w:rFonts w:ascii="Times New Roman" w:eastAsia="Times New Roman" w:hAnsi="Times New Roman" w:cs="Times New Roman"/>
      <w:b/>
      <w:bCs/>
      <w:sz w:val="20"/>
      <w:szCs w:val="20"/>
      <w:lang w:val="ru-RU" w:eastAsia="ru-RU"/>
    </w:rPr>
  </w:style>
  <w:style w:type="paragraph" w:customStyle="1" w:styleId="Default">
    <w:name w:val="Default"/>
    <w:rsid w:val="007F15F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F15F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F15F6"/>
  </w:style>
  <w:style w:type="paragraph" w:customStyle="1" w:styleId="Style3">
    <w:name w:val="Style3"/>
    <w:basedOn w:val="Titlu3"/>
    <w:link w:val="Style3Char"/>
    <w:qFormat/>
    <w:rsid w:val="007F1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F15F6"/>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F15F6"/>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F15F6"/>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F15F6"/>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F15F6"/>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F15F6"/>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F15F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F15F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F15F6"/>
    <w:rPr>
      <w:rFonts w:ascii="Times New Roman" w:hAnsi="Times New Roman" w:cs="Times New Roman"/>
      <w:b/>
      <w:bCs/>
      <w:i/>
      <w:iCs/>
      <w:sz w:val="22"/>
      <w:szCs w:val="22"/>
    </w:rPr>
  </w:style>
  <w:style w:type="paragraph" w:customStyle="1" w:styleId="Style73">
    <w:name w:val="Style73"/>
    <w:basedOn w:val="Normal"/>
    <w:uiPriority w:val="99"/>
    <w:rsid w:val="007F15F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F15F6"/>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F15F6"/>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F15F6"/>
    <w:rPr>
      <w:rFonts w:ascii="Consolas" w:eastAsia="Times New Roman" w:hAnsi="Consolas" w:cs="Times New Roman"/>
      <w:noProof/>
      <w:sz w:val="20"/>
      <w:szCs w:val="20"/>
    </w:rPr>
  </w:style>
  <w:style w:type="character" w:customStyle="1" w:styleId="Style4Char">
    <w:name w:val="Style4 Char"/>
    <w:basedOn w:val="Style3Char"/>
    <w:locked/>
    <w:rsid w:val="007F15F6"/>
    <w:rPr>
      <w:rFonts w:ascii="Times New Roman" w:eastAsia="Calibri" w:hAnsi="Times New Roman" w:cs="Times New Roman"/>
      <w:b/>
      <w:sz w:val="24"/>
      <w:szCs w:val="24"/>
      <w:lang w:val="ru-RU" w:eastAsia="ru-RU" w:bidi="ar-SA"/>
    </w:rPr>
  </w:style>
  <w:style w:type="character" w:customStyle="1" w:styleId="shorttext">
    <w:name w:val="short_text"/>
    <w:rsid w:val="007F15F6"/>
  </w:style>
  <w:style w:type="paragraph" w:styleId="Legend">
    <w:name w:val="caption"/>
    <w:basedOn w:val="Normal"/>
    <w:qFormat/>
    <w:rsid w:val="007F15F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F15F6"/>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F15F6"/>
    <w:rPr>
      <w:b/>
      <w:bCs/>
    </w:rPr>
  </w:style>
  <w:style w:type="paragraph" w:styleId="Revizuire">
    <w:name w:val="Revision"/>
    <w:hidden/>
    <w:uiPriority w:val="99"/>
    <w:semiHidden/>
    <w:rsid w:val="007F15F6"/>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7F15F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15F6"/>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F15F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F15F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F15F6"/>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F15F6"/>
    <w:rPr>
      <w:color w:val="808080"/>
    </w:rPr>
  </w:style>
  <w:style w:type="character" w:customStyle="1" w:styleId="ln2paragraf1">
    <w:name w:val="ln2paragraf1"/>
    <w:rsid w:val="007F15F6"/>
    <w:rPr>
      <w:b/>
      <w:bCs/>
    </w:rPr>
  </w:style>
  <w:style w:type="character" w:customStyle="1" w:styleId="ln2tparagraf">
    <w:name w:val="ln2tparagraf"/>
    <w:rsid w:val="007F15F6"/>
  </w:style>
  <w:style w:type="character" w:customStyle="1" w:styleId="ln2tpunct">
    <w:name w:val="ln2tpunct"/>
    <w:rsid w:val="007F15F6"/>
  </w:style>
  <w:style w:type="paragraph" w:customStyle="1" w:styleId="nt">
    <w:name w:val="nt"/>
    <w:basedOn w:val="Normal"/>
    <w:rsid w:val="007F15F6"/>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7F15F6"/>
    <w:rPr>
      <w:b/>
      <w:bCs/>
      <w:sz w:val="26"/>
      <w:szCs w:val="26"/>
    </w:rPr>
  </w:style>
  <w:style w:type="paragraph" w:customStyle="1" w:styleId="DefaultText">
    <w:name w:val="Default Text"/>
    <w:basedOn w:val="Normal"/>
    <w:link w:val="DefaultTextChar"/>
    <w:uiPriority w:val="99"/>
    <w:rsid w:val="007F15F6"/>
    <w:rPr>
      <w:szCs w:val="20"/>
      <w:lang w:val="en-US"/>
    </w:rPr>
  </w:style>
  <w:style w:type="character" w:customStyle="1" w:styleId="DefaultTextChar">
    <w:name w:val="Default Text Char"/>
    <w:link w:val="DefaultText"/>
    <w:uiPriority w:val="99"/>
    <w:locked/>
    <w:rsid w:val="007F15F6"/>
    <w:rPr>
      <w:rFonts w:ascii="Times New Roman" w:eastAsia="Times New Roman" w:hAnsi="Times New Roman" w:cs="Times New Roman"/>
      <w:noProof/>
      <w:sz w:val="24"/>
      <w:szCs w:val="20"/>
      <w:lang w:val="en-US"/>
    </w:rPr>
  </w:style>
  <w:style w:type="character" w:customStyle="1" w:styleId="a0">
    <w:name w:val="Основной шрифт"/>
    <w:uiPriority w:val="99"/>
    <w:rsid w:val="007F1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2420</Words>
  <Characters>12924</Characters>
  <Application>Microsoft Office Word</Application>
  <DocSecurity>0</DocSecurity>
  <Lines>923</Lines>
  <Paragraphs>639</Paragraphs>
  <ScaleCrop>false</ScaleCrop>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2022-10-27T11:55:00Z</dcterms:created>
  <dcterms:modified xsi:type="dcterms:W3CDTF">2022-10-27T13:00:00Z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ab5941c6e14e5ebd16f000d4481785265e7953f736d89fa7d8bde3f0d53f7d37</vt:lpwstr>
  </property>
</Properties>
</file>