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1" w:beforeLines="50" w:after="181" w:afterLines="50"/>
        <w:textAlignment w:val="auto"/>
        <w:rPr>
          <w:rFonts w:hint="default" w:ascii="Times New Roman" w:hAnsi="Times New Roman" w:cs="Times New Roman"/>
          <w:b/>
          <w:bCs/>
          <w:color w:val="0000FF"/>
          <w:sz w:val="24"/>
          <w:szCs w:val="24"/>
        </w:rPr>
      </w:pPr>
      <w:r>
        <w:rPr>
          <w:rFonts w:hint="default" w:ascii="Times New Roman" w:hAnsi="Times New Roman" w:cs="Times New Roman"/>
          <w:b/>
          <w:bCs/>
          <w:color w:val="0000FF"/>
          <w:sz w:val="24"/>
          <w:szCs w:val="24"/>
        </w:rPr>
        <w:t>Specificații tehnice</w:t>
      </w:r>
    </w:p>
    <w:p>
      <w:pPr>
        <w:keepNext w:val="0"/>
        <w:keepLines w:val="0"/>
        <w:pageBreakBefore w:val="0"/>
        <w:widowControl/>
        <w:kinsoku/>
        <w:wordWrap/>
        <w:overflowPunct/>
        <w:topLinePunct w:val="0"/>
        <w:autoSpaceDE/>
        <w:autoSpaceDN/>
        <w:bidi w:val="0"/>
        <w:adjustRightInd/>
        <w:snapToGrid/>
        <w:spacing w:before="181" w:beforeLines="50" w:after="181" w:afterLines="50"/>
        <w:jc w:val="center"/>
        <w:textAlignment w:val="auto"/>
        <w:rPr>
          <w:rFonts w:hint="default" w:ascii="Times New Roman" w:hAnsi="Times New Roman" w:cs="Times New Roman"/>
          <w:i/>
          <w:iCs/>
        </w:rPr>
      </w:pPr>
      <w:r>
        <w:rPr>
          <w:rFonts w:hint="default" w:ascii="Times New Roman" w:hAnsi="Times New Roman" w:cs="Times New Roman"/>
          <w:i/>
          <w:iCs/>
        </w:rPr>
        <w:t>[Acest tabel va fi completat de către ofertant în coloanele 2, 3, 4, 6, 7, iar de către autoritatea contractantă – în coloanele 1, 5,]</w:t>
      </w:r>
    </w:p>
    <w:tbl>
      <w:tblPr>
        <w:tblStyle w:val="6"/>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705"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r>
              <w:rPr>
                <w:rFonts w:hint="default" w:ascii="Times New Roman" w:hAnsi="Times New Roman" w:cs="Times New Roman"/>
                <w:vertAlign w:val="baseline"/>
              </w:rPr>
              <w:t xml:space="preserve">Numărul procedurii de achiziție </w:t>
            </w:r>
            <w:r>
              <w:rPr>
                <w:rFonts w:hint="default" w:ascii="Times New Roman" w:hAnsi="Times New Roman" w:cs="Times New Roman"/>
                <w:u w:val="single"/>
                <w:vertAlign w:val="baseline"/>
              </w:rPr>
              <w:t xml:space="preserve">               </w:t>
            </w:r>
            <w:r>
              <w:rPr>
                <w:rFonts w:hint="default" w:ascii="Times New Roman" w:hAnsi="Times New Roman" w:cs="Times New Roman"/>
                <w:vertAlign w:val="baseline"/>
              </w:rPr>
              <w:t xml:space="preserve"> din </w:t>
            </w:r>
            <w:r>
              <w:rPr>
                <w:rFonts w:hint="default" w:ascii="Times New Roman" w:hAnsi="Times New Roman" w:cs="Times New Roman"/>
                <w:u w:val="single"/>
                <w:vertAlign w:val="baseli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705"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r>
              <w:rPr>
                <w:rFonts w:hint="default" w:ascii="Times New Roman" w:hAnsi="Times New Roman" w:cs="Times New Roman"/>
                <w:vertAlign w:val="baseline"/>
              </w:rPr>
              <w:t xml:space="preserve">Obiectul achiziției: </w:t>
            </w:r>
            <w:r>
              <w:rPr>
                <w:rFonts w:hint="default" w:ascii="Times New Roman" w:hAnsi="Times New Roman" w:cs="Times New Roman"/>
                <w:u w:val="single"/>
                <w:vertAlign w:val="baseline"/>
              </w:rPr>
              <w:t>Gaze tehnice</w:t>
            </w:r>
          </w:p>
        </w:tc>
      </w:tr>
    </w:tbl>
    <w:p>
      <w:pPr>
        <w:rPr>
          <w:rFonts w:hint="default" w:ascii="Times New Roman" w:hAnsi="Times New Roman" w:cs="Times New Roman"/>
        </w:rPr>
      </w:pPr>
    </w:p>
    <w:tbl>
      <w:tblPr>
        <w:tblStyle w:val="6"/>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035"/>
        <w:gridCol w:w="1828"/>
        <w:gridCol w:w="1128"/>
        <w:gridCol w:w="1380"/>
        <w:gridCol w:w="3196"/>
        <w:gridCol w:w="319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eastAsia="zh-CN" w:bidi="ar-SA"/>
              </w:rPr>
            </w:pPr>
            <w:r>
              <w:rPr>
                <w:rFonts w:hint="default" w:ascii="Times New Roman" w:hAnsi="Times New Roman" w:cs="Times New Roman"/>
                <w:b/>
                <w:sz w:val="20"/>
                <w:szCs w:val="20"/>
              </w:rPr>
              <w:t>Nr. lot</w:t>
            </w:r>
          </w:p>
        </w:tc>
        <w:tc>
          <w:tcPr>
            <w:tcW w:w="3035"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eastAsia="Times New Roman" w:cs="Times New Roman"/>
                <w:b/>
                <w:sz w:val="20"/>
                <w:szCs w:val="20"/>
                <w:lang w:val="ro-RO" w:eastAsia="en-US" w:bidi="ar-SA"/>
              </w:rPr>
            </w:pPr>
            <w:r>
              <w:rPr>
                <w:rFonts w:hint="default" w:ascii="Times New Roman" w:hAnsi="Times New Roman" w:cs="Times New Roman"/>
                <w:b/>
                <w:sz w:val="20"/>
                <w:szCs w:val="20"/>
              </w:rPr>
              <w:t>Denumirea bunurilor/serviciilor</w:t>
            </w:r>
          </w:p>
        </w:tc>
        <w:tc>
          <w:tcPr>
            <w:tcW w:w="1828"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val="en-US" w:eastAsia="zh-CN" w:bidi="ar-SA"/>
              </w:rPr>
            </w:pPr>
            <w:r>
              <w:rPr>
                <w:rFonts w:hint="default" w:ascii="Times New Roman" w:hAnsi="Times New Roman" w:cs="Times New Roman"/>
                <w:b/>
                <w:sz w:val="20"/>
                <w:szCs w:val="20"/>
              </w:rPr>
              <w:t>Denumirea modelului bunului/serviciului</w:t>
            </w:r>
          </w:p>
        </w:tc>
        <w:tc>
          <w:tcPr>
            <w:tcW w:w="1128"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val="en-US" w:eastAsia="zh-CN" w:bidi="ar-SA"/>
              </w:rPr>
            </w:pPr>
            <w:r>
              <w:rPr>
                <w:rFonts w:hint="default" w:ascii="Times New Roman" w:hAnsi="Times New Roman" w:cs="Times New Roman"/>
                <w:b/>
                <w:sz w:val="20"/>
                <w:szCs w:val="20"/>
              </w:rPr>
              <w:t>Ţara de origine</w:t>
            </w:r>
          </w:p>
        </w:tc>
        <w:tc>
          <w:tcPr>
            <w:tcW w:w="138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val="en-US" w:eastAsia="zh-CN" w:bidi="ar-SA"/>
              </w:rPr>
            </w:pPr>
            <w:r>
              <w:rPr>
                <w:rFonts w:hint="default" w:ascii="Times New Roman" w:hAnsi="Times New Roman" w:cs="Times New Roman"/>
                <w:b/>
                <w:sz w:val="20"/>
                <w:szCs w:val="20"/>
              </w:rPr>
              <w:t>Producătorul</w:t>
            </w:r>
          </w:p>
        </w:tc>
        <w:tc>
          <w:tcPr>
            <w:tcW w:w="3196"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b/>
                <w:sz w:val="20"/>
                <w:szCs w:val="20"/>
              </w:rPr>
              <w:t>Specificarea tehnică deplină solicitată de către autoritatea contractantă</w:t>
            </w:r>
          </w:p>
        </w:tc>
        <w:tc>
          <w:tcPr>
            <w:tcW w:w="3197"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val="en-US" w:eastAsia="zh-CN" w:bidi="ar-SA"/>
              </w:rPr>
            </w:pPr>
            <w:r>
              <w:rPr>
                <w:rFonts w:hint="default" w:ascii="Times New Roman" w:hAnsi="Times New Roman" w:cs="Times New Roman"/>
                <w:b/>
                <w:sz w:val="20"/>
                <w:szCs w:val="20"/>
              </w:rPr>
              <w:t>Specificarea tehnică deplină propusă de către ofertant</w:t>
            </w:r>
          </w:p>
        </w:tc>
        <w:tc>
          <w:tcPr>
            <w:tcW w:w="1387"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0"/>
                <w:lang w:val="en-US" w:eastAsia="zh-CN" w:bidi="ar-SA"/>
              </w:rPr>
            </w:pPr>
            <w:r>
              <w:rPr>
                <w:rFonts w:hint="default" w:ascii="Times New Roman" w:hAnsi="Times New Roman" w:cs="Times New Roman"/>
                <w:b/>
                <w:sz w:val="20"/>
                <w:szCs w:val="20"/>
              </w:rPr>
              <w:t>Standarde de referinţă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0</w:t>
            </w:r>
          </w:p>
        </w:tc>
        <w:tc>
          <w:tcPr>
            <w:tcW w:w="3035"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1</w:t>
            </w:r>
          </w:p>
        </w:tc>
        <w:tc>
          <w:tcPr>
            <w:tcW w:w="1828"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2</w:t>
            </w:r>
          </w:p>
        </w:tc>
        <w:tc>
          <w:tcPr>
            <w:tcW w:w="1128"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3</w:t>
            </w:r>
          </w:p>
        </w:tc>
        <w:tc>
          <w:tcPr>
            <w:tcW w:w="138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4</w:t>
            </w:r>
          </w:p>
        </w:tc>
        <w:tc>
          <w:tcPr>
            <w:tcW w:w="3196"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5</w:t>
            </w:r>
          </w:p>
        </w:tc>
        <w:tc>
          <w:tcPr>
            <w:tcW w:w="3197"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6</w:t>
            </w:r>
          </w:p>
        </w:tc>
        <w:tc>
          <w:tcPr>
            <w:tcW w:w="1387"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szCs w:val="20"/>
                <w:lang w:val="en-US" w:eastAsia="zh-CN" w:bidi="ar-SA"/>
              </w:rPr>
            </w:pPr>
            <w:r>
              <w:rPr>
                <w:rFonts w:hint="default" w:ascii="Times New Roman" w:hAnsi="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64" w:lineRule="auto"/>
              <w:ind w:left="425" w:leftChars="0" w:hanging="425" w:firstLineChars="0"/>
              <w:jc w:val="center"/>
              <w:textAlignment w:val="auto"/>
              <w:rPr>
                <w:rFonts w:hint="default" w:ascii="Times New Roman" w:hAnsi="Times New Roman" w:cs="Times New Roman"/>
                <w:vertAlign w:val="baseline"/>
              </w:rPr>
            </w:pPr>
          </w:p>
        </w:tc>
        <w:tc>
          <w:tcPr>
            <w:tcW w:w="3035"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ro-RO" w:eastAsia="en-US"/>
              </w:rPr>
            </w:pPr>
            <w:r>
              <w:rPr>
                <w:rFonts w:hint="default" w:ascii="Times New Roman" w:hAnsi="Times New Roman"/>
                <w:i w:val="0"/>
                <w:iCs w:val="0"/>
                <w:sz w:val="20"/>
                <w:szCs w:val="20"/>
                <w:lang w:val="ro-RO" w:eastAsia="en-US"/>
              </w:rPr>
              <w:t>Oxigen tehnic în stare gazoasă</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en-US" w:eastAsia="zh-CN"/>
              </w:rPr>
            </w:pPr>
            <w:r>
              <w:rPr>
                <w:rFonts w:hint="default" w:ascii="Times New Roman" w:hAnsi="Times New Roman"/>
                <w:i w:val="0"/>
                <w:iCs w:val="0"/>
                <w:sz w:val="20"/>
                <w:szCs w:val="20"/>
                <w:lang w:val="ro-RO" w:eastAsia="en-US"/>
              </w:rPr>
              <w:t>Кислород газообразный, технический</w:t>
            </w:r>
          </w:p>
        </w:tc>
        <w:tc>
          <w:tcPr>
            <w:tcW w:w="1828"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p>
        </w:tc>
        <w:tc>
          <w:tcPr>
            <w:tcW w:w="1128"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p>
        </w:tc>
        <w:tc>
          <w:tcPr>
            <w:tcW w:w="1380"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p>
        </w:tc>
        <w:tc>
          <w:tcPr>
            <w:tcW w:w="3196"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en-US" w:eastAsia="ro-RO"/>
              </w:rPr>
            </w:pPr>
            <w:r>
              <w:rPr>
                <w:rFonts w:hint="default" w:ascii="Times New Roman" w:hAnsi="Times New Roman"/>
                <w:i w:val="0"/>
                <w:iCs w:val="0"/>
                <w:sz w:val="20"/>
                <w:szCs w:val="20"/>
                <w:lang w:val="en-US" w:eastAsia="ro-RO"/>
              </w:rPr>
              <w:t>Oxigen tehnic în stare gazoasă, fracția volumică de oxigen 99,5-99,7%. Se livrează în butelii de oțel, sub presiune de 150 kgf/cm2. În butelii a câte 40,0 litri. Conform GOST 5583-78, ISO 2046-73. La reîncărcare, Cumpărătorul va pune la dispoziția Furnizorului buteliile sale.</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en-US" w:eastAsia="zh-CN"/>
              </w:rPr>
            </w:pPr>
            <w:r>
              <w:rPr>
                <w:rFonts w:hint="default" w:ascii="Times New Roman" w:hAnsi="Times New Roman"/>
                <w:i w:val="0"/>
                <w:iCs w:val="0"/>
                <w:sz w:val="20"/>
                <w:szCs w:val="20"/>
                <w:lang w:val="en-US" w:eastAsia="ro-RO"/>
              </w:rPr>
              <w:t>Кислород газообразный, технический, объемная доля азота 99,5-99,7%. Поставляется в стальных баллонах под давлением 150 кгс/см2. Объём сосуда/балонна 40,0 л. Согласно ГОСТ 5583-78, ИСО 2046-73. Покупатель передставит свои баллоны Поставщику для перезарядки.</w:t>
            </w:r>
          </w:p>
        </w:tc>
        <w:tc>
          <w:tcPr>
            <w:tcW w:w="3197"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p>
        </w:tc>
        <w:tc>
          <w:tcPr>
            <w:tcW w:w="1387"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p>
        </w:tc>
      </w:tr>
    </w:tbl>
    <w:p>
      <w:pPr>
        <w:rPr>
          <w:rFonts w:hint="default" w:ascii="Times New Roman" w:hAnsi="Times New Roman" w:cs="Times New Roman"/>
        </w:rPr>
      </w:pPr>
    </w:p>
    <w:p>
      <w:pPr>
        <w:spacing w:line="360" w:lineRule="auto"/>
        <w:rPr>
          <w:rFonts w:hint="default" w:ascii="Times New Roman" w:hAnsi="Times New Roman" w:cs="Times New Roman"/>
          <w:u w:val="single"/>
        </w:rPr>
      </w:pPr>
      <w:r>
        <w:rPr>
          <w:rFonts w:hint="default" w:ascii="Times New Roman" w:hAnsi="Times New Roman" w:cs="Times New Roman"/>
        </w:rPr>
        <w:t xml:space="preserve">Semnat: </w:t>
      </w:r>
      <w:r>
        <w:rPr>
          <w:rFonts w:hint="default" w:ascii="Times New Roman" w:hAnsi="Times New Roman" w:cs="Times New Roman"/>
          <w:u w:val="single"/>
        </w:rPr>
        <w:t xml:space="preserve">              </w:t>
      </w:r>
      <w:r>
        <w:rPr>
          <w:rFonts w:hint="default" w:ascii="Times New Roman" w:hAnsi="Times New Roman" w:cs="Times New Roman"/>
        </w:rPr>
        <w:t xml:space="preserve"> Numele, Prenumele: </w:t>
      </w:r>
      <w:r>
        <w:rPr>
          <w:rFonts w:hint="default" w:ascii="Times New Roman" w:hAnsi="Times New Roman" w:cs="Times New Roman"/>
          <w:u w:val="single"/>
        </w:rPr>
        <w:t xml:space="preserve">                             </w:t>
      </w:r>
      <w:r>
        <w:rPr>
          <w:rFonts w:hint="default" w:ascii="Times New Roman" w:hAnsi="Times New Roman" w:cs="Times New Roman"/>
        </w:rPr>
        <w:t xml:space="preserve"> În calitate de: </w:t>
      </w:r>
      <w:r>
        <w:rPr>
          <w:rFonts w:hint="default" w:ascii="Times New Roman" w:hAnsi="Times New Roman" w:cs="Times New Roman"/>
          <w:u w:val="single"/>
        </w:rPr>
        <w:t xml:space="preserve">                 </w:t>
      </w:r>
    </w:p>
    <w:p>
      <w:pPr>
        <w:spacing w:line="360" w:lineRule="auto"/>
        <w:rPr>
          <w:rFonts w:hint="default" w:ascii="Times New Roman" w:hAnsi="Times New Roman" w:cs="Times New Roman"/>
          <w:u w:val="single"/>
        </w:rPr>
      </w:pPr>
      <w:r>
        <w:rPr>
          <w:rFonts w:hint="default" w:ascii="Times New Roman" w:hAnsi="Times New Roman" w:cs="Times New Roman"/>
          <w:u w:val="none"/>
        </w:rPr>
        <w:t xml:space="preserve">Ofertantul: </w:t>
      </w:r>
      <w:r>
        <w:rPr>
          <w:rFonts w:hint="default" w:ascii="Times New Roman" w:hAnsi="Times New Roman" w:cs="Times New Roman"/>
          <w:u w:val="single"/>
        </w:rPr>
        <w:t xml:space="preserve">                        </w:t>
      </w:r>
      <w:r>
        <w:rPr>
          <w:rFonts w:hint="default" w:ascii="Times New Roman" w:hAnsi="Times New Roman" w:cs="Times New Roman"/>
          <w:u w:val="none"/>
        </w:rPr>
        <w:t xml:space="preserve"> Adresa: </w:t>
      </w:r>
      <w:r>
        <w:rPr>
          <w:rFonts w:hint="default" w:ascii="Times New Roman" w:hAnsi="Times New Roman" w:cs="Times New Roman"/>
          <w:u w:val="single"/>
        </w:rPr>
        <w:t xml:space="preserve">                        </w:t>
      </w:r>
    </w:p>
    <w:p>
      <w:pPr>
        <w:rPr>
          <w:rFonts w:hint="default" w:ascii="Times New Roman" w:hAnsi="Times New Roman" w:cs="Times New Roman"/>
          <w:u w:val="single"/>
        </w:rPr>
      </w:pPr>
      <w:r>
        <w:rPr>
          <w:rFonts w:hint="default" w:ascii="Times New Roman" w:hAnsi="Times New Roman" w:cs="Times New Roman"/>
          <w:u w:val="single"/>
        </w:rPr>
        <w:br w:type="page"/>
      </w:r>
    </w:p>
    <w:p>
      <w:pPr>
        <w:keepNext w:val="0"/>
        <w:keepLines w:val="0"/>
        <w:pageBreakBefore w:val="0"/>
        <w:widowControl/>
        <w:kinsoku/>
        <w:wordWrap/>
        <w:overflowPunct/>
        <w:topLinePunct w:val="0"/>
        <w:autoSpaceDE/>
        <w:autoSpaceDN/>
        <w:bidi w:val="0"/>
        <w:adjustRightInd/>
        <w:snapToGrid/>
        <w:spacing w:before="181" w:beforeLines="50" w:after="181" w:afterLines="50"/>
        <w:textAlignment w:val="auto"/>
        <w:rPr>
          <w:rFonts w:hint="default" w:ascii="Times New Roman" w:hAnsi="Times New Roman" w:cs="Times New Roman"/>
          <w:b/>
          <w:bCs/>
          <w:color w:val="0000FF"/>
          <w:sz w:val="24"/>
          <w:szCs w:val="24"/>
        </w:rPr>
      </w:pPr>
      <w:r>
        <w:rPr>
          <w:rFonts w:hint="default" w:ascii="Times New Roman" w:hAnsi="Times New Roman" w:cs="Times New Roman"/>
          <w:b/>
          <w:bCs/>
          <w:color w:val="0000FF"/>
          <w:sz w:val="24"/>
          <w:szCs w:val="24"/>
        </w:rPr>
        <w:t>Specificații de preț</w:t>
      </w:r>
    </w:p>
    <w:p>
      <w:pPr>
        <w:keepNext w:val="0"/>
        <w:keepLines w:val="0"/>
        <w:pageBreakBefore w:val="0"/>
        <w:widowControl/>
        <w:kinsoku/>
        <w:wordWrap/>
        <w:overflowPunct/>
        <w:topLinePunct w:val="0"/>
        <w:autoSpaceDE/>
        <w:autoSpaceDN/>
        <w:bidi w:val="0"/>
        <w:adjustRightInd/>
        <w:snapToGrid/>
        <w:spacing w:before="181" w:beforeLines="50" w:after="181" w:afterLines="50"/>
        <w:jc w:val="center"/>
        <w:textAlignment w:val="auto"/>
        <w:rPr>
          <w:rFonts w:hint="default" w:ascii="Times New Roman" w:hAnsi="Times New Roman" w:cs="Times New Roman"/>
          <w:i/>
          <w:iCs/>
        </w:rPr>
      </w:pPr>
      <w:r>
        <w:rPr>
          <w:rFonts w:hint="default" w:ascii="Times New Roman" w:hAnsi="Times New Roman"/>
          <w:i/>
          <w:iCs/>
        </w:rPr>
        <w:t>[Acest tabel va fi completat de către ofertant în coloanele 5,6,7,8 și 11 la necesitate, iar de către autoritatea contractantă – în coloanele 1,2,3,4,9,10]</w:t>
      </w:r>
    </w:p>
    <w:tbl>
      <w:tblPr>
        <w:tblStyle w:val="6"/>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98"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r>
              <w:rPr>
                <w:rFonts w:hint="default" w:ascii="Times New Roman" w:hAnsi="Times New Roman" w:cs="Times New Roman"/>
                <w:vertAlign w:val="baseline"/>
              </w:rPr>
              <w:t xml:space="preserve">Numărul procedurii de achiziție </w:t>
            </w:r>
            <w:r>
              <w:rPr>
                <w:rFonts w:hint="default" w:ascii="Times New Roman" w:hAnsi="Times New Roman" w:cs="Times New Roman"/>
                <w:u w:val="single"/>
                <w:vertAlign w:val="baseline"/>
              </w:rPr>
              <w:t xml:space="preserve">               </w:t>
            </w:r>
            <w:r>
              <w:rPr>
                <w:rFonts w:hint="default" w:ascii="Times New Roman" w:hAnsi="Times New Roman" w:cs="Times New Roman"/>
                <w:vertAlign w:val="baseline"/>
              </w:rPr>
              <w:t xml:space="preserve"> din </w:t>
            </w:r>
            <w:r>
              <w:rPr>
                <w:rFonts w:hint="default" w:ascii="Times New Roman" w:hAnsi="Times New Roman" w:cs="Times New Roman"/>
                <w:u w:val="single"/>
                <w:vertAlign w:val="baseli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98"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vertAlign w:val="baseline"/>
              </w:rPr>
            </w:pPr>
            <w:r>
              <w:rPr>
                <w:rFonts w:hint="default" w:ascii="Times New Roman" w:hAnsi="Times New Roman" w:cs="Times New Roman"/>
                <w:vertAlign w:val="baseline"/>
              </w:rPr>
              <w:t xml:space="preserve">Obiectul achiziției: </w:t>
            </w:r>
            <w:r>
              <w:rPr>
                <w:rFonts w:hint="default" w:ascii="Times New Roman" w:hAnsi="Times New Roman"/>
                <w:u w:val="single"/>
                <w:vertAlign w:val="baseline"/>
              </w:rPr>
              <w:t>Gaze tehnice</w:t>
            </w:r>
          </w:p>
        </w:tc>
      </w:tr>
    </w:tbl>
    <w:p>
      <w:pPr>
        <w:rPr>
          <w:rFonts w:hint="default" w:ascii="Times New Roman" w:hAnsi="Times New Roman" w:cs="Times New Roman"/>
        </w:rPr>
      </w:pPr>
    </w:p>
    <w:tbl>
      <w:tblPr>
        <w:tblStyle w:val="6"/>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54"/>
        <w:gridCol w:w="2631"/>
        <w:gridCol w:w="1181"/>
        <w:gridCol w:w="750"/>
        <w:gridCol w:w="1391"/>
        <w:gridCol w:w="1391"/>
        <w:gridCol w:w="1391"/>
        <w:gridCol w:w="1394"/>
        <w:gridCol w:w="1850"/>
        <w:gridCol w:w="1214"/>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2"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Nr. lot</w:t>
            </w:r>
          </w:p>
        </w:tc>
        <w:tc>
          <w:tcPr>
            <w:tcW w:w="95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eastAsia="Times New Roman" w:cs="Times New Roman"/>
                <w:b/>
                <w:sz w:val="20"/>
                <w:szCs w:val="24"/>
                <w:u w:val="none"/>
                <w:lang w:eastAsia="en-US" w:bidi="ar-SA"/>
              </w:rPr>
            </w:pPr>
            <w:r>
              <w:rPr>
                <w:rFonts w:hint="default" w:ascii="Times New Roman" w:hAnsi="Times New Roman" w:cs="Times New Roman"/>
                <w:b/>
                <w:sz w:val="20"/>
                <w:u w:val="none"/>
              </w:rPr>
              <w:t>Cod CPV</w:t>
            </w:r>
          </w:p>
        </w:tc>
        <w:tc>
          <w:tcPr>
            <w:tcW w:w="263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Denumirea bunurilor/serviciilor</w:t>
            </w:r>
          </w:p>
        </w:tc>
        <w:tc>
          <w:tcPr>
            <w:tcW w:w="118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Unitatea de măsură</w:t>
            </w:r>
          </w:p>
        </w:tc>
        <w:tc>
          <w:tcPr>
            <w:tcW w:w="7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Canti-tatea</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Preţ unitar (fără TVA)</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Preţ unitar (cu TVA)</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sz w:val="20"/>
                <w:u w:val="none"/>
              </w:rPr>
            </w:pPr>
            <w:r>
              <w:rPr>
                <w:rFonts w:hint="default" w:ascii="Times New Roman" w:hAnsi="Times New Roman" w:cs="Times New Roman"/>
                <w:b/>
                <w:sz w:val="20"/>
                <w:u w:val="none"/>
              </w:rPr>
              <w:t>Suma</w:t>
            </w:r>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fără TVA</w:t>
            </w:r>
          </w:p>
        </w:tc>
        <w:tc>
          <w:tcPr>
            <w:tcW w:w="139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sz w:val="20"/>
                <w:u w:val="none"/>
              </w:rPr>
            </w:pPr>
            <w:r>
              <w:rPr>
                <w:rFonts w:hint="default" w:ascii="Times New Roman" w:hAnsi="Times New Roman" w:cs="Times New Roman"/>
                <w:b/>
                <w:sz w:val="20"/>
                <w:u w:val="none"/>
              </w:rPr>
              <w:t>Suma</w:t>
            </w:r>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u w:val="none"/>
              </w:rPr>
              <w:t>cu TVA</w:t>
            </w:r>
          </w:p>
        </w:tc>
        <w:tc>
          <w:tcPr>
            <w:tcW w:w="18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sz w:val="20"/>
                <w:szCs w:val="28"/>
                <w:u w:val="none"/>
              </w:rPr>
            </w:pPr>
            <w:r>
              <w:rPr>
                <w:rFonts w:hint="default" w:ascii="Times New Roman" w:hAnsi="Times New Roman" w:cs="Times New Roman"/>
                <w:b/>
                <w:sz w:val="20"/>
                <w:szCs w:val="28"/>
                <w:u w:val="none"/>
              </w:rPr>
              <w:t>Termenul de</w:t>
            </w:r>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u w:val="none"/>
                <w:lang w:eastAsia="zh-CN" w:bidi="ar-SA"/>
              </w:rPr>
            </w:pPr>
            <w:r>
              <w:rPr>
                <w:rFonts w:hint="default" w:ascii="Times New Roman" w:hAnsi="Times New Roman" w:cs="Times New Roman"/>
                <w:b/>
                <w:sz w:val="20"/>
                <w:szCs w:val="28"/>
                <w:u w:val="none"/>
              </w:rPr>
              <w:t>livrare/prestare</w:t>
            </w:r>
          </w:p>
        </w:tc>
        <w:tc>
          <w:tcPr>
            <w:tcW w:w="121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8"/>
                <w:u w:val="none"/>
                <w:lang w:eastAsia="zh-CN" w:bidi="ar-SA"/>
              </w:rPr>
            </w:pPr>
            <w:r>
              <w:rPr>
                <w:rFonts w:hint="default" w:ascii="Times New Roman" w:hAnsi="Times New Roman" w:cs="Times New Roman"/>
                <w:b/>
                <w:sz w:val="20"/>
                <w:szCs w:val="28"/>
                <w:u w:val="none"/>
              </w:rPr>
              <w:t>Clasificație bugetară (IBAN)</w:t>
            </w:r>
          </w:p>
        </w:tc>
        <w:tc>
          <w:tcPr>
            <w:tcW w:w="1023"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sz w:val="20"/>
                <w:szCs w:val="28"/>
                <w:u w:val="none"/>
              </w:rPr>
            </w:pPr>
            <w:r>
              <w:rPr>
                <w:rFonts w:hint="default" w:ascii="Times New Roman" w:hAnsi="Times New Roman" w:cs="Times New Roman"/>
                <w:b/>
                <w:sz w:val="20"/>
                <w:szCs w:val="28"/>
                <w:u w:val="none"/>
              </w:rPr>
              <w:t>Discount</w:t>
            </w:r>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b/>
                <w:sz w:val="20"/>
                <w:szCs w:val="28"/>
                <w:u w:val="none"/>
                <w:lang w:eastAsia="zh-CN" w:bidi="ar-SA"/>
              </w:rPr>
            </w:pPr>
            <w:r>
              <w:rPr>
                <w:rFonts w:hint="default" w:ascii="Times New Roman" w:hAnsi="Times New Roman" w:cs="Times New Roman"/>
                <w:b/>
                <w:sz w:val="20"/>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2"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0</w:t>
            </w:r>
          </w:p>
        </w:tc>
        <w:tc>
          <w:tcPr>
            <w:tcW w:w="95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1</w:t>
            </w:r>
          </w:p>
        </w:tc>
        <w:tc>
          <w:tcPr>
            <w:tcW w:w="263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2</w:t>
            </w:r>
          </w:p>
        </w:tc>
        <w:tc>
          <w:tcPr>
            <w:tcW w:w="118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3</w:t>
            </w:r>
          </w:p>
        </w:tc>
        <w:tc>
          <w:tcPr>
            <w:tcW w:w="7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4</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5</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6</w:t>
            </w: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7</w:t>
            </w:r>
          </w:p>
        </w:tc>
        <w:tc>
          <w:tcPr>
            <w:tcW w:w="139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8</w:t>
            </w:r>
          </w:p>
        </w:tc>
        <w:tc>
          <w:tcPr>
            <w:tcW w:w="18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9</w:t>
            </w:r>
          </w:p>
        </w:tc>
        <w:tc>
          <w:tcPr>
            <w:tcW w:w="121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10</w:t>
            </w:r>
          </w:p>
        </w:tc>
        <w:tc>
          <w:tcPr>
            <w:tcW w:w="1023"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eastAsiaTheme="minorEastAsia"/>
                <w:sz w:val="20"/>
                <w:u w:val="none"/>
                <w:lang w:eastAsia="zh-CN" w:bidi="ar-SA"/>
              </w:rPr>
            </w:pPr>
            <w:r>
              <w:rPr>
                <w:rFonts w:hint="default" w:ascii="Times New Roman" w:hAnsi="Times New Roman" w:cs="Times New Roman"/>
                <w:sz w:val="20"/>
                <w:u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532"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line="264" w:lineRule="auto"/>
              <w:ind w:left="425" w:leftChars="0" w:hanging="425" w:firstLineChars="0"/>
              <w:jc w:val="both"/>
              <w:textAlignment w:val="auto"/>
              <w:rPr>
                <w:rFonts w:hint="default" w:ascii="Times New Roman" w:hAnsi="Times New Roman" w:cs="Times New Roman"/>
                <w:u w:val="none"/>
                <w:vertAlign w:val="baseline"/>
              </w:rPr>
            </w:pPr>
          </w:p>
        </w:tc>
        <w:tc>
          <w:tcPr>
            <w:tcW w:w="954"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olor w:val="000000" w:themeColor="text1"/>
                <w:sz w:val="15"/>
                <w:szCs w:val="15"/>
                <w14:textFill>
                  <w14:solidFill>
                    <w14:schemeClr w14:val="tx1"/>
                  </w14:solidFill>
                </w14:textFill>
              </w:rPr>
            </w:pPr>
            <w:r>
              <w:rPr>
                <w:rFonts w:hint="default" w:ascii="Times New Roman" w:hAnsi="Times New Roman"/>
                <w:color w:val="000000" w:themeColor="text1"/>
                <w:sz w:val="15"/>
                <w:szCs w:val="15"/>
                <w14:textFill>
                  <w14:solidFill>
                    <w14:schemeClr w14:val="tx1"/>
                  </w14:solidFill>
                </w14:textFill>
              </w:rPr>
              <w:t>24110000-8</w:t>
            </w:r>
          </w:p>
        </w:tc>
        <w:tc>
          <w:tcPr>
            <w:tcW w:w="2631"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ro-RO" w:eastAsia="en-US"/>
              </w:rPr>
            </w:pPr>
            <w:r>
              <w:rPr>
                <w:rFonts w:hint="default" w:ascii="Times New Roman" w:hAnsi="Times New Roman"/>
                <w:i w:val="0"/>
                <w:iCs w:val="0"/>
                <w:sz w:val="20"/>
                <w:szCs w:val="20"/>
                <w:lang w:val="ro-RO" w:eastAsia="en-US"/>
              </w:rPr>
              <w:t>Oxigen tehnic în stare gazoasă</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i w:val="0"/>
                <w:iCs w:val="0"/>
                <w:sz w:val="20"/>
                <w:szCs w:val="20"/>
                <w:lang w:val="en-US" w:eastAsia="zh-CN"/>
              </w:rPr>
            </w:pPr>
            <w:r>
              <w:rPr>
                <w:rFonts w:hint="default" w:ascii="Times New Roman" w:hAnsi="Times New Roman"/>
                <w:i w:val="0"/>
                <w:iCs w:val="0"/>
                <w:sz w:val="20"/>
                <w:szCs w:val="20"/>
                <w:lang w:val="ro-RO" w:eastAsia="en-US"/>
              </w:rPr>
              <w:t>Кислород газообразный, технический</w:t>
            </w:r>
          </w:p>
        </w:tc>
        <w:tc>
          <w:tcPr>
            <w:tcW w:w="1181"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eastAsiaTheme="minorEastAsia"/>
                <w:sz w:val="20"/>
                <w:lang w:val="en-US" w:eastAsia="zh-CN" w:bidi="ar-SA"/>
              </w:rPr>
            </w:pPr>
            <w:r>
              <w:rPr>
                <w:rFonts w:hint="default" w:ascii="Times New Roman" w:hAnsi="Times New Roman" w:cs="Times New Roman"/>
                <w:sz w:val="20"/>
                <w:lang w:eastAsia="zh-CN"/>
              </w:rPr>
              <w:t>buc</w:t>
            </w:r>
            <w:bookmarkStart w:id="0" w:name="_GoBack"/>
            <w:bookmarkEnd w:id="0"/>
            <w:r>
              <w:rPr>
                <w:rFonts w:hint="default" w:ascii="Times New Roman" w:hAnsi="Times New Roman" w:cs="Times New Roman"/>
                <w:sz w:val="20"/>
                <w:lang w:eastAsia="zh-CN"/>
              </w:rPr>
              <w:t>.</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sz w:val="20"/>
                <w:lang w:eastAsia="zh-CN"/>
              </w:rPr>
            </w:pPr>
            <w:r>
              <w:rPr>
                <w:rFonts w:hint="default" w:ascii="Times New Roman" w:hAnsi="Times New Roman" w:cs="Times New Roman"/>
                <w:sz w:val="20"/>
                <w:lang w:eastAsia="ro-RO"/>
              </w:rPr>
              <w:t>466</w:t>
            </w:r>
          </w:p>
        </w:tc>
        <w:tc>
          <w:tcPr>
            <w:tcW w:w="1391"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u w:val="none"/>
                <w:vertAlign w:val="baseline"/>
              </w:rPr>
            </w:pPr>
          </w:p>
        </w:tc>
        <w:tc>
          <w:tcPr>
            <w:tcW w:w="1391"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u w:val="none"/>
                <w:vertAlign w:val="baseline"/>
              </w:rPr>
            </w:pPr>
          </w:p>
        </w:tc>
        <w:tc>
          <w:tcPr>
            <w:tcW w:w="1391"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u w:val="none"/>
                <w:vertAlign w:val="baseline"/>
              </w:rPr>
            </w:pPr>
          </w:p>
        </w:tc>
        <w:tc>
          <w:tcPr>
            <w:tcW w:w="1394"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u w:val="none"/>
                <w:vertAlign w:val="baseline"/>
              </w:rPr>
            </w:pPr>
          </w:p>
        </w:tc>
        <w:tc>
          <w:tcPr>
            <w:tcW w:w="1850"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u w:val="none"/>
                <w:vertAlign w:val="baseline"/>
              </w:rPr>
            </w:pPr>
            <w:r>
              <w:rPr>
                <w:rFonts w:hint="default" w:ascii="Times New Roman" w:hAnsi="Times New Roman"/>
                <w:u w:val="none"/>
                <w:vertAlign w:val="baseline"/>
              </w:rPr>
              <w:t>Livrarea bunurilor se va efectua din contul și cu transportul Vânzătorului la depozitul Cumpărătorului sau bunurile vor fi ridicate de la depozitul Vânzătorului de către Cumpărător, în raza mun. Bălți, în baza comenzilor emise. În primul caz, Vânzătorul va livra bunurile în termen de 5 zile calendaristice din momentul emiterii comenzii de către Cumpărător, iar în cel de-al doilea caz, Vânzătorul se obligă să pună la dispoziția Cumpărătorului bunurile solicitate, în termen de cel mult 5 (cinci) zile calendaristice din momentul emiterii comenzii.</w:t>
            </w:r>
          </w:p>
        </w:tc>
        <w:tc>
          <w:tcPr>
            <w:tcW w:w="1214" w:type="dxa"/>
            <w:textDirection w:val="btLr"/>
            <w:vAlign w:val="center"/>
          </w:tcPr>
          <w:p>
            <w:pPr>
              <w:keepNext w:val="0"/>
              <w:keepLines w:val="0"/>
              <w:pageBreakBefore w:val="0"/>
              <w:widowControl/>
              <w:kinsoku/>
              <w:wordWrap/>
              <w:overflowPunct/>
              <w:topLinePunct w:val="0"/>
              <w:autoSpaceDE/>
              <w:autoSpaceDN/>
              <w:bidi w:val="0"/>
              <w:adjustRightInd/>
              <w:snapToGrid/>
              <w:spacing w:line="264" w:lineRule="auto"/>
              <w:ind w:left="113" w:leftChars="0" w:right="113" w:rightChars="0"/>
              <w:jc w:val="center"/>
              <w:textAlignment w:val="auto"/>
              <w:rPr>
                <w:rFonts w:hint="default" w:ascii="Times New Roman" w:hAnsi="Times New Roman"/>
                <w:u w:val="none"/>
                <w:vertAlign w:val="baseline"/>
              </w:rPr>
            </w:pPr>
            <w:r>
              <w:rPr>
                <w:rFonts w:hint="default" w:ascii="Times New Roman" w:hAnsi="Times New Roman"/>
                <w:u w:val="none"/>
                <w:vertAlign w:val="baseline"/>
              </w:rPr>
              <w:t>MD39VI022510100000013MDL</w:t>
            </w:r>
          </w:p>
        </w:tc>
        <w:tc>
          <w:tcPr>
            <w:tcW w:w="1023" w:type="dxa"/>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95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263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r>
              <w:rPr>
                <w:rFonts w:hint="default" w:ascii="Times New Roman" w:hAnsi="Times New Roman" w:cs="Times New Roman"/>
                <w:b/>
                <w:bCs/>
                <w:u w:val="none"/>
                <w:vertAlign w:val="baseline"/>
              </w:rPr>
              <w:t>TOTAL</w:t>
            </w:r>
          </w:p>
        </w:tc>
        <w:tc>
          <w:tcPr>
            <w:tcW w:w="118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7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391"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39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850"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214"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c>
          <w:tcPr>
            <w:tcW w:w="1023" w:type="dxa"/>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default" w:ascii="Times New Roman" w:hAnsi="Times New Roman" w:cs="Times New Roman"/>
                <w:b/>
                <w:bCs/>
                <w:u w:val="none"/>
                <w:vertAlign w:val="baseline"/>
              </w:rPr>
            </w:pPr>
          </w:p>
        </w:tc>
      </w:tr>
    </w:tbl>
    <w:p>
      <w:pPr>
        <w:rPr>
          <w:rFonts w:hint="default" w:ascii="Times New Roman" w:hAnsi="Times New Roman" w:cs="Times New Roman"/>
        </w:rPr>
      </w:pPr>
    </w:p>
    <w:p>
      <w:pPr>
        <w:spacing w:line="360" w:lineRule="auto"/>
        <w:rPr>
          <w:rFonts w:hint="default" w:ascii="Times New Roman" w:hAnsi="Times New Roman" w:cs="Times New Roman"/>
          <w:u w:val="single"/>
        </w:rPr>
      </w:pPr>
      <w:r>
        <w:rPr>
          <w:rFonts w:hint="default" w:ascii="Times New Roman" w:hAnsi="Times New Roman" w:cs="Times New Roman"/>
        </w:rPr>
        <w:t xml:space="preserve">Semnat: </w:t>
      </w:r>
      <w:r>
        <w:rPr>
          <w:rFonts w:hint="default" w:ascii="Times New Roman" w:hAnsi="Times New Roman" w:cs="Times New Roman"/>
          <w:u w:val="single"/>
        </w:rPr>
        <w:t xml:space="preserve">              </w:t>
      </w:r>
      <w:r>
        <w:rPr>
          <w:rFonts w:hint="default" w:ascii="Times New Roman" w:hAnsi="Times New Roman" w:cs="Times New Roman"/>
        </w:rPr>
        <w:t xml:space="preserve"> Numele, Prenumele: </w:t>
      </w:r>
      <w:r>
        <w:rPr>
          <w:rFonts w:hint="default" w:ascii="Times New Roman" w:hAnsi="Times New Roman" w:cs="Times New Roman"/>
          <w:u w:val="single"/>
        </w:rPr>
        <w:t xml:space="preserve">                             </w:t>
      </w:r>
      <w:r>
        <w:rPr>
          <w:rFonts w:hint="default" w:ascii="Times New Roman" w:hAnsi="Times New Roman" w:cs="Times New Roman"/>
        </w:rPr>
        <w:t xml:space="preserve"> În calitate de: </w:t>
      </w:r>
      <w:r>
        <w:rPr>
          <w:rFonts w:hint="default" w:ascii="Times New Roman" w:hAnsi="Times New Roman" w:cs="Times New Roman"/>
          <w:u w:val="single"/>
        </w:rPr>
        <w:t xml:space="preserve">                 </w:t>
      </w:r>
    </w:p>
    <w:p>
      <w:pPr>
        <w:spacing w:line="360" w:lineRule="auto"/>
        <w:rPr>
          <w:rFonts w:hint="default" w:ascii="Times New Roman" w:hAnsi="Times New Roman" w:cs="Times New Roman"/>
          <w:u w:val="single"/>
        </w:rPr>
      </w:pPr>
      <w:r>
        <w:rPr>
          <w:rFonts w:hint="default" w:ascii="Times New Roman" w:hAnsi="Times New Roman" w:cs="Times New Roman"/>
          <w:u w:val="none"/>
        </w:rPr>
        <w:t xml:space="preserve">Ofertantul: </w:t>
      </w:r>
      <w:r>
        <w:rPr>
          <w:rFonts w:hint="default" w:ascii="Times New Roman" w:hAnsi="Times New Roman" w:cs="Times New Roman"/>
          <w:u w:val="single"/>
        </w:rPr>
        <w:t xml:space="preserve">                        </w:t>
      </w:r>
      <w:r>
        <w:rPr>
          <w:rFonts w:hint="default" w:ascii="Times New Roman" w:hAnsi="Times New Roman" w:cs="Times New Roman"/>
          <w:u w:val="none"/>
        </w:rPr>
        <w:t xml:space="preserve"> Adresa: </w:t>
      </w:r>
      <w:r>
        <w:rPr>
          <w:rFonts w:hint="default" w:ascii="Times New Roman" w:hAnsi="Times New Roman" w:cs="Times New Roman"/>
          <w:u w:val="single"/>
        </w:rPr>
        <w:t xml:space="preserve">                        </w:t>
      </w:r>
    </w:p>
    <w:sectPr>
      <w:footerReference r:id="rId3" w:type="default"/>
      <w:pgSz w:w="16838" w:h="11906" w:orient="landscape"/>
      <w:pgMar w:top="567" w:right="567" w:bottom="567" w:left="5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F50BE"/>
    <w:multiLevelType w:val="singleLevel"/>
    <w:tmpl w:val="16FF50BE"/>
    <w:lvl w:ilvl="0" w:tentative="0">
      <w:start w:val="4"/>
      <w:numFmt w:val="decimal"/>
      <w:lvlText w:val="%1."/>
      <w:lvlJc w:val="left"/>
      <w:pPr>
        <w:tabs>
          <w:tab w:val="left" w:pos="425"/>
        </w:tabs>
        <w:ind w:left="425" w:leftChars="0" w:hanging="425" w:firstLineChars="0"/>
      </w:pPr>
      <w:rPr>
        <w:rFonts w:hint="default"/>
      </w:rPr>
    </w:lvl>
  </w:abstractNum>
  <w:abstractNum w:abstractNumId="1">
    <w:nsid w:val="4203F916"/>
    <w:multiLevelType w:val="singleLevel"/>
    <w:tmpl w:val="4203F916"/>
    <w:lvl w:ilvl="0" w:tentative="0">
      <w:start w:val="4"/>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213D0"/>
    <w:rsid w:val="02462A4F"/>
    <w:rsid w:val="0A1F41F1"/>
    <w:rsid w:val="0C722C9C"/>
    <w:rsid w:val="10425480"/>
    <w:rsid w:val="124A57A9"/>
    <w:rsid w:val="140A5C07"/>
    <w:rsid w:val="15433EAE"/>
    <w:rsid w:val="15CF515F"/>
    <w:rsid w:val="16176152"/>
    <w:rsid w:val="1A235F91"/>
    <w:rsid w:val="1B0A44F5"/>
    <w:rsid w:val="1C8708F3"/>
    <w:rsid w:val="1DB03E28"/>
    <w:rsid w:val="1DEC3533"/>
    <w:rsid w:val="1EEC7A8C"/>
    <w:rsid w:val="22575BBF"/>
    <w:rsid w:val="25917193"/>
    <w:rsid w:val="259D1413"/>
    <w:rsid w:val="2B8A559C"/>
    <w:rsid w:val="2F810B64"/>
    <w:rsid w:val="2FAB6462"/>
    <w:rsid w:val="30976DA2"/>
    <w:rsid w:val="3098299F"/>
    <w:rsid w:val="32117518"/>
    <w:rsid w:val="32A40826"/>
    <w:rsid w:val="34D058C0"/>
    <w:rsid w:val="352D0E04"/>
    <w:rsid w:val="38290F2E"/>
    <w:rsid w:val="38874FCD"/>
    <w:rsid w:val="38A21BCA"/>
    <w:rsid w:val="39E9692C"/>
    <w:rsid w:val="3A2F2D1B"/>
    <w:rsid w:val="3CEE333F"/>
    <w:rsid w:val="3D98229D"/>
    <w:rsid w:val="3DF53D49"/>
    <w:rsid w:val="3DFF4976"/>
    <w:rsid w:val="442B4CA6"/>
    <w:rsid w:val="446A7138"/>
    <w:rsid w:val="49991CBB"/>
    <w:rsid w:val="4A3459A1"/>
    <w:rsid w:val="4B2B3590"/>
    <w:rsid w:val="53380017"/>
    <w:rsid w:val="540839FD"/>
    <w:rsid w:val="578F06BB"/>
    <w:rsid w:val="5CF43F2D"/>
    <w:rsid w:val="5E940365"/>
    <w:rsid w:val="610A2A1F"/>
    <w:rsid w:val="69AC0C58"/>
    <w:rsid w:val="6AF75CE4"/>
    <w:rsid w:val="6B52785D"/>
    <w:rsid w:val="6DE34AE4"/>
    <w:rsid w:val="6E3C219F"/>
    <w:rsid w:val="71F22B08"/>
    <w:rsid w:val="72E36382"/>
    <w:rsid w:val="733D60BC"/>
    <w:rsid w:val="7477213F"/>
    <w:rsid w:val="74BD341A"/>
    <w:rsid w:val="7AE377C7"/>
    <w:rsid w:val="7B0B2BDE"/>
    <w:rsid w:val="7BF628C7"/>
    <w:rsid w:val="7C4F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tabs>
        <w:tab w:val="center" w:pos="4153"/>
        <w:tab w:val="right" w:pos="8306"/>
      </w:tabs>
    </w:pPr>
  </w:style>
  <w:style w:type="paragraph" w:styleId="5">
    <w:name w:val="footer"/>
    <w:basedOn w:val="1"/>
    <w:qFormat/>
    <w:uiPriority w:val="0"/>
    <w:pPr>
      <w:tabs>
        <w:tab w:val="center" w:pos="4153"/>
        <w:tab w:val="right" w:pos="8306"/>
      </w:tabs>
    </w:p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qFormat/>
    <w:uiPriority w:val="0"/>
    <w:rPr>
      <w:rFonts w:hint="default" w:ascii="Times New Roman" w:hAnsi="Times New Roman" w:cs="Times New Roman"/>
      <w:color w:val="000000"/>
      <w:u w:val="none"/>
    </w:rPr>
  </w:style>
  <w:style w:type="character" w:customStyle="1" w:styleId="8">
    <w:name w:val="font01"/>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2022-11-03T10:30:00Z</dcterms:created>
  <dc:creator>A_Basistii</dc:creator>
  <cp:lastModifiedBy>CET-Nord SA</cp:lastModifiedBy>
  <dcterms:modified xsi:type="dcterms:W3CDTF">2023-02-20T08:28:20Z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9EC48425552F4C6A886BB6DA0D167652</vt:lpwstr>
  </property>
</Properties>
</file>