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itlu1"/>
        <w:bidi w:val="0"/>
        <w:spacing w:before="120" w:after="0"/>
        <w:ind w:left="0" w:right="0" w:hanging="0"/>
        <w:rPr>
          <w:lang w:val="ro-MD"/>
        </w:rPr>
      </w:pPr>
      <w:r>
        <w:rPr>
          <w:lang w:val="ro-MD"/>
        </w:rPr>
        <w:t>ANUNȚ DE PARTICIPARE</w:t>
      </w:r>
    </w:p>
    <w:p>
      <w:pPr>
        <w:pStyle w:val="Normal"/>
        <w:bidi w:val="0"/>
        <w:spacing w:before="120" w:after="0"/>
        <w:jc w:val="center"/>
        <w:rPr>
          <w:b/>
          <w:sz w:val="24"/>
          <w:szCs w:val="24"/>
          <w:lang w:val="ro-MD"/>
        </w:rPr>
      </w:pPr>
      <w:r>
        <w:rPr>
          <w:b/>
          <w:sz w:val="24"/>
          <w:szCs w:val="24"/>
          <w:lang w:val="ro-MD"/>
        </w:rPr>
        <w:t xml:space="preserve">privind achiziționarea </w:t>
      </w:r>
      <w:r>
        <w:rPr>
          <w:b/>
          <w:sz w:val="24"/>
          <w:szCs w:val="24"/>
          <w:lang w:val="ro-RO"/>
        </w:rPr>
        <w:t>Reactivi și consumabile de laborator pentru</w:t>
      </w:r>
      <w:r>
        <w:rPr>
          <w:b/>
          <w:sz w:val="24"/>
          <w:szCs w:val="24"/>
          <w:lang w:val="ro-MD"/>
        </w:rPr>
        <w:t xml:space="preserve"> anul 202</w:t>
      </w:r>
      <w:r>
        <w:rPr>
          <w:b/>
          <w:sz w:val="24"/>
          <w:szCs w:val="24"/>
          <w:lang w:val="ro-MD"/>
        </w:rPr>
        <w:t>6</w:t>
      </w:r>
      <w:r>
        <w:rPr>
          <w:b/>
          <w:sz w:val="24"/>
          <w:szCs w:val="24"/>
          <w:lang w:val="ro-MD"/>
        </w:rPr>
        <w:br/>
      </w:r>
      <w:r>
        <w:rPr>
          <w:szCs w:val="24"/>
          <w:lang w:val="ro-MD"/>
        </w:rPr>
        <w:t>(se indică obiectul achiziției)</w:t>
      </w:r>
      <w:r>
        <w:rPr>
          <w:b/>
          <w:sz w:val="24"/>
          <w:szCs w:val="24"/>
          <w:lang w:val="ro-MD"/>
        </w:rPr>
        <w:br/>
        <w:t>prin procedura de achiziție</w:t>
      </w:r>
      <w:r>
        <w:rPr>
          <w:b/>
          <w:sz w:val="24"/>
          <w:szCs w:val="24"/>
          <w:shd w:fill="FFFF00" w:val="clear"/>
          <w:lang w:val="ro-MD"/>
        </w:rPr>
        <w:t xml:space="preserve"> Cererea Ofertelor de Prețuri </w:t>
      </w:r>
      <w:r>
        <w:rPr>
          <w:b/>
          <w:sz w:val="24"/>
          <w:szCs w:val="24"/>
          <w:lang w:val="ro-MD"/>
        </w:rPr>
        <w:br/>
      </w:r>
      <w:r>
        <w:rPr>
          <w:szCs w:val="24"/>
          <w:lang w:val="ro-MD"/>
        </w:rPr>
        <w:t>(tipul procedurii de achiziție)</w:t>
      </w:r>
    </w:p>
    <w:p>
      <w:pPr>
        <w:pStyle w:val="Normal"/>
        <w:bidi w:val="0"/>
        <w:jc w:val="left"/>
        <w:rPr>
          <w:lang w:val="ro-MD"/>
        </w:rPr>
      </w:pPr>
      <w:r>
        <w:rPr>
          <w:lang w:val="ro-MD"/>
        </w:rPr>
      </w:r>
    </w:p>
    <w:p>
      <w:pPr>
        <w:pStyle w:val="Normal"/>
        <w:numPr>
          <w:ilvl w:val="0"/>
          <w:numId w:val="2"/>
        </w:numPr>
        <w:tabs>
          <w:tab w:val="clear" w:pos="709"/>
          <w:tab w:val="left" w:pos="852" w:leader="none"/>
          <w:tab w:val="right" w:pos="10099" w:leader="none"/>
        </w:tabs>
        <w:bidi w:val="0"/>
        <w:spacing w:before="120" w:after="0"/>
        <w:ind w:left="284" w:right="0" w:hanging="284"/>
        <w:jc w:val="left"/>
        <w:rPr>
          <w:b/>
          <w:sz w:val="24"/>
          <w:szCs w:val="24"/>
          <w:lang w:val="ro-MD"/>
        </w:rPr>
      </w:pPr>
      <w:r>
        <w:rPr>
          <w:b/>
          <w:sz w:val="24"/>
          <w:szCs w:val="24"/>
          <w:lang w:val="ro-MD"/>
        </w:rPr>
        <w:t xml:space="preserve">Denumirea autorității contractante: </w:t>
      </w:r>
      <w:r>
        <w:rPr>
          <w:b/>
          <w:sz w:val="24"/>
          <w:szCs w:val="24"/>
          <w:shd w:fill="FFFF00" w:val="clear"/>
          <w:lang w:val="ro-MD"/>
        </w:rPr>
        <w:t>IMSP Centrul de sănătate Dondușeni</w:t>
      </w:r>
    </w:p>
    <w:p>
      <w:pPr>
        <w:pStyle w:val="Normal"/>
        <w:numPr>
          <w:ilvl w:val="0"/>
          <w:numId w:val="2"/>
        </w:numPr>
        <w:tabs>
          <w:tab w:val="clear" w:pos="709"/>
          <w:tab w:val="left" w:pos="852" w:leader="none"/>
          <w:tab w:val="right" w:pos="10099" w:leader="none"/>
        </w:tabs>
        <w:bidi w:val="0"/>
        <w:spacing w:before="120" w:after="0"/>
        <w:ind w:left="284" w:right="0" w:hanging="284"/>
        <w:jc w:val="left"/>
        <w:rPr>
          <w:b/>
          <w:sz w:val="24"/>
          <w:szCs w:val="24"/>
          <w:lang w:val="ro-MD"/>
        </w:rPr>
      </w:pPr>
      <w:r>
        <w:rPr>
          <w:b/>
          <w:sz w:val="24"/>
          <w:szCs w:val="24"/>
          <w:lang w:val="ro-MD"/>
        </w:rPr>
        <w:t xml:space="preserve">IDNO: </w:t>
      </w:r>
      <w:r>
        <w:rPr>
          <w:b/>
          <w:sz w:val="24"/>
          <w:szCs w:val="24"/>
          <w:shd w:fill="FFFF00" w:val="clear"/>
          <w:lang w:val="ro-MD"/>
        </w:rPr>
        <w:t>1007604006808</w:t>
      </w:r>
    </w:p>
    <w:p>
      <w:pPr>
        <w:pStyle w:val="Normal"/>
        <w:numPr>
          <w:ilvl w:val="0"/>
          <w:numId w:val="2"/>
        </w:numPr>
        <w:tabs>
          <w:tab w:val="clear" w:pos="709"/>
          <w:tab w:val="left" w:pos="852" w:leader="none"/>
          <w:tab w:val="right" w:pos="10099" w:leader="none"/>
        </w:tabs>
        <w:bidi w:val="0"/>
        <w:spacing w:before="120" w:after="0"/>
        <w:ind w:left="284" w:right="0" w:hanging="284"/>
        <w:jc w:val="left"/>
        <w:rPr>
          <w:b/>
          <w:sz w:val="24"/>
          <w:szCs w:val="24"/>
          <w:lang w:val="ro-MD"/>
        </w:rPr>
      </w:pPr>
      <w:r>
        <w:rPr>
          <w:b/>
          <w:sz w:val="24"/>
          <w:szCs w:val="24"/>
          <w:lang w:val="ro-MD"/>
        </w:rPr>
        <w:t xml:space="preserve">Adresa: </w:t>
      </w:r>
      <w:r>
        <w:rPr>
          <w:b/>
          <w:sz w:val="24"/>
          <w:szCs w:val="24"/>
          <w:shd w:fill="FFFF00" w:val="clear"/>
          <w:lang w:val="ro-MD"/>
        </w:rPr>
        <w:t>or. Dondușeni, str. M. Eminescu, 26/1</w:t>
      </w:r>
    </w:p>
    <w:p>
      <w:pPr>
        <w:pStyle w:val="Normal"/>
        <w:numPr>
          <w:ilvl w:val="0"/>
          <w:numId w:val="2"/>
        </w:numPr>
        <w:tabs>
          <w:tab w:val="clear" w:pos="709"/>
          <w:tab w:val="left" w:pos="852" w:leader="none"/>
          <w:tab w:val="right" w:pos="10099" w:leader="none"/>
        </w:tabs>
        <w:bidi w:val="0"/>
        <w:spacing w:before="120" w:after="0"/>
        <w:ind w:left="284" w:right="0" w:hanging="284"/>
        <w:jc w:val="left"/>
        <w:rPr>
          <w:b/>
          <w:sz w:val="24"/>
          <w:szCs w:val="24"/>
          <w:lang w:val="ro-MD"/>
        </w:rPr>
      </w:pPr>
      <w:r>
        <w:rPr>
          <w:b/>
          <w:sz w:val="24"/>
          <w:szCs w:val="24"/>
          <w:lang w:val="ro-MD"/>
        </w:rPr>
        <w:t xml:space="preserve">Numărul de telefon/fax: </w:t>
      </w:r>
      <w:r>
        <w:rPr>
          <w:b/>
          <w:sz w:val="24"/>
          <w:szCs w:val="24"/>
          <w:shd w:fill="FFFF00" w:val="clear"/>
          <w:lang w:val="ro-MD"/>
        </w:rPr>
        <w:t>0 251 2 13 44</w:t>
      </w:r>
    </w:p>
    <w:p>
      <w:pPr>
        <w:pStyle w:val="Normal"/>
        <w:numPr>
          <w:ilvl w:val="0"/>
          <w:numId w:val="2"/>
        </w:numPr>
        <w:tabs>
          <w:tab w:val="clear" w:pos="709"/>
          <w:tab w:val="left" w:pos="852" w:leader="none"/>
          <w:tab w:val="right" w:pos="10099" w:leader="none"/>
        </w:tabs>
        <w:bidi w:val="0"/>
        <w:spacing w:before="120" w:after="0"/>
        <w:ind w:left="284" w:right="0" w:hanging="284"/>
        <w:jc w:val="left"/>
        <w:rPr>
          <w:b/>
          <w:sz w:val="24"/>
          <w:szCs w:val="24"/>
          <w:lang w:val="ro-MD"/>
        </w:rPr>
      </w:pPr>
      <w:r>
        <w:rPr>
          <w:b/>
          <w:sz w:val="24"/>
          <w:szCs w:val="24"/>
          <w:lang w:val="ro-MD"/>
        </w:rPr>
        <w:t xml:space="preserve">Adresa de e-mail și de internet a autorității contractante: </w:t>
      </w:r>
      <w:hyperlink r:id="rId2">
        <w:r>
          <w:rPr>
            <w:rStyle w:val="Linkdeinternet"/>
            <w:b/>
            <w:sz w:val="24"/>
            <w:szCs w:val="24"/>
            <w:shd w:fill="FFFF00" w:val="clear"/>
            <w:lang w:val="ro-MD"/>
          </w:rPr>
          <w:t>cs.donduseni@ms.md</w:t>
        </w:r>
      </w:hyperlink>
      <w:r>
        <w:rPr>
          <w:b/>
          <w:sz w:val="24"/>
          <w:szCs w:val="24"/>
          <w:shd w:fill="FFFF00" w:val="clear"/>
          <w:lang w:val="ro-MD"/>
        </w:rPr>
        <w:t xml:space="preserve">  </w:t>
      </w:r>
    </w:p>
    <w:p>
      <w:pPr>
        <w:pStyle w:val="Normal"/>
        <w:numPr>
          <w:ilvl w:val="0"/>
          <w:numId w:val="2"/>
        </w:numPr>
        <w:tabs>
          <w:tab w:val="clear" w:pos="709"/>
          <w:tab w:val="left" w:pos="860" w:leader="none"/>
          <w:tab w:val="right" w:pos="10107" w:leader="none"/>
        </w:tabs>
        <w:bidi w:val="0"/>
        <w:spacing w:before="120" w:after="0"/>
        <w:ind w:left="288" w:right="0" w:hanging="288"/>
        <w:jc w:val="left"/>
        <w:rPr>
          <w:b/>
          <w:sz w:val="24"/>
          <w:szCs w:val="24"/>
          <w:lang w:val="ro-MD"/>
        </w:rPr>
      </w:pPr>
      <w:r>
        <w:rPr>
          <w:b/>
          <w:sz w:val="24"/>
          <w:szCs w:val="24"/>
          <w:lang w:val="ro-MD"/>
        </w:rPr>
        <w:t xml:space="preserve">Adresa de e-mail sau de internet de la care se va putea obține accesul la documentația de atribuire: </w:t>
      </w:r>
      <w:r>
        <w:rPr>
          <w:b/>
          <w:i/>
          <w:sz w:val="24"/>
          <w:szCs w:val="24"/>
          <w:lang w:val="ro-MD"/>
        </w:rPr>
        <w:t>documentația de atribuire este anexată în cadrul procedurii în SIA RSAP</w:t>
      </w:r>
      <w:r>
        <w:rPr>
          <w:b/>
          <w:sz w:val="24"/>
          <w:szCs w:val="24"/>
          <w:lang w:val="ro-MD"/>
        </w:rPr>
        <w:t xml:space="preserve"> </w:t>
      </w:r>
    </w:p>
    <w:p>
      <w:pPr>
        <w:pStyle w:val="Normal"/>
        <w:numPr>
          <w:ilvl w:val="0"/>
          <w:numId w:val="2"/>
        </w:numPr>
        <w:tabs>
          <w:tab w:val="clear" w:pos="709"/>
          <w:tab w:val="left" w:pos="860" w:leader="none"/>
          <w:tab w:val="right" w:pos="10107" w:leader="none"/>
        </w:tabs>
        <w:bidi w:val="0"/>
        <w:spacing w:before="120" w:after="0"/>
        <w:ind w:left="288" w:right="0" w:hanging="288"/>
        <w:jc w:val="left"/>
        <w:rPr>
          <w:b/>
          <w:sz w:val="24"/>
          <w:szCs w:val="24"/>
          <w:lang w:val="ro-MD"/>
        </w:rPr>
      </w:pPr>
      <w:r>
        <w:rPr>
          <w:b/>
          <w:sz w:val="24"/>
          <w:szCs w:val="24"/>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Pr>
          <w:b/>
          <w:i/>
          <w:sz w:val="24"/>
          <w:szCs w:val="24"/>
          <w:shd w:fill="FFFF00" w:val="clear"/>
          <w:lang w:val="ro-MD"/>
        </w:rPr>
        <w:t>Instituție medicală ce prestează servicii medicale</w:t>
      </w:r>
    </w:p>
    <w:p>
      <w:pPr>
        <w:pStyle w:val="Normal"/>
        <w:numPr>
          <w:ilvl w:val="0"/>
          <w:numId w:val="2"/>
        </w:numPr>
        <w:tabs>
          <w:tab w:val="clear" w:pos="709"/>
          <w:tab w:val="left" w:pos="860" w:leader="none"/>
          <w:tab w:val="right" w:pos="10107" w:leader="none"/>
        </w:tabs>
        <w:bidi w:val="0"/>
        <w:spacing w:before="120" w:after="0"/>
        <w:ind w:left="288" w:right="0" w:hanging="288"/>
        <w:jc w:val="left"/>
        <w:rPr>
          <w:b/>
          <w:sz w:val="24"/>
          <w:szCs w:val="24"/>
          <w:lang w:val="ro-MD"/>
        </w:rPr>
      </w:pPr>
      <w:r>
        <w:rPr>
          <w:b/>
          <w:sz w:val="24"/>
          <w:szCs w:val="24"/>
          <w:lang w:val="ro-MD"/>
        </w:rPr>
        <w:t xml:space="preserve">Procedura a fost inclusă în planul de achiziții publice a autorității contractante (Da/Nu): </w:t>
      </w:r>
    </w:p>
    <w:p>
      <w:pPr>
        <w:pStyle w:val="Normal"/>
        <w:bidi w:val="0"/>
        <w:jc w:val="left"/>
        <w:rPr>
          <w:b/>
          <w:sz w:val="24"/>
          <w:szCs w:val="24"/>
          <w:lang w:val="ro-MD"/>
        </w:rPr>
      </w:pPr>
      <w:r>
        <w:rPr>
          <w:b/>
          <w:sz w:val="24"/>
          <w:szCs w:val="24"/>
          <w:lang w:val="ro-MD"/>
        </w:rPr>
        <w:t xml:space="preserve"> </w:t>
      </w:r>
      <w:r>
        <w:rPr>
          <w:b/>
          <w:sz w:val="24"/>
          <w:szCs w:val="24"/>
          <w:lang w:val="ro-MD"/>
        </w:rPr>
        <w:t>Link-ul către planul de achiziții publice publicat:</w:t>
      </w:r>
      <w:r>
        <w:rPr>
          <w:b/>
          <w:sz w:val="24"/>
          <w:szCs w:val="24"/>
          <w:shd w:fill="FFFF00" w:val="clear"/>
          <w:lang w:val="ro-MD"/>
        </w:rPr>
        <w:t>___________________________________</w:t>
      </w:r>
    </w:p>
    <w:p>
      <w:pPr>
        <w:pStyle w:val="Normal"/>
        <w:numPr>
          <w:ilvl w:val="0"/>
          <w:numId w:val="2"/>
        </w:numPr>
        <w:tabs>
          <w:tab w:val="clear" w:pos="709"/>
          <w:tab w:val="left" w:pos="852" w:leader="none"/>
          <w:tab w:val="right" w:pos="994" w:leader="none"/>
        </w:tabs>
        <w:bidi w:val="0"/>
        <w:spacing w:before="120" w:after="0"/>
        <w:ind w:left="284" w:right="0" w:hanging="284"/>
        <w:jc w:val="left"/>
        <w:rPr>
          <w:b/>
          <w:sz w:val="24"/>
          <w:szCs w:val="24"/>
          <w:lang w:val="ro-MD"/>
        </w:rPr>
      </w:pPr>
      <w:r>
        <w:rPr>
          <w:b/>
          <w:sz w:val="24"/>
          <w:szCs w:val="24"/>
          <w:lang w:val="ro-MD"/>
        </w:rPr>
        <w:t>Cumpărătorul invită operatorii economici interesați, care îi pot satisface necesitățile, să participe la procedura de achiziție privind livrarea următoarelor bunuri :</w:t>
      </w:r>
    </w:p>
    <w:tbl>
      <w:tblPr>
        <w:tblW w:w="10476" w:type="dxa"/>
        <w:jc w:val="left"/>
        <w:tblInd w:w="-856" w:type="dxa"/>
        <w:tblLayout w:type="fixed"/>
        <w:tblCellMar>
          <w:top w:w="0" w:type="dxa"/>
          <w:left w:w="108" w:type="dxa"/>
          <w:bottom w:w="0" w:type="dxa"/>
          <w:right w:w="108" w:type="dxa"/>
        </w:tblCellMar>
      </w:tblPr>
      <w:tblGrid>
        <w:gridCol w:w="709"/>
        <w:gridCol w:w="1416"/>
        <w:gridCol w:w="2552"/>
        <w:gridCol w:w="852"/>
        <w:gridCol w:w="709"/>
        <w:gridCol w:w="2837"/>
        <w:gridCol w:w="1401"/>
      </w:tblGrid>
      <w:tr>
        <w:trPr>
          <w:trHeight w:val="567" w:hRule="atLeast"/>
        </w:trPr>
        <w:tc>
          <w:tcPr>
            <w:tcW w:w="709"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
              <w:widowControl w:val="false"/>
              <w:bidi w:val="0"/>
              <w:spacing w:before="120" w:after="0"/>
              <w:jc w:val="center"/>
              <w:rPr>
                <w:b/>
                <w:sz w:val="24"/>
                <w:szCs w:val="24"/>
                <w:lang w:val="ro-MD"/>
              </w:rPr>
            </w:pPr>
            <w:r>
              <w:rPr>
                <w:b/>
                <w:sz w:val="24"/>
                <w:szCs w:val="24"/>
                <w:lang w:val="ro-MD"/>
              </w:rPr>
              <w:t>Nr. d/o</w:t>
            </w:r>
          </w:p>
        </w:tc>
        <w:tc>
          <w:tcPr>
            <w:tcW w:w="1416"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
              <w:widowControl w:val="false"/>
              <w:bidi w:val="0"/>
              <w:spacing w:before="120" w:after="0"/>
              <w:jc w:val="center"/>
              <w:rPr>
                <w:b/>
                <w:sz w:val="24"/>
                <w:szCs w:val="24"/>
                <w:lang w:val="ro-MD"/>
              </w:rPr>
            </w:pPr>
            <w:r>
              <w:rPr>
                <w:b/>
                <w:sz w:val="24"/>
                <w:szCs w:val="24"/>
                <w:lang w:val="ro-MD"/>
              </w:rPr>
              <w:t>Cod CPV</w:t>
            </w:r>
          </w:p>
        </w:tc>
        <w:tc>
          <w:tcPr>
            <w:tcW w:w="2552"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
              <w:widowControl w:val="false"/>
              <w:bidi w:val="0"/>
              <w:spacing w:before="120" w:after="0"/>
              <w:jc w:val="center"/>
              <w:rPr>
                <w:b/>
                <w:sz w:val="24"/>
                <w:szCs w:val="24"/>
                <w:lang w:val="ro-MD"/>
              </w:rPr>
            </w:pPr>
            <w:r>
              <w:rPr>
                <w:b/>
                <w:sz w:val="24"/>
                <w:szCs w:val="24"/>
                <w:lang w:val="ro-MD"/>
              </w:rPr>
              <w:t>Denumirea bunurilor/serviciilor/lucrărilor solicitate</w:t>
            </w:r>
          </w:p>
        </w:tc>
        <w:tc>
          <w:tcPr>
            <w:tcW w:w="852"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
              <w:widowControl w:val="false"/>
              <w:bidi w:val="0"/>
              <w:spacing w:before="120" w:after="0"/>
              <w:jc w:val="center"/>
              <w:rPr>
                <w:b/>
                <w:sz w:val="24"/>
                <w:szCs w:val="24"/>
                <w:lang w:val="ro-MD"/>
              </w:rPr>
            </w:pPr>
            <w:r>
              <w:rPr>
                <w:b/>
                <w:sz w:val="24"/>
                <w:szCs w:val="24"/>
                <w:lang w:val="ro-MD"/>
              </w:rPr>
              <w:t>Canti</w:t>
            </w:r>
          </w:p>
          <w:p>
            <w:pPr>
              <w:pStyle w:val="Normal"/>
              <w:widowControl w:val="false"/>
              <w:bidi w:val="0"/>
              <w:spacing w:before="120" w:after="0"/>
              <w:jc w:val="center"/>
              <w:rPr>
                <w:b/>
                <w:sz w:val="24"/>
                <w:szCs w:val="24"/>
                <w:lang w:val="ro-MD"/>
              </w:rPr>
            </w:pPr>
            <w:r>
              <w:rPr>
                <w:b/>
                <w:sz w:val="24"/>
                <w:szCs w:val="24"/>
                <w:lang w:val="ro-MD"/>
              </w:rPr>
              <w:t xml:space="preserve">tatea </w:t>
            </w:r>
          </w:p>
        </w:tc>
        <w:tc>
          <w:tcPr>
            <w:tcW w:w="709"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
              <w:widowControl w:val="false"/>
              <w:bidi w:val="0"/>
              <w:spacing w:before="120" w:after="0"/>
              <w:jc w:val="center"/>
              <w:rPr>
                <w:b/>
                <w:sz w:val="24"/>
                <w:szCs w:val="24"/>
                <w:lang w:val="ro-MD"/>
              </w:rPr>
            </w:pPr>
            <w:r>
              <w:rPr>
                <w:b/>
                <w:sz w:val="24"/>
                <w:szCs w:val="24"/>
                <w:lang w:val="ro-MD"/>
              </w:rPr>
              <w:t>Un. Măs</w:t>
            </w:r>
          </w:p>
        </w:tc>
        <w:tc>
          <w:tcPr>
            <w:tcW w:w="2837"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
              <w:widowControl w:val="false"/>
              <w:bidi w:val="0"/>
              <w:spacing w:before="120" w:after="0"/>
              <w:jc w:val="center"/>
              <w:rPr>
                <w:b/>
                <w:sz w:val="24"/>
                <w:szCs w:val="24"/>
                <w:lang w:val="ro-MD"/>
              </w:rPr>
            </w:pPr>
            <w:r>
              <w:rPr>
                <w:b/>
                <w:sz w:val="24"/>
                <w:szCs w:val="24"/>
                <w:lang w:val="ro-MD"/>
              </w:rPr>
              <w:t>Specificarea tehnică deplină solicitată, Standarde de referință</w:t>
            </w:r>
          </w:p>
        </w:tc>
        <w:tc>
          <w:tcPr>
            <w:tcW w:w="1401" w:type="dxa"/>
            <w:tcBorders>
              <w:top w:val="single" w:sz="4" w:space="0" w:color="000000"/>
              <w:left w:val="single" w:sz="4" w:space="0" w:color="000000"/>
              <w:bottom w:val="single" w:sz="4" w:space="0" w:color="000000"/>
              <w:right w:val="single" w:sz="4" w:space="0" w:color="000000"/>
            </w:tcBorders>
            <w:shd w:fill="D9D9D9" w:val="clear"/>
          </w:tcPr>
          <w:p>
            <w:pPr>
              <w:pStyle w:val="Normal"/>
              <w:widowControl w:val="false"/>
              <w:bidi w:val="0"/>
              <w:spacing w:before="120" w:after="0"/>
              <w:jc w:val="center"/>
              <w:rPr>
                <w:b/>
                <w:sz w:val="24"/>
                <w:szCs w:val="24"/>
                <w:lang w:val="ro-MD"/>
              </w:rPr>
            </w:pPr>
            <w:r>
              <w:rPr>
                <w:b/>
                <w:sz w:val="24"/>
                <w:szCs w:val="24"/>
                <w:lang w:val="ro-MD"/>
              </w:rPr>
              <w:t>Valoarea estimată</w:t>
              <w:br/>
              <w:t>(se va indica pentru fiecare lot în parte)</w:t>
            </w:r>
          </w:p>
        </w:tc>
      </w:tr>
      <w:tr>
        <w:trPr>
          <w:trHeight w:val="567" w:hRule="atLeast"/>
        </w:trPr>
        <w:tc>
          <w:tcPr>
            <w:tcW w:w="709"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
              <w:widowControl w:val="false"/>
              <w:bidi w:val="0"/>
              <w:spacing w:before="120" w:after="0"/>
              <w:jc w:val="center"/>
              <w:rPr>
                <w:b/>
                <w:sz w:val="24"/>
                <w:szCs w:val="24"/>
                <w:lang w:val="ro-MD"/>
              </w:rPr>
            </w:pPr>
            <w:r>
              <w:rPr>
                <w:b/>
                <w:sz w:val="24"/>
                <w:szCs w:val="24"/>
                <w:lang w:val="ro-MD"/>
              </w:rPr>
            </w:r>
          </w:p>
        </w:tc>
        <w:tc>
          <w:tcPr>
            <w:tcW w:w="1416"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
              <w:widowControl w:val="false"/>
              <w:bidi w:val="0"/>
              <w:spacing w:before="120" w:after="0"/>
              <w:jc w:val="center"/>
              <w:rPr>
                <w:b/>
                <w:sz w:val="24"/>
                <w:szCs w:val="24"/>
                <w:lang w:val="ro-MD"/>
              </w:rPr>
            </w:pPr>
            <w:r>
              <w:rPr>
                <w:b/>
                <w:sz w:val="24"/>
                <w:szCs w:val="24"/>
                <w:lang w:val="ro-MD"/>
              </w:rPr>
            </w:r>
          </w:p>
        </w:tc>
        <w:tc>
          <w:tcPr>
            <w:tcW w:w="2552"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
              <w:widowControl w:val="false"/>
              <w:bidi w:val="0"/>
              <w:spacing w:before="120" w:after="0"/>
              <w:jc w:val="center"/>
              <w:rPr>
                <w:b/>
                <w:sz w:val="24"/>
                <w:szCs w:val="24"/>
                <w:lang w:val="ro-MD"/>
              </w:rPr>
            </w:pPr>
            <w:r>
              <w:rPr>
                <w:b/>
                <w:sz w:val="24"/>
                <w:szCs w:val="24"/>
                <w:lang w:val="ro-MD"/>
              </w:rPr>
            </w:r>
          </w:p>
        </w:tc>
        <w:tc>
          <w:tcPr>
            <w:tcW w:w="852"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
              <w:widowControl w:val="false"/>
              <w:bidi w:val="0"/>
              <w:spacing w:before="120" w:after="0"/>
              <w:jc w:val="center"/>
              <w:rPr>
                <w:b/>
                <w:sz w:val="24"/>
                <w:szCs w:val="24"/>
                <w:lang w:val="ro-MD"/>
              </w:rPr>
            </w:pPr>
            <w:r>
              <w:rPr>
                <w:b/>
                <w:sz w:val="24"/>
                <w:szCs w:val="24"/>
                <w:lang w:val="ro-MD"/>
              </w:rPr>
            </w:r>
          </w:p>
        </w:tc>
        <w:tc>
          <w:tcPr>
            <w:tcW w:w="709"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
              <w:widowControl w:val="false"/>
              <w:bidi w:val="0"/>
              <w:spacing w:before="120" w:after="0"/>
              <w:jc w:val="center"/>
              <w:rPr>
                <w:b/>
                <w:sz w:val="24"/>
                <w:szCs w:val="24"/>
                <w:lang w:val="ro-MD"/>
              </w:rPr>
            </w:pPr>
            <w:r>
              <w:rPr>
                <w:b/>
                <w:sz w:val="24"/>
                <w:szCs w:val="24"/>
                <w:lang w:val="ro-MD"/>
              </w:rPr>
            </w:r>
          </w:p>
        </w:tc>
        <w:tc>
          <w:tcPr>
            <w:tcW w:w="2837"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
              <w:widowControl w:val="false"/>
              <w:bidi w:val="0"/>
              <w:spacing w:before="120" w:after="0"/>
              <w:jc w:val="center"/>
              <w:rPr>
                <w:b/>
                <w:lang w:val="ro-RO"/>
              </w:rPr>
            </w:pPr>
            <w:r>
              <w:rPr>
                <w:b/>
                <w:lang w:val="ro-MD"/>
              </w:rPr>
              <w:t xml:space="preserve">Reactivi </w:t>
            </w:r>
            <w:r>
              <w:rPr>
                <w:b/>
                <w:lang w:val="ro-RO"/>
              </w:rPr>
              <w:t>și consumabile p/u A 15, tip închis</w:t>
            </w:r>
          </w:p>
        </w:tc>
        <w:tc>
          <w:tcPr>
            <w:tcW w:w="1401" w:type="dxa"/>
            <w:tcBorders>
              <w:top w:val="single" w:sz="4" w:space="0" w:color="000000"/>
              <w:left w:val="single" w:sz="4" w:space="0" w:color="000000"/>
              <w:bottom w:val="single" w:sz="4" w:space="0" w:color="000000"/>
              <w:right w:val="single" w:sz="4" w:space="0" w:color="000000"/>
            </w:tcBorders>
            <w:shd w:fill="D9D9D9" w:val="clear"/>
          </w:tcPr>
          <w:p>
            <w:pPr>
              <w:pStyle w:val="Normal"/>
              <w:widowControl w:val="false"/>
              <w:bidi w:val="0"/>
              <w:spacing w:before="120" w:after="0"/>
              <w:jc w:val="center"/>
              <w:rPr>
                <w:b/>
                <w:sz w:val="24"/>
                <w:szCs w:val="24"/>
                <w:lang w:val="ro-MD"/>
              </w:rPr>
            </w:pPr>
            <w:r>
              <w:rPr>
                <w:b/>
                <w:sz w:val="24"/>
                <w:szCs w:val="24"/>
                <w:lang w:val="ro-MD"/>
              </w:rPr>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t>1</w:t>
            </w:r>
          </w:p>
        </w:tc>
        <w:tc>
          <w:tcPr>
            <w:tcW w:w="1416"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sz w:val="22"/>
                <w:szCs w:val="22"/>
                <w:lang w:val="ro-MD"/>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 xml:space="preserve">ALT(GPT) </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3000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ml</w:t>
            </w:r>
          </w:p>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both"/>
              <w:rPr>
                <w:sz w:val="22"/>
                <w:szCs w:val="22"/>
                <w:lang w:val="ro-MD"/>
              </w:rPr>
            </w:pPr>
            <w:r>
              <w:rPr>
                <w:color w:val="000000"/>
                <w:sz w:val="22"/>
                <w:szCs w:val="22"/>
                <w:lang w:val="en-US"/>
              </w:rPr>
              <w:t>Flacoane până la 50 ml, compatibele cu analizatorul biochimic automat A-15 (Biosistem Spania), Ambalaj securizat, marcat şi etichetat de producător. Termenul de valabilitate indicat pe ambalaj de producator nu mai mic de 18 luni</w:t>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MD"/>
              </w:rPr>
            </w:pPr>
            <w:r>
              <w:rPr>
                <w:sz w:val="22"/>
                <w:szCs w:val="22"/>
                <w:lang w:val="ro-MD"/>
              </w:rPr>
              <w:t>7700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AST(GOT)</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3000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ml</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color w:val="000000"/>
                <w:sz w:val="22"/>
                <w:szCs w:val="22"/>
                <w:lang w:val="en-US"/>
              </w:rPr>
              <w:t>Flacoane până la 50 ml, compatibele cu analizatorul biochimic automat A-15 (Biosistem Spania), Ambalaj securizat, marcat şi etichetat de producător. Termenul de valabilitate indicat pe ambalaj de producator nu mai mic de 18 luni</w:t>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7700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 xml:space="preserve">Albumina </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10</w:t>
            </w:r>
            <w:r>
              <w:rPr>
                <w:sz w:val="22"/>
                <w:szCs w:val="22"/>
                <w:lang w:val="ro-RO"/>
              </w:rPr>
              <w:t>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ml</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color w:val="000000"/>
                <w:sz w:val="22"/>
                <w:szCs w:val="22"/>
                <w:lang w:val="en-US"/>
              </w:rPr>
              <w:t>Flacoane până la 50 ml, compatibele cu analizatorul biochimic automat A-15 (Biosistem Spania), Ambalaj securizat, marcat şi etichetat de producător. Termenul de valabilitate indicat pe ambalaj de producator nu mai mic de 18 luni</w:t>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110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MD"/>
              </w:rPr>
            </w:pPr>
            <w:r>
              <w:rPr>
                <w:sz w:val="22"/>
                <w:szCs w:val="22"/>
                <w:lang w:val="ro-MD"/>
              </w:rPr>
              <w:t xml:space="preserve">33100000-1 </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Alcaline-Phosphatase (ALP)</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100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ml</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color w:val="000000"/>
                <w:sz w:val="22"/>
                <w:szCs w:val="22"/>
                <w:lang w:val="en-US"/>
              </w:rPr>
            </w:pPr>
            <w:r>
              <w:rPr>
                <w:color w:val="000000"/>
                <w:sz w:val="22"/>
                <w:szCs w:val="22"/>
                <w:lang w:val="en-US"/>
              </w:rPr>
              <w:t>Flacoane până la 50 ml</w:t>
            </w:r>
            <w:r>
              <w:rPr>
                <w:color w:val="FF0000"/>
                <w:sz w:val="22"/>
                <w:szCs w:val="22"/>
                <w:lang w:val="en-US"/>
              </w:rPr>
              <w:t xml:space="preserve">, </w:t>
            </w:r>
            <w:r>
              <w:rPr>
                <w:color w:val="000000"/>
                <w:sz w:val="22"/>
                <w:szCs w:val="22"/>
                <w:lang w:val="en-US"/>
              </w:rPr>
              <w:t xml:space="preserve">compatibele cu analizatorul biochimic automat A-15 (Biosistem Spania), Ambalaj securizat, marcat şi etichetat de producător. Termenul de valabilitate indicat pe ambalaj de producator nu mai mic de 18 luni </w:t>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330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 xml:space="preserve">Alfa-amilaza  </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30</w:t>
            </w:r>
            <w:r>
              <w:rPr>
                <w:sz w:val="22"/>
                <w:szCs w:val="22"/>
                <w:lang w:val="ro-RO"/>
              </w:rPr>
              <w:t>00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ml</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color w:val="000000"/>
                <w:sz w:val="22"/>
                <w:szCs w:val="22"/>
                <w:lang w:val="en-US"/>
              </w:rPr>
              <w:t>Flacoane până la 20 ml, compatibele cu analizatorul biochimic automat A-15 (Biosistem Spania), Ambalaj securizat, marcat şi etichetat de producător. Termenul de valabilitate indicat pe ambalaj de producator nu mai mic de 18 luni</w:t>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36000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 xml:space="preserve">Bilirubină totală </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3000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ml</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color w:val="000000"/>
                <w:sz w:val="22"/>
                <w:szCs w:val="22"/>
                <w:lang w:val="en-US"/>
              </w:rPr>
              <w:t>Flacoane până la 50 ml, compatibele cu analizatorul biochimic automat A-15 (Biosistem Spania), Ambalaj securizat, marcat şi etichetat de producător. Termenul de valabilitate indicat pe ambalaj de producator nu mai mic de 18 luni</w:t>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3500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 xml:space="preserve">Bilirubină directă  </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5</w:t>
            </w:r>
            <w:r>
              <w:rPr>
                <w:sz w:val="22"/>
                <w:szCs w:val="22"/>
                <w:lang w:val="ro-RO"/>
              </w:rPr>
              <w:t>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ml</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color w:val="000000"/>
                <w:sz w:val="22"/>
                <w:szCs w:val="22"/>
                <w:lang w:val="en-US"/>
              </w:rPr>
              <w:t>Flacoane până la 50 ml, compatibele cu analizatorul biochimic automat A-15 (Biosistem Spania), Ambalaj securizat, marcat şi etichetat de producător. Termenul de valabilitate indicat pe ambalaj de producator nu mai mic de 18 luni</w:t>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70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 xml:space="preserve">Calciu </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20</w:t>
            </w:r>
            <w:r>
              <w:rPr>
                <w:sz w:val="22"/>
                <w:szCs w:val="22"/>
                <w:lang w:val="ro-RO"/>
              </w:rPr>
              <w:t>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ml</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color w:val="000000"/>
                <w:sz w:val="22"/>
                <w:szCs w:val="22"/>
                <w:lang w:val="en-US"/>
              </w:rPr>
              <w:t>Flacoane până la 50 ml, compatibele cu analizatorul biochimic automat A-15 (Biosistem Spania), Ambalaj securizat, marcat şi etichetat de producător. Termenul de valabilitate indicat pe ambalaj de producator nu mai mic de 18 luni</w:t>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300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left" w:pos="960" w:leader="none"/>
              </w:tabs>
              <w:bidi w:val="0"/>
              <w:jc w:val="left"/>
              <w:rPr>
                <w:color w:val="000000"/>
                <w:sz w:val="22"/>
                <w:szCs w:val="22"/>
                <w:lang w:val="ro-RO"/>
              </w:rPr>
            </w:pPr>
            <w:r>
              <w:rPr>
                <w:color w:val="000000"/>
                <w:sz w:val="22"/>
                <w:szCs w:val="22"/>
                <w:lang w:val="ro-RO"/>
              </w:rPr>
              <w:t>Cholesterol total</w:t>
            </w:r>
            <w:r>
              <w:rPr>
                <w:sz w:val="22"/>
                <w:szCs w:val="22"/>
                <w:lang w:val="ro-RO"/>
              </w:rPr>
              <w:t xml:space="preserve"> </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30</w:t>
            </w:r>
            <w:r>
              <w:rPr>
                <w:sz w:val="22"/>
                <w:szCs w:val="22"/>
                <w:lang w:val="ro-RO"/>
              </w:rPr>
              <w:t>00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ml</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color w:val="000000"/>
                <w:sz w:val="22"/>
                <w:szCs w:val="22"/>
                <w:lang w:val="en-US"/>
              </w:rPr>
              <w:t>Flacoane până la 50 ml, compatibele cu analizatorul biochimic automat A-15 (Biosistem Spania), Ambalaj securizat, marcat şi etichetat de producător. Termenul de valabilitate indicat pe ambalaj de producator nu mai mic de 18 luni</w:t>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6000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 xml:space="preserve">LDL Colesterol </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1</w:t>
            </w:r>
            <w:r>
              <w:rPr>
                <w:sz w:val="22"/>
                <w:szCs w:val="22"/>
                <w:lang w:val="ro-RO"/>
              </w:rPr>
              <w:t>0</w:t>
            </w:r>
            <w:r>
              <w:rPr>
                <w:sz w:val="22"/>
                <w:szCs w:val="22"/>
                <w:lang w:val="ro-RO"/>
              </w:rPr>
              <w:t>0</w:t>
            </w:r>
            <w:r>
              <w:rPr>
                <w:sz w:val="22"/>
                <w:szCs w:val="22"/>
                <w:lang w:val="ro-RO"/>
              </w:rPr>
              <w:t>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ml</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color w:val="000000"/>
                <w:sz w:val="22"/>
                <w:szCs w:val="22"/>
                <w:lang w:val="en-US"/>
              </w:rPr>
              <w:t>Flacoane până la 20 ml,compatibele cu analizatorul biochimic automat A-15 (Biosistem Spania)Ambalaj securizat, marcat şi etichetat de producător.Termenul de valabilitate indicat pe ambalaj de producator nu mai mic de 18 luni</w:t>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32000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HDL Colesterol</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1</w:t>
            </w:r>
            <w:r>
              <w:rPr>
                <w:sz w:val="22"/>
                <w:szCs w:val="22"/>
                <w:lang w:val="ro-RO"/>
              </w:rPr>
              <w:t>0</w:t>
            </w:r>
            <w:r>
              <w:rPr>
                <w:sz w:val="22"/>
                <w:szCs w:val="22"/>
                <w:lang w:val="ro-RO"/>
              </w:rPr>
              <w:t>0</w:t>
            </w:r>
            <w:r>
              <w:rPr>
                <w:sz w:val="22"/>
                <w:szCs w:val="22"/>
                <w:lang w:val="ro-RO"/>
              </w:rPr>
              <w:t>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ml</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color w:val="000000"/>
                <w:sz w:val="22"/>
                <w:szCs w:val="22"/>
                <w:lang w:val="en-US"/>
              </w:rPr>
              <w:t>Flacoane până la 20 ml,compatibele cu analizatorul biochimic automat A-15 (Biosistem Spania)Ambalaj securizat, marcat şi etichetat de producător..Termenul de valabilitate indicat pe ambalaj de producator nu mai mic de 18 luni</w:t>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34500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 xml:space="preserve">Creatinină </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3500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ml</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color w:val="000000"/>
                <w:sz w:val="22"/>
                <w:szCs w:val="22"/>
                <w:lang w:val="en-US"/>
              </w:rPr>
              <w:t>Flacoane până la 50 ml, compatibele cu analizatorul biochimic automat A-15 (Biosistem Spania), Ambalaj securizat, marcat şi etichetat de producător. Termenul de valabilitate indicat pe ambalaj de producator nu mai mic de 18 luni</w:t>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2600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left" w:pos="960" w:leader="none"/>
              </w:tabs>
              <w:bidi w:val="0"/>
              <w:jc w:val="left"/>
              <w:rPr>
                <w:color w:val="000000"/>
                <w:sz w:val="22"/>
                <w:szCs w:val="22"/>
                <w:lang w:val="ro-RO"/>
              </w:rPr>
            </w:pPr>
            <w:r>
              <w:rPr>
                <w:color w:val="000000"/>
                <w:sz w:val="22"/>
                <w:szCs w:val="22"/>
                <w:lang w:val="ro-RO"/>
              </w:rPr>
              <w:t>Gamma glutamiltransferase</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1</w:t>
            </w:r>
            <w:r>
              <w:rPr>
                <w:sz w:val="22"/>
                <w:szCs w:val="22"/>
                <w:lang w:val="ro-RO"/>
              </w:rPr>
              <w:t>0</w:t>
            </w:r>
            <w:r>
              <w:rPr>
                <w:sz w:val="22"/>
                <w:szCs w:val="22"/>
                <w:lang w:val="ro-RO"/>
              </w:rPr>
              <w:t>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ml</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color w:val="000000"/>
                <w:sz w:val="22"/>
                <w:szCs w:val="22"/>
                <w:lang w:val="en-US"/>
              </w:rPr>
              <w:t>Flacoane până la 50 ml, compatibele cu analizatorul biochimic automat A-15 (Biosistem Spania), Ambalaj securizat, marcat şi etichetat de producător. Termenul de valabilitate indicat pe ambalaj de producator nu mai mic de 18 luni</w:t>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500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 xml:space="preserve">Glucoza </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3</w:t>
            </w:r>
            <w:r>
              <w:rPr>
                <w:sz w:val="22"/>
                <w:szCs w:val="22"/>
                <w:lang w:val="ro-RO"/>
              </w:rPr>
              <w:t>5</w:t>
            </w:r>
            <w:r>
              <w:rPr>
                <w:sz w:val="22"/>
                <w:szCs w:val="22"/>
                <w:lang w:val="ro-RO"/>
              </w:rPr>
              <w:t>00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ml</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color w:val="000000"/>
                <w:sz w:val="22"/>
                <w:szCs w:val="22"/>
                <w:lang w:val="en-US"/>
              </w:rPr>
              <w:t>Flacoane până la 50 ml, compatibele cu analizatorul biochimic automat A-15 (Biosistem Spania), Ambalaj securizat, marcat şi etichetat de producător. Termenul de valabilitate indicat pe ambalaj de producator nu mai mic de 18 luni</w:t>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2600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Fier Iron</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2</w:t>
            </w:r>
            <w:r>
              <w:rPr>
                <w:sz w:val="22"/>
                <w:szCs w:val="22"/>
                <w:lang w:val="ro-RO"/>
              </w:rPr>
              <w:t>00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ml</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color w:val="000000"/>
                <w:sz w:val="22"/>
                <w:szCs w:val="22"/>
                <w:lang w:val="en-US"/>
              </w:rPr>
            </w:pPr>
            <w:r>
              <w:rPr>
                <w:sz w:val="22"/>
                <w:szCs w:val="22"/>
                <w:lang w:val="en-US"/>
              </w:rPr>
              <w:t xml:space="preserve">Flacoane până la 16-20 ml, compatibele cu analizatorul </w:t>
            </w:r>
            <w:r>
              <w:rPr>
                <w:color w:val="000000"/>
                <w:sz w:val="22"/>
                <w:szCs w:val="22"/>
                <w:lang w:val="en-US"/>
              </w:rPr>
              <w:t>biochimic automat A-15 (Biosistem Spania), Ambalaj securizat, marcat şi etichetat de producător. Termenul de valabilitate indicat pe ambalaj de producator nu mai mic de 18 luni</w:t>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750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MD"/>
              </w:rPr>
            </w:pPr>
            <w:r>
              <w:rPr>
                <w:sz w:val="22"/>
                <w:szCs w:val="22"/>
                <w:lang w:val="ro-MD"/>
              </w:rPr>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color w:val="000000"/>
                <w:sz w:val="22"/>
                <w:szCs w:val="22"/>
                <w:lang w:val="en-US"/>
              </w:rPr>
              <w:t>Hemoglobina glicozilata (HbA1c)</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700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ml</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color w:val="000000"/>
                <w:sz w:val="22"/>
                <w:szCs w:val="22"/>
                <w:lang w:val="en-US"/>
              </w:rPr>
              <w:t>Flacoane până la 50 ml, compatibele cu analizatorul biochimic automat A-15 (Biosistem Spania), Ambalaj securizat, marcat şi etichetat de producător. Termenul de valabilitate indicat pe ambalaj de producator nu mai mic de 18 luni</w:t>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71400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color w:val="000000"/>
                <w:sz w:val="22"/>
                <w:szCs w:val="22"/>
              </w:rPr>
              <w:t>Calibrator HbA1c</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3</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ml</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color w:val="000000"/>
                <w:sz w:val="22"/>
                <w:szCs w:val="22"/>
                <w:lang w:val="en-US"/>
              </w:rPr>
              <w:t>Flacoane cu volum 2 ml. Calibrator  trebuie să fie produs de acelaș producător ca și reactive pentru determinareaHemoglobinglicozilata.                    Ambalaj securizat, marcat şi etichetat de producător..Termenul de valabilitate indicat pe ambalaj de producator nu mai mic de 18 luni</w:t>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4200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jc w:val="left"/>
              <w:rPr>
                <w:color w:val="000000"/>
                <w:sz w:val="22"/>
                <w:szCs w:val="22"/>
              </w:rPr>
            </w:pPr>
            <w:r>
              <w:rPr>
                <w:color w:val="000000"/>
                <w:sz w:val="22"/>
                <w:szCs w:val="22"/>
              </w:rPr>
              <w:t>HEMOGLOBIN A1C Control normal</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3</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ml</w:t>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jc w:val="left"/>
              <w:rPr>
                <w:color w:val="000000"/>
                <w:sz w:val="22"/>
                <w:szCs w:val="22"/>
                <w:lang w:val="en-US"/>
              </w:rPr>
            </w:pPr>
            <w:r>
              <w:rPr>
                <w:color w:val="000000"/>
                <w:sz w:val="22"/>
                <w:szCs w:val="22"/>
                <w:lang w:val="en-US"/>
              </w:rPr>
              <w:t>Flacoane cu volum 1 ml.    Control  trebuie să fie produs de acelaș producător ca și reactive pentru determinarea  Hemoglobin glicozilata.                    Ambalaj securizat, marcat şi etichetat de producător..Termenul de valabilitate indicat pe ambalaj de producator nu mai mic de 18 luni</w:t>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4200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jc w:val="left"/>
              <w:rPr>
                <w:color w:val="000000"/>
                <w:sz w:val="22"/>
                <w:szCs w:val="22"/>
              </w:rPr>
            </w:pPr>
            <w:r>
              <w:rPr>
                <w:color w:val="000000"/>
                <w:sz w:val="22"/>
                <w:szCs w:val="22"/>
              </w:rPr>
              <w:t>HEMOGLOBIN A1C Control patologic</w:t>
            </w:r>
          </w:p>
          <w:p>
            <w:pPr>
              <w:pStyle w:val="Normal"/>
              <w:widowControl w:val="false"/>
              <w:bidi w:val="0"/>
              <w:jc w:val="center"/>
              <w:rPr>
                <w:color w:val="000000"/>
                <w:sz w:val="22"/>
                <w:szCs w:val="22"/>
              </w:rPr>
            </w:pPr>
            <w:r>
              <w:rPr>
                <w:color w:val="000000"/>
                <w:sz w:val="22"/>
                <w:szCs w:val="22"/>
              </w:rPr>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3</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ml</w:t>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jc w:val="left"/>
              <w:rPr>
                <w:color w:val="000000"/>
                <w:sz w:val="22"/>
                <w:szCs w:val="22"/>
                <w:lang w:val="en-US"/>
              </w:rPr>
            </w:pPr>
            <w:r>
              <w:rPr>
                <w:color w:val="000000"/>
                <w:sz w:val="22"/>
                <w:szCs w:val="22"/>
                <w:lang w:val="en-US"/>
              </w:rPr>
              <w:t xml:space="preserve">Flacoane cu volum 1 ml.   Control  trebuie să fie produs de acelaș producător ca și reactive pentru determinarea  Hemoglobin glicozilata.                    </w:t>
              <w:br/>
              <w:t>Ambalaj securizat, marcat şi etichetat de producător.Termenul de valabilitate indicat pe ambalaj de producator nu mai mic de 18 luni</w:t>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4200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left" w:pos="960" w:leader="none"/>
              </w:tabs>
              <w:bidi w:val="0"/>
              <w:jc w:val="left"/>
              <w:rPr>
                <w:color w:val="000000"/>
                <w:sz w:val="22"/>
                <w:szCs w:val="22"/>
                <w:lang w:val="ro-RO"/>
              </w:rPr>
            </w:pPr>
            <w:r>
              <w:rPr>
                <w:color w:val="000000"/>
                <w:sz w:val="22"/>
                <w:szCs w:val="22"/>
                <w:lang w:val="ro-RO"/>
              </w:rPr>
              <w:t xml:space="preserve">Lipasa </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2</w:t>
            </w:r>
            <w:r>
              <w:rPr>
                <w:sz w:val="22"/>
                <w:szCs w:val="22"/>
                <w:lang w:val="ro-RO"/>
              </w:rPr>
              <w:t>00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ml</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color w:val="000000"/>
                <w:sz w:val="22"/>
                <w:szCs w:val="22"/>
                <w:lang w:val="en-US"/>
              </w:rPr>
              <w:t>Flacoane până la 50 ml, compatibele cu analizatorul biochimic automat A-15 (Biosistem Spania), Ambalaj securizat, marcat şi etichetat de producător. Termenul de valabilitate indicat pe ambalaj de producator nu mai mic de 18 luni</w:t>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8500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 xml:space="preserve">Magneziu </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100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ml</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color w:val="000000"/>
                <w:sz w:val="22"/>
                <w:szCs w:val="22"/>
                <w:lang w:val="en-US"/>
              </w:rPr>
              <w:t>Flacoane până la 50 ml, compatibele cu analizatorul biochimic automat A-15 (Biosistem Spania), Ambalaj securizat, marcat şi etichetat de producător. Termenul de valabilitate indicat pe ambalaj de producator nu mai mic de 18 luni</w:t>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200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Proteină totală</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100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ml</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color w:val="000000"/>
                <w:sz w:val="22"/>
                <w:szCs w:val="22"/>
                <w:lang w:val="en-US"/>
              </w:rPr>
            </w:pPr>
            <w:r>
              <w:rPr>
                <w:color w:val="000000"/>
                <w:sz w:val="22"/>
                <w:szCs w:val="22"/>
                <w:lang w:val="en-US"/>
              </w:rPr>
              <w:t>Flacoane până la 50 ml, compatibele cu analizatorul biochimic automat A-15 (Biosistem Spania), Ambalaj securizat, marcat şi etichetat de producător. Termenul de valabilitate indicat pe ambalaj de producator nu mai mic de 18 luni</w:t>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100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MD"/>
              </w:rPr>
            </w:pPr>
            <w:r>
              <w:rPr>
                <w:sz w:val="22"/>
                <w:szCs w:val="22"/>
                <w:lang w:val="ro-MD"/>
              </w:rPr>
              <w:t xml:space="preserve">33100000-1 </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Acid uric</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2000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ml</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color w:val="000000"/>
                <w:sz w:val="22"/>
                <w:szCs w:val="22"/>
                <w:lang w:val="en-US"/>
              </w:rPr>
              <w:t>Flacoane până la 50 ml, compatibele cu analizatorul biochimic automat A-15 (Biosistem Spania), Ambalaj securizat, marcat şi etichetat de producător. Termenul de valabilitate indicat pe ambalaj de producator nu mai mic de 18 luni</w:t>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2000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color w:val="000000"/>
                <w:sz w:val="22"/>
                <w:szCs w:val="22"/>
              </w:rPr>
              <w:t>Trigliceride (Triglicerides)</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30</w:t>
            </w:r>
            <w:r>
              <w:rPr>
                <w:sz w:val="22"/>
                <w:szCs w:val="22"/>
                <w:lang w:val="ro-RO"/>
              </w:rPr>
              <w:t>00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ml</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color w:val="000000"/>
                <w:sz w:val="22"/>
                <w:szCs w:val="22"/>
                <w:lang w:val="en-US"/>
              </w:rPr>
              <w:t>Flacoane până la 50 ml, compatibele cu analizatorul biochimic automat A-15 (Biosistem Spania), Ambalaj securizat, marcat şi etichetat de producător. Termenul de valabilitate indicat pe ambalaj de producator nu mai mic de 18 luni</w:t>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6400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Ureea</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30</w:t>
            </w:r>
            <w:r>
              <w:rPr>
                <w:sz w:val="22"/>
                <w:szCs w:val="22"/>
                <w:lang w:val="ro-RO"/>
              </w:rPr>
              <w:t>00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ml</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color w:val="000000"/>
                <w:sz w:val="22"/>
                <w:szCs w:val="22"/>
                <w:lang w:val="en-US"/>
              </w:rPr>
              <w:t>Flacoane până la 50 ml, compatibele cu analizatorul biochimic automat A-15 (Biosistem Spania), Ambalaj securizat, marcat şi etichetat de producător. Termenul de valabilitate indicat pe ambalaj de producator nu mai mic de 18 luni</w:t>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7800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 xml:space="preserve">Protein C reactivă </w:t>
            </w:r>
          </w:p>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latex test set 8 ml, (150 teste cu control +, -)</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56</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ml</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color w:val="000000"/>
                <w:sz w:val="22"/>
                <w:szCs w:val="22"/>
                <w:lang w:val="en-US"/>
              </w:rPr>
              <w:t>Flacoane până la 5 ml, compatibele cu analizatorul biochimic automat A-15 (Biosistem Spania)Ambalaj securizat, marcat şi etichetat de producător..Termenul de valabilitate indicat pe ambalaj de producator nu mai mic de 18 luni</w:t>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3800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jc w:val="left"/>
              <w:rPr>
                <w:color w:val="000000"/>
                <w:sz w:val="22"/>
                <w:szCs w:val="22"/>
                <w:lang w:val="en-US"/>
              </w:rPr>
            </w:pPr>
            <w:r>
              <w:rPr>
                <w:color w:val="000000"/>
                <w:sz w:val="22"/>
                <w:szCs w:val="22"/>
                <w:lang w:val="en-US"/>
              </w:rPr>
              <w:t>Factor rheumatic latex test</w:t>
            </w:r>
          </w:p>
          <w:p>
            <w:pPr>
              <w:pStyle w:val="Normal"/>
              <w:widowControl w:val="false"/>
              <w:bidi w:val="0"/>
              <w:jc w:val="left"/>
              <w:rPr>
                <w:color w:val="FF0000"/>
                <w:sz w:val="22"/>
                <w:szCs w:val="22"/>
                <w:lang w:val="en-US"/>
              </w:rPr>
            </w:pPr>
            <w:r>
              <w:rPr>
                <w:color w:val="000000"/>
                <w:sz w:val="22"/>
                <w:szCs w:val="22"/>
                <w:lang w:val="en-US"/>
              </w:rPr>
              <w:t>8 ml,</w:t>
            </w:r>
            <w:r>
              <w:rPr>
                <w:sz w:val="22"/>
                <w:szCs w:val="22"/>
                <w:lang w:val="ro-RO"/>
              </w:rPr>
              <w:t xml:space="preserve">(150 teste, cu control +, - ) </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t>56</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ml</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color w:val="000000"/>
                <w:sz w:val="22"/>
                <w:szCs w:val="22"/>
                <w:lang w:val="en-US"/>
              </w:rPr>
              <w:t>Flacoane până la 20 ml, compatibele cu analizatorul biochimic automat A-15 (Biosistem Spania)Ambalaj securizat, marcat şi etichetat de producător..Termenul de valabilitate indicat pe ambalaj de producator nu mai mic de 18 luni</w:t>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3500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jc w:val="left"/>
              <w:rPr>
                <w:color w:val="FF0000"/>
                <w:sz w:val="22"/>
                <w:szCs w:val="22"/>
                <w:lang w:val="en-US"/>
              </w:rPr>
            </w:pPr>
            <w:r>
              <w:rPr>
                <w:color w:val="000000"/>
                <w:sz w:val="22"/>
                <w:szCs w:val="22"/>
                <w:lang w:val="en-US"/>
              </w:rPr>
              <w:t>Antistreptolizina O latex test set 8 ml, control + și -</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56</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ml</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color w:val="000000"/>
                <w:sz w:val="22"/>
                <w:szCs w:val="22"/>
                <w:lang w:val="en-US"/>
              </w:rPr>
              <w:t>Flacoane până la 5 ml, compatibele cu analizatorul biochimic automat A-15 (Biosistem Spania)Ambalaj securizat, marcat şi etichetat de producător..Termenul de valabilitate indicat pe ambalaj de producator nu mai mic de 18 luni</w:t>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3500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Calibrator Multi biochimie</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10</w:t>
            </w:r>
            <w:r>
              <w:rPr>
                <w:sz w:val="22"/>
                <w:szCs w:val="22"/>
                <w:lang w:val="ro-RO"/>
              </w:rPr>
              <w:t>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ml</w:t>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Flacon 5 ml, ser uman cu 40 parametri ce include: alfa amilaza CNP G3, bilirubin direct m.d. Iendrașek,bilirubin total  m.d. Iendrașek, calciu m.d. Arsenazo III, iron m.d. Ferrozine</w:t>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7400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Control ser normal</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10</w:t>
            </w:r>
            <w:r>
              <w:rPr>
                <w:sz w:val="22"/>
                <w:szCs w:val="22"/>
                <w:lang w:val="ro-RO"/>
              </w:rPr>
              <w:t>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ml</w:t>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Flacon 5 ml, ser uman cu 40 parametri ce include: alfa amilaza CNP G3, bilirubin direct m.d. Iendrașek,bilirubin total  m.d. Iendrașek, calciu m.d. Arsenazo III, iron m.d. Ferrozine</w:t>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7400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Control ser patologic</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10</w:t>
            </w:r>
            <w:r>
              <w:rPr>
                <w:sz w:val="22"/>
                <w:szCs w:val="22"/>
                <w:lang w:val="ro-RO"/>
              </w:rPr>
              <w:t>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ml</w:t>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 xml:space="preserve">Flacon 5 ml, ser uman cu 40 parametri ce include: alfa amilaza CNP G3, bilirubin direct m.d. Iendrașek,bilirubin total  m.d. Iendrașek, calciu m.d. Arsenazo III, iron m.d. Ferrozine </w:t>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7400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color w:val="000000"/>
                <w:sz w:val="22"/>
                <w:szCs w:val="22"/>
                <w:lang w:val="ro-RO"/>
              </w:rPr>
            </w:pPr>
            <w:r>
              <w:rPr>
                <w:color w:val="000000"/>
                <w:sz w:val="22"/>
                <w:szCs w:val="22"/>
                <w:lang w:val="ro-RO"/>
              </w:rPr>
              <w:t>Cuvă pentru ser,2 ml</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color w:val="000000"/>
                <w:sz w:val="22"/>
                <w:szCs w:val="22"/>
                <w:lang w:val="ro-RO"/>
              </w:rPr>
            </w:pPr>
            <w:r>
              <w:rPr>
                <w:color w:val="000000"/>
                <w:sz w:val="22"/>
                <w:szCs w:val="22"/>
                <w:lang w:val="ro-RO"/>
              </w:rPr>
              <w:t>15</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color w:val="000000"/>
                <w:sz w:val="22"/>
                <w:szCs w:val="22"/>
                <w:lang w:val="ro-RO"/>
              </w:rPr>
            </w:pPr>
            <w:r>
              <w:rPr>
                <w:color w:val="000000"/>
                <w:sz w:val="22"/>
                <w:szCs w:val="22"/>
                <w:lang w:val="ro-RO"/>
              </w:rPr>
              <w:t>set</w:t>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color w:val="000000"/>
                <w:sz w:val="22"/>
                <w:szCs w:val="22"/>
                <w:lang w:val="en-US"/>
              </w:rPr>
            </w:pPr>
            <w:r>
              <w:rPr>
                <w:color w:val="000000"/>
                <w:sz w:val="22"/>
                <w:szCs w:val="22"/>
                <w:lang w:val="en-US"/>
              </w:rPr>
              <w:t xml:space="preserve"> </w:t>
            </w:r>
            <w:r>
              <w:rPr>
                <w:color w:val="000000"/>
                <w:sz w:val="22"/>
                <w:szCs w:val="22"/>
                <w:lang w:val="en-US"/>
              </w:rPr>
              <w:t>set – 1000 buc</w:t>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8300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color w:val="000000"/>
                <w:sz w:val="22"/>
                <w:szCs w:val="22"/>
                <w:lang w:val="en-US"/>
              </w:rPr>
            </w:pPr>
            <w:r>
              <w:rPr>
                <w:color w:val="000000"/>
                <w:sz w:val="22"/>
                <w:szCs w:val="22"/>
                <w:lang w:val="en-US"/>
              </w:rPr>
              <w:t>Rotor de reacție</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color w:val="000000"/>
                <w:sz w:val="22"/>
                <w:szCs w:val="22"/>
                <w:lang w:val="ro-RO"/>
              </w:rPr>
            </w:pPr>
            <w:r>
              <w:rPr>
                <w:color w:val="000000"/>
                <w:sz w:val="22"/>
                <w:szCs w:val="22"/>
                <w:lang w:val="ro-RO"/>
              </w:rPr>
              <w:t>10</w:t>
            </w:r>
            <w:r>
              <w:rPr>
                <w:color w:val="000000"/>
                <w:sz w:val="22"/>
                <w:szCs w:val="22"/>
                <w:lang w:val="ro-RO"/>
              </w:rPr>
              <w:t>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color w:val="000000"/>
                <w:sz w:val="22"/>
                <w:szCs w:val="22"/>
                <w:lang w:val="ro-RO"/>
              </w:rPr>
            </w:pPr>
            <w:r>
              <w:rPr>
                <w:color w:val="000000"/>
                <w:sz w:val="22"/>
                <w:szCs w:val="22"/>
                <w:lang w:val="ro-RO"/>
              </w:rPr>
              <w:t>set</w:t>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color w:val="000000"/>
                <w:sz w:val="22"/>
                <w:szCs w:val="22"/>
                <w:lang w:val="en-US"/>
              </w:rPr>
            </w:pPr>
            <w:r>
              <w:rPr>
                <w:color w:val="000000"/>
                <w:sz w:val="22"/>
                <w:szCs w:val="22"/>
                <w:lang w:val="en-US"/>
              </w:rPr>
              <w:t>Set 10 buc/set, autorizare de la producător</w:t>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199000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t>Soluție concentrate de spălare</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1</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set</w:t>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color w:val="000000"/>
                <w:sz w:val="22"/>
                <w:szCs w:val="22"/>
                <w:lang w:val="en-US"/>
              </w:rPr>
            </w:pPr>
            <w:r>
              <w:rPr>
                <w:color w:val="000000"/>
                <w:sz w:val="22"/>
                <w:szCs w:val="22"/>
                <w:lang w:val="en-US"/>
              </w:rPr>
              <w:t xml:space="preserve"> </w:t>
            </w:r>
            <w:r>
              <w:rPr>
                <w:color w:val="000000"/>
                <w:sz w:val="22"/>
                <w:szCs w:val="22"/>
                <w:lang w:val="en-US"/>
              </w:rPr>
              <w:t>flacon cu vol. 100 ml, fără clor</w:t>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1800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t>Soluție concentrate de sistem</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1</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set</w:t>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color w:val="000000"/>
                <w:sz w:val="22"/>
                <w:szCs w:val="22"/>
                <w:lang w:val="en-US"/>
              </w:rPr>
            </w:pPr>
            <w:r>
              <w:rPr>
                <w:color w:val="000000"/>
                <w:sz w:val="22"/>
                <w:szCs w:val="22"/>
                <w:lang w:val="en-US"/>
              </w:rPr>
              <w:t xml:space="preserve"> </w:t>
            </w:r>
            <w:r>
              <w:rPr>
                <w:color w:val="000000"/>
                <w:sz w:val="22"/>
                <w:szCs w:val="22"/>
                <w:lang w:val="en-US"/>
              </w:rPr>
              <w:t>flacon cu volum 1000 ml, fără clor</w:t>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1500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t>Soluție de spălare neconcentrată</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1</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set</w:t>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color w:val="000000"/>
                <w:sz w:val="22"/>
                <w:szCs w:val="22"/>
                <w:lang w:val="en-US"/>
              </w:rPr>
            </w:pPr>
            <w:r>
              <w:rPr>
                <w:color w:val="000000"/>
                <w:sz w:val="22"/>
                <w:szCs w:val="22"/>
                <w:lang w:val="en-US"/>
              </w:rPr>
              <w:t xml:space="preserve">flacon cu volum 1000 ml </w:t>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1100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t>Cablu manipulator</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1</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buc</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sz w:val="22"/>
                <w:szCs w:val="22"/>
                <w:lang w:val="ro-RO"/>
              </w:rPr>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3800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t>Ventilator la placa procesorului</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2</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buc</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sz w:val="22"/>
                <w:szCs w:val="22"/>
                <w:lang w:val="ro-RO"/>
              </w:rPr>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900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t>Pneomohidro cilindri p/u capac</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t>1</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set</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sz w:val="22"/>
                <w:szCs w:val="22"/>
                <w:lang w:val="ro-RO"/>
              </w:rPr>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2500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t>Ac p/u dozarea reacticelor</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t>1</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buc</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7000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t>Lampă fotometrică A 15</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2</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buc</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sz w:val="22"/>
                <w:szCs w:val="22"/>
                <w:lang w:val="ro-RO"/>
              </w:rPr>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1100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t>Capac p/u canistra de spălare A 15</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t>2</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buc</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sz w:val="22"/>
                <w:szCs w:val="22"/>
                <w:lang w:val="ro-RO"/>
              </w:rPr>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300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Garnitură p/u pompa de dozare</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1</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buc</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sz w:val="22"/>
                <w:szCs w:val="22"/>
                <w:lang w:val="ro-RO"/>
              </w:rPr>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1500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Set de rulmenți p/u manipulator</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1</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set</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sz w:val="22"/>
                <w:szCs w:val="22"/>
                <w:lang w:val="ro-RO"/>
              </w:rPr>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5000</w:t>
            </w:r>
          </w:p>
        </w:tc>
      </w:tr>
      <w:tr>
        <w:trPr>
          <w:trHeight w:val="397" w:hRule="atLeast"/>
        </w:trPr>
        <w:tc>
          <w:tcPr>
            <w:tcW w:w="709" w:type="dxa"/>
            <w:tcBorders>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6" w:type="dxa"/>
            <w:tcBorders>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t>Cuve pentru A 15</w:t>
            </w:r>
          </w:p>
        </w:tc>
        <w:tc>
          <w:tcPr>
            <w:tcW w:w="852" w:type="dxa"/>
            <w:tcBorders>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8000</w:t>
            </w:r>
          </w:p>
        </w:tc>
        <w:tc>
          <w:tcPr>
            <w:tcW w:w="709" w:type="dxa"/>
            <w:tcBorders>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buc</w:t>
            </w:r>
          </w:p>
        </w:tc>
        <w:tc>
          <w:tcPr>
            <w:tcW w:w="2837" w:type="dxa"/>
            <w:tcBorders>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sz w:val="22"/>
                <w:szCs w:val="22"/>
                <w:lang w:val="ro-RO"/>
              </w:rPr>
            </w:r>
          </w:p>
        </w:tc>
        <w:tc>
          <w:tcPr>
            <w:tcW w:w="1401" w:type="dxa"/>
            <w:tcBorders>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2000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MD"/>
              </w:rPr>
            </w:pPr>
            <w:r>
              <w:rPr>
                <w:sz w:val="22"/>
                <w:szCs w:val="22"/>
                <w:lang w:val="ro-MD"/>
              </w:rPr>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b/>
                <w:sz w:val="22"/>
                <w:szCs w:val="22"/>
                <w:lang w:val="ro-RO"/>
              </w:rPr>
            </w:pPr>
            <w:r>
              <w:rPr>
                <w:b/>
                <w:sz w:val="22"/>
                <w:szCs w:val="22"/>
                <w:lang w:val="ro-RO"/>
              </w:rPr>
              <w:t xml:space="preserve">Total pe lot </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sz w:val="22"/>
                <w:szCs w:val="22"/>
                <w:lang w:val="ro-RO"/>
              </w:rPr>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b/>
                <w:sz w:val="22"/>
                <w:szCs w:val="22"/>
                <w:lang w:val="ro-RO"/>
              </w:rPr>
            </w:pPr>
            <w:r>
              <w:rPr>
                <w:b/>
                <w:sz w:val="22"/>
                <w:szCs w:val="22"/>
                <w:lang w:val="ro-RO"/>
              </w:rPr>
              <w:t>512460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t>2</w:t>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MD"/>
              </w:rPr>
            </w:pPr>
            <w:r>
              <w:rPr>
                <w:sz w:val="22"/>
                <w:szCs w:val="22"/>
                <w:lang w:val="ro-MD"/>
              </w:rPr>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b/>
                <w:sz w:val="22"/>
                <w:szCs w:val="22"/>
                <w:lang w:val="ro-RO"/>
              </w:rPr>
            </w:pPr>
            <w:r>
              <w:rPr>
                <w:b/>
                <w:sz w:val="22"/>
                <w:szCs w:val="22"/>
                <w:lang w:val="ro-RO"/>
              </w:rPr>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b/>
                <w:sz w:val="22"/>
                <w:szCs w:val="22"/>
                <w:lang w:val="ro-RO"/>
              </w:rPr>
            </w:pPr>
            <w:r>
              <w:rPr>
                <w:b/>
                <w:sz w:val="22"/>
                <w:szCs w:val="22"/>
                <w:lang w:val="ro-RO"/>
              </w:rPr>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b/>
                <w:color w:val="000000"/>
                <w:sz w:val="22"/>
                <w:szCs w:val="22"/>
                <w:lang w:val="ro-RO"/>
              </w:rPr>
            </w:pPr>
            <w:r>
              <w:rPr>
                <w:b/>
                <w:color w:val="000000"/>
                <w:sz w:val="22"/>
                <w:szCs w:val="22"/>
                <w:lang w:val="ro-RO"/>
              </w:rPr>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b/>
                <w:sz w:val="22"/>
                <w:szCs w:val="22"/>
                <w:lang w:val="ro-RO"/>
              </w:rPr>
            </w:pPr>
            <w:r>
              <w:rPr>
                <w:b/>
                <w:sz w:val="22"/>
                <w:szCs w:val="22"/>
                <w:lang w:val="ro-RO"/>
              </w:rPr>
              <w:t>Reactive pentru Mindray BC 30, sistem închis</w:t>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b/>
                <w:sz w:val="22"/>
                <w:szCs w:val="22"/>
                <w:lang w:val="ro-RO"/>
              </w:rPr>
            </w:pPr>
            <w:r>
              <w:rPr>
                <w:b/>
                <w:sz w:val="22"/>
                <w:szCs w:val="22"/>
                <w:lang w:val="ro-RO"/>
              </w:rPr>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en-US"/>
              </w:rPr>
            </w:pPr>
            <w:r>
              <w:rPr>
                <w:lang w:val="en-US"/>
              </w:rPr>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MD"/>
              </w:rPr>
            </w:pPr>
            <w:r>
              <w:rPr>
                <w:sz w:val="22"/>
                <w:szCs w:val="22"/>
                <w:lang w:val="ro-MD"/>
              </w:rPr>
              <w:t>Material de control CC BC 3D</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MD"/>
              </w:rPr>
            </w:pPr>
            <w:r>
              <w:rPr>
                <w:sz w:val="22"/>
                <w:szCs w:val="22"/>
                <w:lang w:val="ro-MD"/>
              </w:rPr>
              <w:t>5</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color w:val="000000"/>
                <w:sz w:val="22"/>
                <w:szCs w:val="22"/>
                <w:lang w:val="ro-RO"/>
              </w:rPr>
            </w:pPr>
            <w:r>
              <w:rPr>
                <w:color w:val="000000"/>
                <w:sz w:val="22"/>
                <w:szCs w:val="22"/>
                <w:lang w:val="ro-RO"/>
              </w:rPr>
              <w:t>set</w:t>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12500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 xml:space="preserve">Diluent </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24</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color w:val="000000"/>
                <w:sz w:val="22"/>
                <w:szCs w:val="22"/>
                <w:lang w:val="ro-RO"/>
              </w:rPr>
            </w:pPr>
            <w:r>
              <w:rPr>
                <w:color w:val="000000"/>
                <w:sz w:val="22"/>
                <w:szCs w:val="22"/>
                <w:lang w:val="ro-RO"/>
              </w:rPr>
              <w:t>buc</w:t>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Fl. 20 l</w:t>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23700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Soluție Lyse</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1</w:t>
            </w:r>
            <w:r>
              <w:rPr>
                <w:sz w:val="22"/>
                <w:szCs w:val="22"/>
                <w:lang w:val="ro-RO"/>
              </w:rPr>
              <w:t>2</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color w:val="000000"/>
                <w:sz w:val="22"/>
                <w:szCs w:val="22"/>
                <w:lang w:val="ro-RO"/>
              </w:rPr>
            </w:pPr>
            <w:r>
              <w:rPr>
                <w:color w:val="000000"/>
                <w:sz w:val="22"/>
                <w:szCs w:val="22"/>
                <w:lang w:val="ro-RO"/>
              </w:rPr>
              <w:t>buc</w:t>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Fl. 500 ml</w:t>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16200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MD"/>
              </w:rPr>
            </w:pPr>
            <w:r>
              <w:rPr>
                <w:sz w:val="22"/>
                <w:szCs w:val="22"/>
                <w:lang w:val="ro-MD"/>
              </w:rPr>
              <w:t xml:space="preserve">33100000-1 </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Hârtie termo 5 cm</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80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color w:val="000000"/>
                <w:sz w:val="22"/>
                <w:szCs w:val="22"/>
                <w:lang w:val="ro-RO"/>
              </w:rPr>
            </w:pPr>
            <w:r>
              <w:rPr>
                <w:color w:val="000000"/>
                <w:sz w:val="22"/>
                <w:szCs w:val="22"/>
                <w:lang w:val="ro-RO"/>
              </w:rPr>
              <w:t>buc</w:t>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1800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Probe Cleanser</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25</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color w:val="000000"/>
                <w:sz w:val="22"/>
                <w:szCs w:val="22"/>
                <w:lang w:val="ro-RO"/>
              </w:rPr>
            </w:pPr>
            <w:r>
              <w:rPr>
                <w:color w:val="000000"/>
                <w:sz w:val="22"/>
                <w:szCs w:val="22"/>
                <w:lang w:val="ro-RO"/>
              </w:rPr>
              <w:t>buc</w:t>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Fl. 50 ml</w:t>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10800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RO"/>
              </w:rPr>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rFonts w:eastAsia="TimesNewRomanPSMT"/>
                <w:b/>
                <w:sz w:val="22"/>
                <w:szCs w:val="22"/>
                <w:lang w:val="ro-RO"/>
              </w:rPr>
            </w:pPr>
            <w:r>
              <w:rPr>
                <w:rFonts w:eastAsia="TimesNewRomanPSMT"/>
                <w:b/>
                <w:sz w:val="22"/>
                <w:szCs w:val="22"/>
                <w:lang w:val="ro-RO"/>
              </w:rPr>
              <w:t xml:space="preserve">Total pe lot </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rFonts w:eastAsia="TimesNewRomanPSMT"/>
                <w:sz w:val="22"/>
                <w:szCs w:val="22"/>
                <w:lang w:val="ro-RO"/>
              </w:rPr>
            </w:pPr>
            <w:r>
              <w:rPr>
                <w:rFonts w:eastAsia="TimesNewRomanPSMT"/>
                <w:sz w:val="22"/>
                <w:szCs w:val="22"/>
                <w:lang w:val="ro-RO"/>
              </w:rPr>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rFonts w:eastAsia="TimesNewRomanPSMT"/>
                <w:sz w:val="22"/>
                <w:szCs w:val="22"/>
                <w:lang w:val="ro-RO"/>
              </w:rPr>
            </w:pPr>
            <w:r>
              <w:rPr>
                <w:rFonts w:eastAsia="TimesNewRomanPSMT"/>
                <w:sz w:val="22"/>
                <w:szCs w:val="22"/>
                <w:lang w:val="ro-RO"/>
              </w:rPr>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rFonts w:eastAsia="TimesNewRomanPSMT"/>
                <w:sz w:val="22"/>
                <w:szCs w:val="22"/>
                <w:lang w:val="ro-RO"/>
              </w:rPr>
            </w:pPr>
            <w:r>
              <w:rPr>
                <w:rFonts w:eastAsia="TimesNewRomanPSMT"/>
                <w:sz w:val="22"/>
                <w:szCs w:val="22"/>
                <w:lang w:val="ro-RO"/>
              </w:rPr>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b/>
                <w:sz w:val="22"/>
                <w:szCs w:val="22"/>
                <w:lang w:val="ro-RO"/>
              </w:rPr>
            </w:pPr>
            <w:r>
              <w:rPr>
                <w:b/>
                <w:sz w:val="22"/>
                <w:szCs w:val="22"/>
                <w:lang w:val="ro-RO"/>
              </w:rPr>
              <w:t>65000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t>3</w:t>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RO"/>
              </w:rPr>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b/>
                <w:sz w:val="22"/>
                <w:szCs w:val="22"/>
                <w:lang w:val="ro-RO"/>
              </w:rPr>
            </w:pPr>
            <w:r>
              <w:rPr>
                <w:b/>
                <w:sz w:val="22"/>
                <w:szCs w:val="22"/>
                <w:lang w:val="ro-RO"/>
              </w:rPr>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b/>
                <w:sz w:val="22"/>
                <w:szCs w:val="22"/>
                <w:lang w:val="ro-RO"/>
              </w:rPr>
            </w:pPr>
            <w:r>
              <w:rPr>
                <w:b/>
                <w:sz w:val="22"/>
                <w:szCs w:val="22"/>
                <w:lang w:val="ro-RO"/>
              </w:rPr>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b/>
                <w:sz w:val="22"/>
                <w:szCs w:val="22"/>
                <w:lang w:val="ro-RO"/>
              </w:rPr>
            </w:pPr>
            <w:r>
              <w:rPr>
                <w:b/>
                <w:sz w:val="22"/>
                <w:szCs w:val="22"/>
                <w:lang w:val="ro-RO"/>
              </w:rPr>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b/>
                <w:sz w:val="22"/>
                <w:szCs w:val="22"/>
                <w:lang w:val="ro-RO"/>
              </w:rPr>
            </w:pPr>
            <w:r>
              <w:rPr>
                <w:b/>
                <w:sz w:val="22"/>
                <w:szCs w:val="22"/>
                <w:lang w:val="ro-RO"/>
              </w:rPr>
              <w:t>Reactivi și consumabile p/u Reader 300, sistem închis</w:t>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rFonts w:eastAsia="TimesNewRomanPSMT"/>
                <w:sz w:val="22"/>
                <w:szCs w:val="22"/>
                <w:lang w:val="ro-RO"/>
              </w:rPr>
            </w:pPr>
            <w:r>
              <w:rPr>
                <w:rFonts w:eastAsia="TimesNewRomanPSMT"/>
                <w:sz w:val="22"/>
                <w:szCs w:val="22"/>
                <w:lang w:val="ro-RO"/>
              </w:rPr>
              <w:t>Teste p/u urină 11 indice</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rFonts w:eastAsia="TimesNewRomanPSMT"/>
                <w:sz w:val="22"/>
                <w:szCs w:val="22"/>
                <w:lang w:val="ro-RO"/>
              </w:rPr>
            </w:pPr>
            <w:r>
              <w:rPr>
                <w:rFonts w:eastAsia="TimesNewRomanPSMT"/>
                <w:sz w:val="22"/>
                <w:szCs w:val="22"/>
                <w:lang w:val="ro-RO"/>
              </w:rPr>
              <w:t>80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rFonts w:eastAsia="TimesNewRomanPSMT"/>
                <w:sz w:val="22"/>
                <w:szCs w:val="22"/>
                <w:lang w:val="ro-RO"/>
              </w:rPr>
            </w:pPr>
            <w:r>
              <w:rPr>
                <w:rFonts w:eastAsia="TimesNewRomanPSMT"/>
                <w:sz w:val="22"/>
                <w:szCs w:val="22"/>
                <w:lang w:val="ro-RO"/>
              </w:rPr>
              <w:t>set</w:t>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rFonts w:eastAsia="TimesNewRomanPSMT"/>
                <w:sz w:val="22"/>
                <w:szCs w:val="22"/>
                <w:lang w:val="ro-RO"/>
              </w:rPr>
            </w:pPr>
            <w:r>
              <w:rPr>
                <w:rFonts w:eastAsia="TimesNewRomanPSMT"/>
                <w:sz w:val="22"/>
                <w:szCs w:val="22"/>
                <w:lang w:val="ro-RO"/>
              </w:rPr>
              <w:t>Set 100 teste</w:t>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21600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rFonts w:eastAsia="TimesNewRomanPSMT"/>
                <w:sz w:val="22"/>
                <w:szCs w:val="22"/>
                <w:lang w:val="ro-RO"/>
              </w:rPr>
            </w:pPr>
            <w:r>
              <w:rPr>
                <w:rFonts w:eastAsia="TimesNewRomanPSMT"/>
                <w:sz w:val="22"/>
                <w:szCs w:val="22"/>
                <w:lang w:val="ro-RO"/>
              </w:rPr>
              <w:t>Teste p/u urină 3 indice (pH,glucoza,proteine)</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rFonts w:eastAsia="TimesNewRomanPSMT"/>
                <w:sz w:val="22"/>
                <w:szCs w:val="22"/>
                <w:lang w:val="ro-RO"/>
              </w:rPr>
            </w:pPr>
            <w:r>
              <w:rPr>
                <w:rFonts w:eastAsia="TimesNewRomanPSMT"/>
                <w:sz w:val="22"/>
                <w:szCs w:val="22"/>
                <w:lang w:val="ro-RO"/>
              </w:rPr>
              <w:t>35</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rFonts w:eastAsia="TimesNewRomanPSMT"/>
                <w:sz w:val="22"/>
                <w:szCs w:val="22"/>
                <w:lang w:val="ro-RO"/>
              </w:rPr>
            </w:pPr>
            <w:r>
              <w:rPr>
                <w:rFonts w:eastAsia="TimesNewRomanPSMT"/>
                <w:sz w:val="22"/>
                <w:szCs w:val="22"/>
                <w:lang w:val="ro-RO"/>
              </w:rPr>
              <w:t>set</w:t>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rFonts w:eastAsia="TimesNewRomanPSMT"/>
                <w:sz w:val="22"/>
                <w:szCs w:val="22"/>
                <w:lang w:val="ro-RO"/>
              </w:rPr>
            </w:pPr>
            <w:r>
              <w:rPr>
                <w:rFonts w:eastAsia="TimesNewRomanPSMT"/>
                <w:sz w:val="22"/>
                <w:szCs w:val="22"/>
                <w:lang w:val="ro-RO"/>
              </w:rPr>
              <w:t xml:space="preserve">Set 100 teste  </w:t>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6700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MD"/>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rFonts w:eastAsia="TimesNewRomanPSMT"/>
                <w:sz w:val="22"/>
                <w:szCs w:val="22"/>
                <w:lang w:val="ro-RO"/>
              </w:rPr>
            </w:pPr>
            <w:r>
              <w:rPr>
                <w:rFonts w:eastAsia="TimesNewRomanPSMT"/>
                <w:sz w:val="22"/>
                <w:szCs w:val="22"/>
                <w:lang w:val="ro-RO"/>
              </w:rPr>
              <w:t>Material de control p/u urină cu 2 nivele cunoscute (glucoza,proteine)</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rFonts w:eastAsia="TimesNewRomanPSMT"/>
                <w:sz w:val="22"/>
                <w:szCs w:val="22"/>
                <w:lang w:val="ro-RO"/>
              </w:rPr>
            </w:pPr>
            <w:r>
              <w:rPr>
                <w:rFonts w:eastAsia="TimesNewRomanPSMT"/>
                <w:sz w:val="22"/>
                <w:szCs w:val="22"/>
                <w:lang w:val="ro-RO"/>
              </w:rPr>
              <w:t>80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rFonts w:eastAsia="TimesNewRomanPSMT"/>
                <w:sz w:val="22"/>
                <w:szCs w:val="22"/>
                <w:lang w:val="ro-RO"/>
              </w:rPr>
            </w:pPr>
            <w:r>
              <w:rPr>
                <w:rFonts w:eastAsia="TimesNewRomanPSMT"/>
                <w:sz w:val="22"/>
                <w:szCs w:val="22"/>
                <w:lang w:val="ro-RO"/>
              </w:rPr>
              <w:t>ml</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rFonts w:eastAsia="TimesNewRomanPSMT"/>
                <w:sz w:val="22"/>
                <w:szCs w:val="22"/>
                <w:lang w:val="ro-RO"/>
              </w:rPr>
              <w:t xml:space="preserve">Set  </w:t>
            </w:r>
            <w:r>
              <w:rPr>
                <w:rFonts w:eastAsia="TimesNewRomanPSMT"/>
                <w:sz w:val="22"/>
                <w:szCs w:val="22"/>
                <w:lang w:val="ro-RO"/>
              </w:rPr>
              <w:t>5</w:t>
            </w:r>
            <w:r>
              <w:rPr>
                <w:rFonts w:eastAsia="TimesNewRomanPSMT"/>
                <w:sz w:val="22"/>
                <w:szCs w:val="22"/>
                <w:lang w:val="ro-RO"/>
              </w:rPr>
              <w:t xml:space="preserve"> ml, </w:t>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5500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rFonts w:eastAsia="TimesNewRomanPSMT"/>
                <w:sz w:val="22"/>
                <w:szCs w:val="22"/>
                <w:lang w:val="ro-RO"/>
              </w:rPr>
            </w:pPr>
            <w:r>
              <w:rPr>
                <w:rFonts w:eastAsia="TimesNewRomanPSMT"/>
                <w:sz w:val="22"/>
                <w:szCs w:val="22"/>
                <w:lang w:val="ro-RO"/>
              </w:rPr>
              <w:t>Hârtie termo L 5 cm</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rFonts w:eastAsia="TimesNewRomanPSMT"/>
                <w:sz w:val="22"/>
                <w:szCs w:val="22"/>
                <w:lang w:val="ro-RO"/>
              </w:rPr>
            </w:pPr>
            <w:r>
              <w:rPr>
                <w:rFonts w:eastAsia="TimesNewRomanPSMT"/>
                <w:sz w:val="22"/>
                <w:szCs w:val="22"/>
                <w:lang w:val="ro-RO"/>
              </w:rPr>
              <w:t>80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rFonts w:eastAsia="TimesNewRomanPSMT"/>
                <w:sz w:val="22"/>
                <w:szCs w:val="22"/>
                <w:lang w:val="ro-RO"/>
              </w:rPr>
            </w:pPr>
            <w:r>
              <w:rPr>
                <w:rFonts w:eastAsia="TimesNewRomanPSMT"/>
                <w:sz w:val="22"/>
                <w:szCs w:val="22"/>
                <w:lang w:val="ro-RO"/>
              </w:rPr>
              <w:t>buc</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sz w:val="22"/>
                <w:szCs w:val="22"/>
                <w:lang w:val="ro-RO"/>
              </w:rPr>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3000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MD"/>
              </w:rPr>
            </w:pPr>
            <w:r>
              <w:rPr>
                <w:sz w:val="22"/>
                <w:szCs w:val="22"/>
                <w:lang w:val="ro-MD"/>
              </w:rPr>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rFonts w:eastAsia="TimesNewRomanPSMT"/>
                <w:b/>
                <w:sz w:val="22"/>
                <w:szCs w:val="22"/>
                <w:lang w:val="ro-RO"/>
              </w:rPr>
            </w:pPr>
            <w:r>
              <w:rPr>
                <w:rFonts w:eastAsia="TimesNewRomanPSMT"/>
                <w:b/>
                <w:sz w:val="22"/>
                <w:szCs w:val="22"/>
                <w:lang w:val="ro-RO"/>
              </w:rPr>
              <w:t>Total pe lot</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rFonts w:eastAsia="TimesNewRomanPSMT"/>
                <w:sz w:val="22"/>
                <w:szCs w:val="22"/>
                <w:lang w:val="ro-RO"/>
              </w:rPr>
            </w:pPr>
            <w:r>
              <w:rPr>
                <w:rFonts w:eastAsia="TimesNewRomanPSMT"/>
                <w:sz w:val="22"/>
                <w:szCs w:val="22"/>
                <w:lang w:val="ro-RO"/>
              </w:rPr>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rFonts w:eastAsia="TimesNewRomanPSMT"/>
                <w:sz w:val="22"/>
                <w:szCs w:val="22"/>
                <w:lang w:val="ro-RO"/>
              </w:rPr>
            </w:pPr>
            <w:r>
              <w:rPr>
                <w:rFonts w:eastAsia="TimesNewRomanPSMT"/>
                <w:sz w:val="22"/>
                <w:szCs w:val="22"/>
                <w:lang w:val="ro-RO"/>
              </w:rPr>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sz w:val="22"/>
                <w:szCs w:val="22"/>
                <w:lang w:val="ro-RO"/>
              </w:rPr>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b/>
                <w:sz w:val="22"/>
                <w:szCs w:val="22"/>
                <w:lang w:val="ro-RO"/>
              </w:rPr>
            </w:pPr>
            <w:r>
              <w:rPr>
                <w:b/>
                <w:sz w:val="22"/>
                <w:szCs w:val="22"/>
                <w:lang w:val="ro-RO"/>
              </w:rPr>
              <w:t>36800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t>4</w:t>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RO"/>
              </w:rPr>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rFonts w:eastAsia="TimesNewRomanPSMT"/>
                <w:b/>
                <w:sz w:val="22"/>
                <w:szCs w:val="22"/>
                <w:lang w:val="ro-RO"/>
              </w:rPr>
            </w:pPr>
            <w:r>
              <w:rPr>
                <w:rFonts w:eastAsia="TimesNewRomanPSMT"/>
                <w:b/>
                <w:sz w:val="22"/>
                <w:szCs w:val="22"/>
                <w:lang w:val="ro-RO"/>
              </w:rPr>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rFonts w:eastAsia="TimesNewRomanPSMT"/>
                <w:b/>
                <w:sz w:val="22"/>
                <w:szCs w:val="22"/>
                <w:lang w:val="ro-RO"/>
              </w:rPr>
            </w:pPr>
            <w:r>
              <w:rPr>
                <w:rFonts w:eastAsia="TimesNewRomanPSMT"/>
                <w:b/>
                <w:sz w:val="22"/>
                <w:szCs w:val="22"/>
                <w:lang w:val="ro-RO"/>
              </w:rPr>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rFonts w:eastAsia="TimesNewRomanPSMT"/>
                <w:b/>
                <w:sz w:val="22"/>
                <w:szCs w:val="22"/>
                <w:lang w:val="ro-RO"/>
              </w:rPr>
            </w:pPr>
            <w:r>
              <w:rPr>
                <w:rFonts w:eastAsia="TimesNewRomanPSMT"/>
                <w:b/>
                <w:sz w:val="22"/>
                <w:szCs w:val="22"/>
                <w:lang w:val="ro-RO"/>
              </w:rPr>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rFonts w:eastAsia="TimesNewRomanPSMT"/>
                <w:b/>
                <w:sz w:val="22"/>
                <w:szCs w:val="22"/>
                <w:lang w:val="ro-RO"/>
              </w:rPr>
            </w:pPr>
            <w:r>
              <w:rPr>
                <w:b/>
                <w:sz w:val="22"/>
                <w:szCs w:val="22"/>
                <w:lang w:val="ro-RO"/>
              </w:rPr>
              <w:t>Reactivi și consumabile Coatron X, sistem închis</w:t>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 xml:space="preserve">Plasma de control 4 parametri patologice  </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12</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color w:val="000000"/>
                <w:sz w:val="22"/>
                <w:szCs w:val="22"/>
                <w:lang w:val="ro-RO"/>
              </w:rPr>
            </w:pPr>
            <w:r>
              <w:rPr>
                <w:color w:val="000000"/>
                <w:sz w:val="22"/>
                <w:szCs w:val="22"/>
                <w:lang w:val="ro-RO"/>
              </w:rPr>
              <w:t>ml</w:t>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 xml:space="preserve">Fl 1 ml </w:t>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1800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 xml:space="preserve">Plasma de control 4 parametri normal </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12</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color w:val="000000"/>
                <w:sz w:val="22"/>
                <w:szCs w:val="22"/>
                <w:lang w:val="ro-RO"/>
              </w:rPr>
            </w:pPr>
            <w:r>
              <w:rPr>
                <w:color w:val="000000"/>
                <w:sz w:val="22"/>
                <w:szCs w:val="22"/>
                <w:lang w:val="ro-RO"/>
              </w:rPr>
              <w:t>ml</w:t>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 xml:space="preserve">Fl 1 ml </w:t>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1800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Protrombin leofilizat</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color w:val="000000"/>
                <w:sz w:val="22"/>
                <w:szCs w:val="22"/>
                <w:lang w:val="ro-RO"/>
              </w:rPr>
            </w:pPr>
            <w:r>
              <w:rPr>
                <w:color w:val="000000"/>
                <w:sz w:val="22"/>
                <w:szCs w:val="22"/>
                <w:lang w:val="ro-RO"/>
              </w:rPr>
              <w:t>10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color w:val="000000"/>
                <w:sz w:val="22"/>
                <w:szCs w:val="22"/>
                <w:lang w:val="ro-RO"/>
              </w:rPr>
            </w:pPr>
            <w:r>
              <w:rPr>
                <w:color w:val="000000"/>
                <w:sz w:val="22"/>
                <w:szCs w:val="22"/>
                <w:lang w:val="ro-RO"/>
              </w:rPr>
              <w:t>set</w:t>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color w:val="000000"/>
                <w:sz w:val="22"/>
                <w:szCs w:val="22"/>
                <w:lang w:val="ro-RO"/>
              </w:rPr>
            </w:pPr>
            <w:r>
              <w:rPr>
                <w:color w:val="000000"/>
                <w:sz w:val="22"/>
                <w:szCs w:val="22"/>
                <w:lang w:val="ro-RO"/>
              </w:rPr>
              <w:t>10flx</w:t>
            </w:r>
            <w:r>
              <w:rPr>
                <w:color w:val="000000"/>
                <w:sz w:val="22"/>
                <w:szCs w:val="22"/>
                <w:lang w:val="ro-RO"/>
              </w:rPr>
              <w:t>2</w:t>
            </w:r>
            <w:r>
              <w:rPr>
                <w:color w:val="000000"/>
                <w:sz w:val="22"/>
                <w:szCs w:val="22"/>
                <w:lang w:val="ro-RO"/>
              </w:rPr>
              <w:t xml:space="preserve">ml </w:t>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12500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 xml:space="preserve">Fibrinogen </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6</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color w:val="000000"/>
                <w:sz w:val="22"/>
                <w:szCs w:val="22"/>
                <w:lang w:val="ro-RO"/>
              </w:rPr>
            </w:pPr>
            <w:r>
              <w:rPr>
                <w:color w:val="000000"/>
                <w:sz w:val="22"/>
                <w:szCs w:val="22"/>
                <w:lang w:val="ro-RO"/>
              </w:rPr>
              <w:t>set</w:t>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jc w:val="left"/>
              <w:rPr>
                <w:sz w:val="22"/>
                <w:szCs w:val="22"/>
                <w:lang w:val="ro-RO"/>
              </w:rPr>
            </w:pPr>
            <w:r>
              <w:rPr>
                <w:sz w:val="22"/>
                <w:szCs w:val="22"/>
                <w:lang w:val="ro-RO"/>
              </w:rPr>
              <w:t>10flx</w:t>
            </w:r>
            <w:r>
              <w:rPr>
                <w:sz w:val="22"/>
                <w:szCs w:val="22"/>
                <w:lang w:val="ro-RO"/>
              </w:rPr>
              <w:t>2</w:t>
            </w:r>
            <w:r>
              <w:rPr>
                <w:sz w:val="22"/>
                <w:szCs w:val="22"/>
                <w:lang w:val="ro-RO"/>
              </w:rPr>
              <w:t xml:space="preserve">ml </w:t>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10200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MD"/>
              </w:rPr>
            </w:pPr>
            <w:r>
              <w:rPr>
                <w:sz w:val="22"/>
                <w:szCs w:val="22"/>
                <w:lang w:val="ro-MD"/>
              </w:rPr>
              <w:t xml:space="preserve">33100000-1 </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Bufer p/u  fibrinogen</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2</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color w:val="000000"/>
                <w:sz w:val="22"/>
                <w:szCs w:val="22"/>
                <w:lang w:val="ro-RO"/>
              </w:rPr>
            </w:pPr>
            <w:r>
              <w:rPr>
                <w:color w:val="000000"/>
                <w:sz w:val="22"/>
                <w:szCs w:val="22"/>
                <w:lang w:val="ro-RO"/>
              </w:rPr>
              <w:t>set</w:t>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jc w:val="left"/>
              <w:rPr>
                <w:sz w:val="22"/>
                <w:szCs w:val="22"/>
                <w:lang w:val="ro-RO"/>
              </w:rPr>
            </w:pPr>
            <w:r>
              <w:rPr>
                <w:sz w:val="22"/>
                <w:szCs w:val="22"/>
                <w:lang w:val="ro-RO"/>
              </w:rPr>
              <w:t>1flx125 ml</w:t>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800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 xml:space="preserve">Cuvă p/u coagulometru </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5</w:t>
            </w:r>
            <w:r>
              <w:rPr>
                <w:sz w:val="22"/>
                <w:szCs w:val="22"/>
                <w:lang w:val="ro-RO"/>
              </w:rPr>
              <w:t>000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color w:val="000000"/>
                <w:sz w:val="22"/>
                <w:szCs w:val="22"/>
                <w:lang w:val="ro-RO"/>
              </w:rPr>
            </w:pPr>
            <w:r>
              <w:rPr>
                <w:color w:val="000000"/>
                <w:sz w:val="22"/>
                <w:szCs w:val="22"/>
                <w:lang w:val="ro-RO"/>
              </w:rPr>
              <w:t>buc</w:t>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7500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RO"/>
              </w:rPr>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b/>
                <w:sz w:val="22"/>
                <w:szCs w:val="22"/>
                <w:lang w:val="ro-RO"/>
              </w:rPr>
            </w:pPr>
            <w:r>
              <w:rPr>
                <w:b/>
                <w:sz w:val="22"/>
                <w:szCs w:val="22"/>
                <w:lang w:val="ro-RO"/>
              </w:rPr>
              <w:t>Total pe lot</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RO"/>
              </w:rPr>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b/>
                <w:sz w:val="22"/>
                <w:szCs w:val="22"/>
                <w:lang w:val="ro-RO"/>
              </w:rPr>
            </w:pPr>
            <w:r>
              <w:rPr>
                <w:b/>
                <w:sz w:val="22"/>
                <w:szCs w:val="22"/>
                <w:lang w:val="ro-RO"/>
              </w:rPr>
              <w:t>34600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t>5</w:t>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t>Teste p/u determinarea sângelui ocult în mase fecale</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120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test</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sz w:val="22"/>
                <w:szCs w:val="22"/>
                <w:lang w:val="ro-RO"/>
              </w:rPr>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900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t>6</w:t>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Țoliclon Anti A</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40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ml</w:t>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Fl 10 ml</w:t>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200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t>7</w:t>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MD"/>
              </w:rPr>
            </w:pPr>
            <w:r>
              <w:rPr>
                <w:sz w:val="22"/>
                <w:szCs w:val="22"/>
                <w:lang w:val="ro-MD"/>
              </w:rPr>
              <w:t xml:space="preserve">33100000-1 </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Țoliclon Anti B</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40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ml</w:t>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Fl 10 ml</w:t>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200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t>8</w:t>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 xml:space="preserve">Țoliclon  Anti D Super </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40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ml</w:t>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Fl 10 ml</w:t>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200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t>9</w:t>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ro-RO"/>
              </w:rPr>
              <w:t>Set p/u determinarea hemoglobinei în sânge, metoda Hemoglobincianidă</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4</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set</w:t>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Set: 3 fiole x0,5 ml acetoncianhidrin+ 3p.cu reagent transformic+standard 1x2ml</w:t>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600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t>10</w:t>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rFonts w:eastAsia="TimesNewRomanPSMT"/>
                <w:sz w:val="22"/>
                <w:szCs w:val="22"/>
                <w:lang w:val="ro-RO"/>
              </w:rPr>
              <w:t xml:space="preserve">Set p/u determinarea helmintozei cu soluție de îmbogăție eter și formalină și cu dispozitiv de filtrare, </w:t>
            </w:r>
            <w:r>
              <w:rPr>
                <w:rFonts w:eastAsia="TimesNewRomanPSMT"/>
                <w:sz w:val="22"/>
                <w:szCs w:val="22"/>
                <w:lang w:val="ro-RO"/>
              </w:rPr>
              <w:t>PARASET</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120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buc</w:t>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Set 40 buc</w:t>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3500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t>11</w:t>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T3, metoda Elisa, set 96 godeuri</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8</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color w:val="000000"/>
                <w:sz w:val="22"/>
                <w:szCs w:val="22"/>
                <w:lang w:val="ro-RO"/>
              </w:rPr>
            </w:pPr>
            <w:r>
              <w:rPr>
                <w:color w:val="000000"/>
                <w:sz w:val="22"/>
                <w:szCs w:val="22"/>
                <w:lang w:val="ro-RO"/>
              </w:rPr>
              <w:t>set</w:t>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5500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t>12</w:t>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T4, metoda Elisa, set 96 godeuri</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10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color w:val="000000"/>
                <w:sz w:val="22"/>
                <w:szCs w:val="22"/>
                <w:lang w:val="ro-RO"/>
              </w:rPr>
            </w:pPr>
            <w:r>
              <w:rPr>
                <w:color w:val="000000"/>
                <w:sz w:val="22"/>
                <w:szCs w:val="22"/>
                <w:lang w:val="ro-RO"/>
              </w:rPr>
              <w:t>set</w:t>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7000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t>13</w:t>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TSH, metoda Elisa, set 96 godeuri</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10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color w:val="000000"/>
                <w:sz w:val="22"/>
                <w:szCs w:val="22"/>
                <w:lang w:val="ro-RO"/>
              </w:rPr>
            </w:pPr>
            <w:r>
              <w:rPr>
                <w:color w:val="000000"/>
                <w:sz w:val="22"/>
                <w:szCs w:val="22"/>
                <w:lang w:val="ro-RO"/>
              </w:rPr>
              <w:t>set</w:t>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8100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t>14</w:t>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Ulei de imersie, fl.50 ml</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200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color w:val="000000"/>
                <w:sz w:val="22"/>
                <w:szCs w:val="22"/>
                <w:lang w:val="ro-RO"/>
              </w:rPr>
            </w:pPr>
            <w:r>
              <w:rPr>
                <w:color w:val="000000"/>
                <w:sz w:val="22"/>
                <w:szCs w:val="22"/>
                <w:lang w:val="ro-RO"/>
              </w:rPr>
              <w:t>ml</w:t>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300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t>15</w:t>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t>Citrat  Na</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0,</w:t>
            </w:r>
            <w:r>
              <w:rPr>
                <w:sz w:val="22"/>
                <w:szCs w:val="22"/>
                <w:lang w:val="fr-FR"/>
              </w:rPr>
              <w:t>2</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kg</w:t>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1400</w:t>
            </w:r>
          </w:p>
        </w:tc>
      </w:tr>
      <w:tr>
        <w:trPr>
          <w:trHeight w:val="397" w:hRule="atLeast"/>
        </w:trPr>
        <w:tc>
          <w:tcPr>
            <w:tcW w:w="709" w:type="dxa"/>
            <w:tcBorders>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t>16</w:t>
            </w:r>
          </w:p>
        </w:tc>
        <w:tc>
          <w:tcPr>
            <w:tcW w:w="1416" w:type="dxa"/>
            <w:tcBorders>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t>Eozin H</w:t>
            </w:r>
          </w:p>
        </w:tc>
        <w:tc>
          <w:tcPr>
            <w:tcW w:w="852" w:type="dxa"/>
            <w:tcBorders>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0,</w:t>
            </w:r>
            <w:r>
              <w:rPr>
                <w:sz w:val="22"/>
                <w:szCs w:val="22"/>
                <w:lang w:val="fr-FR"/>
              </w:rPr>
              <w:t>2</w:t>
            </w:r>
          </w:p>
        </w:tc>
        <w:tc>
          <w:tcPr>
            <w:tcW w:w="709" w:type="dxa"/>
            <w:tcBorders>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kg</w:t>
            </w:r>
          </w:p>
        </w:tc>
        <w:tc>
          <w:tcPr>
            <w:tcW w:w="2837" w:type="dxa"/>
            <w:tcBorders>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RO"/>
              </w:rPr>
            </w:r>
          </w:p>
        </w:tc>
        <w:tc>
          <w:tcPr>
            <w:tcW w:w="1401" w:type="dxa"/>
            <w:tcBorders>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1400</w:t>
            </w:r>
          </w:p>
        </w:tc>
      </w:tr>
      <w:tr>
        <w:trPr>
          <w:trHeight w:val="397" w:hRule="atLeast"/>
        </w:trPr>
        <w:tc>
          <w:tcPr>
            <w:tcW w:w="709" w:type="dxa"/>
            <w:tcBorders>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t>17</w:t>
            </w:r>
          </w:p>
        </w:tc>
        <w:tc>
          <w:tcPr>
            <w:tcW w:w="1416" w:type="dxa"/>
            <w:tcBorders>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lang w:val="ro-MD"/>
              </w:rPr>
              <w:t>33100000-1</w:t>
            </w:r>
          </w:p>
        </w:tc>
        <w:tc>
          <w:tcPr>
            <w:tcW w:w="2552" w:type="dxa"/>
            <w:tcBorders>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t xml:space="preserve">Azur </w:t>
            </w:r>
          </w:p>
        </w:tc>
        <w:tc>
          <w:tcPr>
            <w:tcW w:w="852" w:type="dxa"/>
            <w:tcBorders>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0,</w:t>
            </w:r>
            <w:r>
              <w:rPr>
                <w:sz w:val="22"/>
                <w:szCs w:val="22"/>
                <w:lang w:val="fr-FR"/>
              </w:rPr>
              <w:t>2</w:t>
            </w:r>
          </w:p>
        </w:tc>
        <w:tc>
          <w:tcPr>
            <w:tcW w:w="709" w:type="dxa"/>
            <w:tcBorders>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kg</w:t>
            </w:r>
          </w:p>
        </w:tc>
        <w:tc>
          <w:tcPr>
            <w:tcW w:w="2837" w:type="dxa"/>
            <w:tcBorders>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RO"/>
              </w:rPr>
            </w:r>
          </w:p>
        </w:tc>
        <w:tc>
          <w:tcPr>
            <w:tcW w:w="1401" w:type="dxa"/>
            <w:tcBorders>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2500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t>18</w:t>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t>Pipete virusologice (1ml) sterile, p/u analiza general a sângelui, ambalate ind.</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t>1500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color w:val="000000"/>
                <w:sz w:val="22"/>
                <w:szCs w:val="22"/>
                <w:lang w:val="ro-RO"/>
              </w:rPr>
            </w:pPr>
            <w:r>
              <w:rPr>
                <w:color w:val="000000"/>
                <w:sz w:val="22"/>
                <w:szCs w:val="22"/>
                <w:lang w:val="ro-RO"/>
              </w:rPr>
              <w:t>buc</w:t>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1700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t>19</w:t>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t>Eprubete Eppendorf 1,5 ml</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2</w:t>
            </w:r>
            <w:r>
              <w:rPr>
                <w:sz w:val="22"/>
                <w:szCs w:val="22"/>
                <w:lang w:val="fr-FR"/>
              </w:rPr>
              <w:t>000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buc</w:t>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300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t>20</w:t>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t>Eprubete cu port-tampon(pentru reclaj)</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t>1000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buc</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sz w:val="22"/>
                <w:szCs w:val="22"/>
                <w:lang w:val="ro-RO"/>
              </w:rPr>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650</w:t>
            </w:r>
          </w:p>
        </w:tc>
      </w:tr>
      <w:tr>
        <w:trPr>
          <w:trHeight w:val="397" w:hRule="atLeast"/>
        </w:trPr>
        <w:tc>
          <w:tcPr>
            <w:tcW w:w="709" w:type="dxa"/>
            <w:tcBorders>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t>21</w:t>
            </w:r>
          </w:p>
        </w:tc>
        <w:tc>
          <w:tcPr>
            <w:tcW w:w="1416" w:type="dxa"/>
            <w:tcBorders>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t xml:space="preserve">Eprubetă plastică </w:t>
            </w:r>
            <w:r>
              <w:rPr>
                <w:sz w:val="22"/>
                <w:szCs w:val="22"/>
                <w:lang w:val="en-US"/>
              </w:rPr>
              <w:t>conică fără capac  5 ml</w:t>
            </w:r>
          </w:p>
        </w:tc>
        <w:tc>
          <w:tcPr>
            <w:tcW w:w="852" w:type="dxa"/>
            <w:tcBorders>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8000</w:t>
            </w:r>
          </w:p>
        </w:tc>
        <w:tc>
          <w:tcPr>
            <w:tcW w:w="709" w:type="dxa"/>
            <w:tcBorders>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buc</w:t>
            </w:r>
          </w:p>
        </w:tc>
        <w:tc>
          <w:tcPr>
            <w:tcW w:w="2837" w:type="dxa"/>
            <w:tcBorders>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sz w:val="22"/>
                <w:szCs w:val="22"/>
                <w:lang w:val="ro-RO"/>
              </w:rPr>
            </w:r>
          </w:p>
        </w:tc>
        <w:tc>
          <w:tcPr>
            <w:tcW w:w="1401" w:type="dxa"/>
            <w:tcBorders>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1800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t>22</w:t>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t>Lame de sticlă 7,5x5cm sau 7,5x7,5 cm, sau 7x7xcm</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1</w:t>
            </w:r>
            <w:r>
              <w:rPr>
                <w:sz w:val="22"/>
                <w:szCs w:val="22"/>
                <w:lang w:val="fr-FR"/>
              </w:rPr>
              <w:t>000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buc</w:t>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ro-RO"/>
              </w:rPr>
            </w:pPr>
            <w:r>
              <w:rPr>
                <w:sz w:val="22"/>
                <w:szCs w:val="22"/>
                <w:lang w:val="ro-RO"/>
              </w:rPr>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10000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t>23</w:t>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t>Teste rapide p/u Helicobacter pylori în mase fecale</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200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buc</w:t>
            </w:r>
          </w:p>
        </w:tc>
        <w:tc>
          <w:tcPr>
            <w:tcW w:w="2837"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2500</w:t>
            </w:r>
          </w:p>
        </w:tc>
      </w:tr>
      <w:tr>
        <w:trPr>
          <w:trHeight w:val="397" w:hRule="atLeast"/>
        </w:trPr>
        <w:tc>
          <w:tcPr>
            <w:tcW w:w="709" w:type="dxa"/>
            <w:tcBorders>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t>24</w:t>
            </w:r>
          </w:p>
        </w:tc>
        <w:tc>
          <w:tcPr>
            <w:tcW w:w="1416" w:type="dxa"/>
            <w:tcBorders>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t>Capilare pentru COE de unică folosință</w:t>
            </w:r>
          </w:p>
        </w:tc>
        <w:tc>
          <w:tcPr>
            <w:tcW w:w="852" w:type="dxa"/>
            <w:tcBorders>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7000</w:t>
            </w:r>
          </w:p>
        </w:tc>
        <w:tc>
          <w:tcPr>
            <w:tcW w:w="709" w:type="dxa"/>
            <w:tcBorders>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buc</w:t>
            </w:r>
          </w:p>
        </w:tc>
        <w:tc>
          <w:tcPr>
            <w:tcW w:w="2837" w:type="dxa"/>
            <w:tcBorders>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r>
          </w:p>
        </w:tc>
        <w:tc>
          <w:tcPr>
            <w:tcW w:w="1401" w:type="dxa"/>
            <w:tcBorders>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2000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t>25</w:t>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t>Marcher pe sticlă</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30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buc</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sz w:val="22"/>
                <w:szCs w:val="22"/>
                <w:lang w:val="ro-RO"/>
              </w:rPr>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600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t>26</w:t>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t>Tamponașe cu alcool 70°</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t>10000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buc</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sz w:val="22"/>
                <w:szCs w:val="22"/>
                <w:lang w:val="ro-RO"/>
              </w:rPr>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900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t>27</w:t>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t>Eprubete plastic conice, fără capac, 10 ml</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6</w:t>
            </w:r>
            <w:r>
              <w:rPr>
                <w:sz w:val="22"/>
                <w:szCs w:val="22"/>
                <w:lang w:val="fr-FR"/>
              </w:rPr>
              <w:t>000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buc</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sz w:val="22"/>
                <w:szCs w:val="22"/>
                <w:lang w:val="ro-RO"/>
              </w:rPr>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3000</w:t>
            </w:r>
          </w:p>
        </w:tc>
      </w:tr>
      <w:tr>
        <w:trPr>
          <w:trHeight w:val="397" w:hRule="atLeast"/>
        </w:trPr>
        <w:tc>
          <w:tcPr>
            <w:tcW w:w="709" w:type="dxa"/>
            <w:tcBorders>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t>28</w:t>
            </w:r>
          </w:p>
        </w:tc>
        <w:tc>
          <w:tcPr>
            <w:tcW w:w="1416" w:type="dxa"/>
            <w:tcBorders>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lang w:val="ro-MD"/>
              </w:rPr>
              <w:t>33100000-1</w:t>
            </w:r>
          </w:p>
        </w:tc>
        <w:tc>
          <w:tcPr>
            <w:tcW w:w="2552" w:type="dxa"/>
            <w:tcBorders>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t>V</w:t>
            </w:r>
            <w:r>
              <w:rPr>
                <w:sz w:val="22"/>
                <w:szCs w:val="22"/>
                <w:lang w:val="en-US"/>
              </w:rPr>
              <w:t>â</w:t>
            </w:r>
            <w:r>
              <w:rPr>
                <w:sz w:val="22"/>
                <w:szCs w:val="22"/>
                <w:lang w:val="en-US"/>
              </w:rPr>
              <w:t>rf alb d 10mm, vol.5 ml</w:t>
            </w:r>
          </w:p>
        </w:tc>
        <w:tc>
          <w:tcPr>
            <w:tcW w:w="852" w:type="dxa"/>
            <w:tcBorders>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6</w:t>
            </w:r>
            <w:r>
              <w:rPr>
                <w:sz w:val="22"/>
                <w:szCs w:val="22"/>
                <w:lang w:val="fr-FR"/>
              </w:rPr>
              <w:t>00</w:t>
            </w:r>
          </w:p>
        </w:tc>
        <w:tc>
          <w:tcPr>
            <w:tcW w:w="709" w:type="dxa"/>
            <w:tcBorders>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buc</w:t>
            </w:r>
          </w:p>
        </w:tc>
        <w:tc>
          <w:tcPr>
            <w:tcW w:w="2837" w:type="dxa"/>
            <w:tcBorders>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sz w:val="22"/>
                <w:szCs w:val="22"/>
                <w:lang w:val="ro-RO"/>
              </w:rPr>
            </w:r>
          </w:p>
        </w:tc>
        <w:tc>
          <w:tcPr>
            <w:tcW w:w="1401" w:type="dxa"/>
            <w:tcBorders>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300</w:t>
            </w:r>
          </w:p>
        </w:tc>
      </w:tr>
      <w:tr>
        <w:trPr>
          <w:trHeight w:val="397" w:hRule="atLeast"/>
        </w:trPr>
        <w:tc>
          <w:tcPr>
            <w:tcW w:w="709"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t>29</w:t>
            </w:r>
          </w:p>
        </w:tc>
        <w:tc>
          <w:tcPr>
            <w:tcW w:w="1416"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t>Eprubete p/u Stat fax 1904+</w:t>
            </w:r>
          </w:p>
        </w:tc>
        <w:tc>
          <w:tcPr>
            <w:tcW w:w="852"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t>1000</w:t>
            </w:r>
          </w:p>
        </w:tc>
        <w:tc>
          <w:tcPr>
            <w:tcW w:w="709"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buc</w:t>
            </w:r>
          </w:p>
        </w:tc>
        <w:tc>
          <w:tcPr>
            <w:tcW w:w="2837" w:type="dxa"/>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sz w:val="22"/>
                <w:szCs w:val="22"/>
                <w:lang w:val="ro-RO"/>
              </w:rPr>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300</w:t>
            </w:r>
          </w:p>
        </w:tc>
      </w:tr>
      <w:tr>
        <w:trPr>
          <w:trHeight w:val="397" w:hRule="atLeast"/>
        </w:trPr>
        <w:tc>
          <w:tcPr>
            <w:tcW w:w="709" w:type="dxa"/>
            <w:tcBorders>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t>30</w:t>
            </w:r>
          </w:p>
        </w:tc>
        <w:tc>
          <w:tcPr>
            <w:tcW w:w="1416" w:type="dxa"/>
            <w:tcBorders>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lang w:val="ro-MD"/>
              </w:rPr>
              <w:t>33100000-1</w:t>
            </w:r>
          </w:p>
        </w:tc>
        <w:tc>
          <w:tcPr>
            <w:tcW w:w="2552" w:type="dxa"/>
            <w:tcBorders>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t>Container p/u deșeuri 1 l</w:t>
            </w:r>
          </w:p>
        </w:tc>
        <w:tc>
          <w:tcPr>
            <w:tcW w:w="852" w:type="dxa"/>
            <w:tcBorders>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10</w:t>
            </w:r>
            <w:r>
              <w:rPr>
                <w:sz w:val="22"/>
                <w:szCs w:val="22"/>
                <w:lang w:val="fr-FR"/>
              </w:rPr>
              <w:t>0</w:t>
            </w:r>
          </w:p>
        </w:tc>
        <w:tc>
          <w:tcPr>
            <w:tcW w:w="709" w:type="dxa"/>
            <w:tcBorders>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buc</w:t>
            </w:r>
          </w:p>
        </w:tc>
        <w:tc>
          <w:tcPr>
            <w:tcW w:w="2837" w:type="dxa"/>
            <w:tcBorders>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sz w:val="22"/>
                <w:szCs w:val="22"/>
                <w:lang w:val="ro-RO"/>
              </w:rPr>
            </w:r>
          </w:p>
        </w:tc>
        <w:tc>
          <w:tcPr>
            <w:tcW w:w="1401" w:type="dxa"/>
            <w:tcBorders>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1200</w:t>
            </w:r>
          </w:p>
        </w:tc>
      </w:tr>
      <w:tr>
        <w:trPr>
          <w:trHeight w:val="397" w:hRule="atLeast"/>
        </w:trPr>
        <w:tc>
          <w:tcPr>
            <w:tcW w:w="709" w:type="dxa"/>
            <w:tcBorders>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t>31</w:t>
            </w:r>
          </w:p>
        </w:tc>
        <w:tc>
          <w:tcPr>
            <w:tcW w:w="1416" w:type="dxa"/>
            <w:tcBorders>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t>Pipete Pancenko</w:t>
            </w:r>
          </w:p>
        </w:tc>
        <w:tc>
          <w:tcPr>
            <w:tcW w:w="852" w:type="dxa"/>
            <w:tcBorders>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1</w:t>
            </w:r>
            <w:r>
              <w:rPr>
                <w:sz w:val="22"/>
                <w:szCs w:val="22"/>
                <w:lang w:val="fr-FR"/>
              </w:rPr>
              <w:t>00</w:t>
            </w:r>
          </w:p>
        </w:tc>
        <w:tc>
          <w:tcPr>
            <w:tcW w:w="709" w:type="dxa"/>
            <w:tcBorders>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buc</w:t>
            </w:r>
          </w:p>
        </w:tc>
        <w:tc>
          <w:tcPr>
            <w:tcW w:w="2837" w:type="dxa"/>
            <w:tcBorders>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sz w:val="22"/>
                <w:szCs w:val="22"/>
                <w:lang w:val="ro-RO"/>
              </w:rPr>
            </w:r>
          </w:p>
        </w:tc>
        <w:tc>
          <w:tcPr>
            <w:tcW w:w="1401" w:type="dxa"/>
            <w:tcBorders>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600</w:t>
            </w:r>
          </w:p>
        </w:tc>
      </w:tr>
      <w:tr>
        <w:trPr>
          <w:trHeight w:val="397" w:hRule="atLeast"/>
        </w:trPr>
        <w:tc>
          <w:tcPr>
            <w:tcW w:w="709" w:type="dxa"/>
            <w:tcBorders>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t>32</w:t>
            </w:r>
          </w:p>
        </w:tc>
        <w:tc>
          <w:tcPr>
            <w:tcW w:w="1416" w:type="dxa"/>
            <w:tcBorders>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lang w:val="ro-MD"/>
              </w:rPr>
              <w:t>33100000-1</w:t>
            </w:r>
          </w:p>
        </w:tc>
        <w:tc>
          <w:tcPr>
            <w:tcW w:w="2552" w:type="dxa"/>
            <w:tcBorders>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t>Eprubete cu 3,8% citart de Na, volum 2,5 ml</w:t>
            </w:r>
          </w:p>
        </w:tc>
        <w:tc>
          <w:tcPr>
            <w:tcW w:w="852" w:type="dxa"/>
            <w:tcBorders>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1</w:t>
            </w:r>
            <w:r>
              <w:rPr>
                <w:sz w:val="22"/>
                <w:szCs w:val="22"/>
                <w:lang w:val="fr-FR"/>
              </w:rPr>
              <w:t>5</w:t>
            </w:r>
            <w:r>
              <w:rPr>
                <w:sz w:val="22"/>
                <w:szCs w:val="22"/>
                <w:lang w:val="fr-FR"/>
              </w:rPr>
              <w:t>00</w:t>
            </w:r>
          </w:p>
        </w:tc>
        <w:tc>
          <w:tcPr>
            <w:tcW w:w="709" w:type="dxa"/>
            <w:tcBorders>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buc</w:t>
            </w:r>
          </w:p>
        </w:tc>
        <w:tc>
          <w:tcPr>
            <w:tcW w:w="2837" w:type="dxa"/>
            <w:tcBorders>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sz w:val="22"/>
                <w:szCs w:val="22"/>
                <w:lang w:val="ro-RO"/>
              </w:rPr>
            </w:r>
          </w:p>
        </w:tc>
        <w:tc>
          <w:tcPr>
            <w:tcW w:w="1401" w:type="dxa"/>
            <w:tcBorders>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900</w:t>
            </w:r>
          </w:p>
        </w:tc>
      </w:tr>
      <w:tr>
        <w:trPr>
          <w:trHeight w:val="397" w:hRule="atLeast"/>
        </w:trPr>
        <w:tc>
          <w:tcPr>
            <w:tcW w:w="709" w:type="dxa"/>
            <w:tcBorders>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t>33</w:t>
            </w:r>
          </w:p>
        </w:tc>
        <w:tc>
          <w:tcPr>
            <w:tcW w:w="1416" w:type="dxa"/>
            <w:tcBorders>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lang w:val="ro-MD"/>
              </w:rPr>
              <w:t>33100000-1</w:t>
            </w:r>
          </w:p>
        </w:tc>
        <w:tc>
          <w:tcPr>
            <w:tcW w:w="2552" w:type="dxa"/>
            <w:tcBorders>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t>Stativ Pancenco p/u VSH</w:t>
            </w:r>
          </w:p>
        </w:tc>
        <w:tc>
          <w:tcPr>
            <w:tcW w:w="852" w:type="dxa"/>
            <w:tcBorders>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10</w:t>
            </w:r>
          </w:p>
        </w:tc>
        <w:tc>
          <w:tcPr>
            <w:tcW w:w="709" w:type="dxa"/>
            <w:tcBorders>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buc</w:t>
            </w:r>
          </w:p>
        </w:tc>
        <w:tc>
          <w:tcPr>
            <w:tcW w:w="2837" w:type="dxa"/>
            <w:tcBorders>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sz w:val="22"/>
                <w:szCs w:val="22"/>
                <w:lang w:val="ro-RO"/>
              </w:rPr>
            </w:r>
          </w:p>
        </w:tc>
        <w:tc>
          <w:tcPr>
            <w:tcW w:w="1401" w:type="dxa"/>
            <w:tcBorders>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700</w:t>
            </w:r>
          </w:p>
        </w:tc>
      </w:tr>
      <w:tr>
        <w:trPr>
          <w:trHeight w:val="397" w:hRule="atLeast"/>
        </w:trPr>
        <w:tc>
          <w:tcPr>
            <w:tcW w:w="709" w:type="dxa"/>
            <w:tcBorders>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lang w:val="ro-MD"/>
              </w:rPr>
              <w:t>34</w:t>
            </w:r>
          </w:p>
        </w:tc>
        <w:tc>
          <w:tcPr>
            <w:tcW w:w="1416" w:type="dxa"/>
            <w:tcBorders>
              <w:left w:val="single" w:sz="4" w:space="0" w:color="000000"/>
              <w:bottom w:val="single" w:sz="4" w:space="0" w:color="000000"/>
              <w:right w:val="single" w:sz="4" w:space="0" w:color="000000"/>
            </w:tcBorders>
            <w:shd w:fill="FFFF00" w:val="clear"/>
          </w:tcPr>
          <w:p>
            <w:pPr>
              <w:pStyle w:val="Normal"/>
              <w:widowControl w:val="false"/>
              <w:bidi w:val="0"/>
              <w:ind w:left="0" w:right="0" w:hanging="0"/>
              <w:jc w:val="both"/>
              <w:rPr>
                <w:sz w:val="22"/>
                <w:szCs w:val="22"/>
                <w:lang w:val="ro-RO"/>
              </w:rPr>
            </w:pPr>
            <w:r>
              <w:rPr>
                <w:sz w:val="22"/>
                <w:szCs w:val="22"/>
                <w:lang w:val="ro-MD"/>
              </w:rPr>
              <w:t>33100000-1</w:t>
            </w:r>
          </w:p>
        </w:tc>
        <w:tc>
          <w:tcPr>
            <w:tcW w:w="2552" w:type="dxa"/>
            <w:tcBorders>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en-US"/>
              </w:rPr>
            </w:pPr>
            <w:r>
              <w:rPr>
                <w:sz w:val="22"/>
                <w:szCs w:val="22"/>
                <w:lang w:val="en-US"/>
              </w:rPr>
              <w:t>Eprubeta cu K3EDTA 2,5 ml</w:t>
            </w:r>
          </w:p>
        </w:tc>
        <w:tc>
          <w:tcPr>
            <w:tcW w:w="852" w:type="dxa"/>
            <w:tcBorders>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4</w:t>
            </w:r>
            <w:r>
              <w:rPr>
                <w:sz w:val="22"/>
                <w:szCs w:val="22"/>
                <w:lang w:val="fr-FR"/>
              </w:rPr>
              <w:t>000</w:t>
            </w:r>
          </w:p>
        </w:tc>
        <w:tc>
          <w:tcPr>
            <w:tcW w:w="709" w:type="dxa"/>
            <w:tcBorders>
              <w:left w:val="single" w:sz="4" w:space="0" w:color="000000"/>
              <w:bottom w:val="single" w:sz="4" w:space="0" w:color="000000"/>
              <w:right w:val="single" w:sz="4" w:space="0" w:color="000000"/>
            </w:tcBorders>
            <w:shd w:fill="FFFF00" w:val="clear"/>
          </w:tcPr>
          <w:p>
            <w:pPr>
              <w:pStyle w:val="Normal"/>
              <w:widowControl w:val="false"/>
              <w:tabs>
                <w:tab w:val="clear" w:pos="709"/>
                <w:tab w:val="center" w:pos="4703" w:leader="none"/>
                <w:tab w:val="right" w:pos="9406" w:leader="none"/>
              </w:tabs>
              <w:bidi w:val="0"/>
              <w:jc w:val="left"/>
              <w:rPr>
                <w:sz w:val="22"/>
                <w:szCs w:val="22"/>
                <w:lang w:val="fr-FR"/>
              </w:rPr>
            </w:pPr>
            <w:r>
              <w:rPr>
                <w:sz w:val="22"/>
                <w:szCs w:val="22"/>
                <w:lang w:val="fr-FR"/>
              </w:rPr>
              <w:t>buc</w:t>
            </w:r>
          </w:p>
        </w:tc>
        <w:tc>
          <w:tcPr>
            <w:tcW w:w="2837" w:type="dxa"/>
            <w:tcBorders>
              <w:left w:val="single" w:sz="4" w:space="0" w:color="000000"/>
              <w:bottom w:val="single" w:sz="4" w:space="0" w:color="000000"/>
              <w:right w:val="single" w:sz="4" w:space="0" w:color="000000"/>
            </w:tcBorders>
            <w:shd w:fill="FFFF00" w:val="clear"/>
            <w:vAlign w:val="center"/>
          </w:tcPr>
          <w:p>
            <w:pPr>
              <w:pStyle w:val="Normal"/>
              <w:widowControl w:val="false"/>
              <w:bidi w:val="0"/>
              <w:ind w:left="0" w:right="0" w:hanging="0"/>
              <w:jc w:val="both"/>
              <w:rPr>
                <w:sz w:val="22"/>
                <w:szCs w:val="22"/>
                <w:lang w:val="ro-RO"/>
              </w:rPr>
            </w:pPr>
            <w:r>
              <w:rPr>
                <w:sz w:val="22"/>
                <w:szCs w:val="22"/>
                <w:lang w:val="ro-RO"/>
              </w:rPr>
            </w:r>
          </w:p>
        </w:tc>
        <w:tc>
          <w:tcPr>
            <w:tcW w:w="1401" w:type="dxa"/>
            <w:tcBorders>
              <w:left w:val="single" w:sz="4" w:space="0" w:color="000000"/>
              <w:bottom w:val="single" w:sz="4" w:space="0" w:color="000000"/>
              <w:right w:val="single" w:sz="4" w:space="0" w:color="000000"/>
            </w:tcBorders>
            <w:shd w:fill="FFFF00" w:val="clear"/>
          </w:tcPr>
          <w:p>
            <w:pPr>
              <w:pStyle w:val="Normal"/>
              <w:widowControl w:val="false"/>
              <w:bidi w:val="0"/>
              <w:spacing w:before="120" w:after="0"/>
              <w:jc w:val="center"/>
              <w:rPr>
                <w:sz w:val="22"/>
                <w:szCs w:val="22"/>
                <w:lang w:val="ro-RO"/>
              </w:rPr>
            </w:pPr>
            <w:r>
              <w:rPr>
                <w:sz w:val="22"/>
                <w:szCs w:val="22"/>
                <w:lang w:val="ro-RO"/>
              </w:rPr>
              <w:t>2200</w:t>
            </w:r>
          </w:p>
        </w:tc>
      </w:tr>
      <w:tr>
        <w:trPr>
          <w:trHeight w:val="397" w:hRule="atLeast"/>
        </w:trPr>
        <w:tc>
          <w:tcPr>
            <w:tcW w:w="9075" w:type="dxa"/>
            <w:gridSpan w:val="6"/>
            <w:tcBorders>
              <w:top w:val="single" w:sz="4" w:space="0" w:color="000000"/>
              <w:left w:val="single" w:sz="4" w:space="0" w:color="000000"/>
              <w:bottom w:val="single" w:sz="4" w:space="0" w:color="000000"/>
              <w:right w:val="single" w:sz="4" w:space="0" w:color="000000"/>
            </w:tcBorders>
            <w:shd w:fill="FFFF00" w:val="clear"/>
            <w:vAlign w:val="center"/>
          </w:tcPr>
          <w:p>
            <w:pPr>
              <w:pStyle w:val="Normal"/>
              <w:widowControl w:val="false"/>
              <w:bidi w:val="0"/>
              <w:spacing w:before="120" w:after="0"/>
              <w:jc w:val="center"/>
              <w:rPr>
                <w:lang w:val="ro-MD"/>
              </w:rPr>
            </w:pPr>
            <w:r>
              <w:rPr>
                <w:b/>
                <w:lang w:val="ro-MD"/>
              </w:rPr>
              <w:t>Valoarea estimativă totală</w:t>
            </w:r>
          </w:p>
        </w:tc>
        <w:tc>
          <w:tcPr>
            <w:tcW w:w="1401"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bidi w:val="0"/>
              <w:spacing w:before="120" w:after="0"/>
              <w:jc w:val="left"/>
              <w:rPr>
                <w:b/>
                <w:lang w:val="ro-MD"/>
              </w:rPr>
            </w:pPr>
            <w:r>
              <w:rPr>
                <w:b/>
                <w:lang w:val="ro-MD"/>
              </w:rPr>
              <w:t>709410</w:t>
            </w:r>
          </w:p>
        </w:tc>
      </w:tr>
    </w:tbl>
    <w:p>
      <w:pPr>
        <w:pStyle w:val="Normal"/>
        <w:tabs>
          <w:tab w:val="clear" w:pos="709"/>
          <w:tab w:val="left" w:pos="568" w:leader="none"/>
          <w:tab w:val="right" w:pos="710" w:leader="none"/>
        </w:tabs>
        <w:bidi w:val="0"/>
        <w:spacing w:before="120" w:after="0"/>
        <w:ind w:left="0" w:right="0" w:hanging="0"/>
        <w:jc w:val="left"/>
        <w:rPr/>
      </w:pPr>
      <w:r>
        <w:rPr/>
      </w:r>
    </w:p>
    <w:p>
      <w:pPr>
        <w:pStyle w:val="Normal"/>
        <w:numPr>
          <w:ilvl w:val="0"/>
          <w:numId w:val="2"/>
        </w:numPr>
        <w:tabs>
          <w:tab w:val="clear" w:pos="709"/>
          <w:tab w:val="right" w:pos="1146" w:leader="none"/>
        </w:tabs>
        <w:bidi w:val="0"/>
        <w:spacing w:before="120" w:after="0"/>
        <w:ind w:left="360" w:right="0" w:hanging="360"/>
        <w:jc w:val="left"/>
        <w:rPr>
          <w:b/>
          <w:sz w:val="24"/>
          <w:szCs w:val="24"/>
          <w:lang w:val="ro-MD"/>
        </w:rPr>
      </w:pPr>
      <w:r>
        <w:rPr>
          <w:b/>
          <w:sz w:val="24"/>
          <w:szCs w:val="24"/>
          <w:lang w:val="ro-MD"/>
        </w:rPr>
        <w:t>În cazul în care contractul este împărțit pe loturi un operator economic poate depune oferta (se va selecta):</w:t>
      </w:r>
    </w:p>
    <w:p>
      <w:pPr>
        <w:pStyle w:val="ListParagraph"/>
        <w:numPr>
          <w:ilvl w:val="0"/>
          <w:numId w:val="3"/>
        </w:numPr>
        <w:shd w:fill="FFFF00" w:val="clear"/>
        <w:tabs>
          <w:tab w:val="clear" w:pos="709"/>
          <w:tab w:val="right" w:pos="1866" w:leader="none"/>
        </w:tabs>
        <w:bidi w:val="0"/>
        <w:spacing w:before="0" w:after="0"/>
        <w:ind w:left="720" w:right="0" w:hanging="360"/>
        <w:contextualSpacing w:val="false"/>
        <w:jc w:val="left"/>
        <w:rPr>
          <w:sz w:val="24"/>
          <w:szCs w:val="24"/>
          <w:lang w:val="ro-MD"/>
        </w:rPr>
      </w:pPr>
      <w:r>
        <w:rPr>
          <w:sz w:val="24"/>
          <w:szCs w:val="24"/>
          <w:lang w:val="ro-MD"/>
        </w:rPr>
        <w:t>Pentru un singur lot;</w:t>
      </w:r>
    </w:p>
    <w:p>
      <w:pPr>
        <w:pStyle w:val="ListParagraph"/>
        <w:numPr>
          <w:ilvl w:val="0"/>
          <w:numId w:val="3"/>
        </w:numPr>
        <w:shd w:fill="FFFF00" w:val="clear"/>
        <w:tabs>
          <w:tab w:val="clear" w:pos="709"/>
          <w:tab w:val="right" w:pos="1866" w:leader="none"/>
        </w:tabs>
        <w:bidi w:val="0"/>
        <w:spacing w:before="0" w:after="0"/>
        <w:ind w:left="720" w:right="0" w:hanging="360"/>
        <w:contextualSpacing w:val="false"/>
        <w:jc w:val="left"/>
        <w:rPr>
          <w:sz w:val="24"/>
          <w:szCs w:val="24"/>
          <w:lang w:val="ro-MD"/>
        </w:rPr>
      </w:pPr>
      <w:r>
        <w:rPr>
          <w:b/>
          <w:sz w:val="24"/>
          <w:szCs w:val="24"/>
          <w:lang w:val="ro-MD"/>
        </w:rPr>
        <w:t>Pentru mai multe loturi</w:t>
      </w:r>
      <w:r>
        <w:rPr>
          <w:sz w:val="24"/>
          <w:szCs w:val="24"/>
          <w:lang w:val="ro-MD"/>
        </w:rPr>
        <w:t>;</w:t>
      </w:r>
    </w:p>
    <w:p>
      <w:pPr>
        <w:pStyle w:val="ListParagraph"/>
        <w:numPr>
          <w:ilvl w:val="0"/>
          <w:numId w:val="3"/>
        </w:numPr>
        <w:shd w:fill="FFFF00" w:val="clear"/>
        <w:tabs>
          <w:tab w:val="clear" w:pos="709"/>
          <w:tab w:val="right" w:pos="1866" w:leader="none"/>
        </w:tabs>
        <w:bidi w:val="0"/>
        <w:spacing w:before="0" w:after="0"/>
        <w:ind w:left="720" w:right="0" w:hanging="360"/>
        <w:contextualSpacing w:val="false"/>
        <w:jc w:val="left"/>
        <w:rPr>
          <w:sz w:val="24"/>
          <w:szCs w:val="24"/>
          <w:lang w:val="ro-MD"/>
        </w:rPr>
      </w:pPr>
      <w:r>
        <w:rPr>
          <w:sz w:val="24"/>
          <w:szCs w:val="24"/>
          <w:lang w:val="ro-MD"/>
        </w:rPr>
        <w:t>Pentru toate loturile;</w:t>
      </w:r>
    </w:p>
    <w:p>
      <w:pPr>
        <w:pStyle w:val="ListParagraph"/>
        <w:numPr>
          <w:ilvl w:val="0"/>
          <w:numId w:val="3"/>
        </w:numPr>
        <w:shd w:fill="FFFF00" w:val="clear"/>
        <w:tabs>
          <w:tab w:val="clear" w:pos="709"/>
          <w:tab w:val="right" w:pos="1866" w:leader="none"/>
        </w:tabs>
        <w:bidi w:val="0"/>
        <w:spacing w:before="0" w:after="0"/>
        <w:ind w:left="720" w:right="0" w:hanging="360"/>
        <w:contextualSpacing w:val="false"/>
        <w:jc w:val="left"/>
        <w:rPr>
          <w:sz w:val="24"/>
          <w:szCs w:val="24"/>
          <w:lang w:val="ro-MD"/>
        </w:rPr>
      </w:pPr>
      <w:r>
        <w:rPr>
          <w:sz w:val="24"/>
          <w:szCs w:val="24"/>
          <w:lang w:val="ro-MD"/>
        </w:rPr>
        <w:t>Alte limitări privind numărul de loturi care pot fi atribuite aceluiași ofertant_______.</w:t>
      </w:r>
    </w:p>
    <w:p>
      <w:pPr>
        <w:pStyle w:val="Normal"/>
        <w:numPr>
          <w:ilvl w:val="0"/>
          <w:numId w:val="2"/>
        </w:numPr>
        <w:tabs>
          <w:tab w:val="clear" w:pos="709"/>
          <w:tab w:val="right" w:pos="426" w:leader="none"/>
        </w:tabs>
        <w:bidi w:val="0"/>
        <w:spacing w:before="120" w:after="0"/>
        <w:ind w:left="0" w:right="0" w:hanging="0"/>
        <w:jc w:val="left"/>
        <w:rPr>
          <w:b/>
          <w:sz w:val="24"/>
          <w:szCs w:val="24"/>
          <w:lang w:val="ro-MD"/>
        </w:rPr>
      </w:pPr>
      <w:r>
        <w:rPr>
          <w:b/>
          <w:sz w:val="24"/>
          <w:szCs w:val="24"/>
          <w:lang w:val="ro-MD"/>
        </w:rPr>
        <w:t>Admiterea sau interzicerea ofertelor alternative: nu se admite</w:t>
      </w:r>
    </w:p>
    <w:p>
      <w:pPr>
        <w:pStyle w:val="Normal"/>
        <w:numPr>
          <w:ilvl w:val="0"/>
          <w:numId w:val="2"/>
        </w:numPr>
        <w:tabs>
          <w:tab w:val="clear" w:pos="709"/>
          <w:tab w:val="left" w:pos="568" w:leader="none"/>
          <w:tab w:val="left" w:pos="852" w:leader="none"/>
          <w:tab w:val="left" w:pos="994" w:leader="none"/>
        </w:tabs>
        <w:bidi w:val="0"/>
        <w:spacing w:before="120" w:after="0"/>
        <w:ind w:left="284" w:right="0" w:hanging="284"/>
        <w:jc w:val="left"/>
        <w:rPr>
          <w:b/>
          <w:sz w:val="24"/>
          <w:szCs w:val="24"/>
          <w:lang w:val="ro-MD"/>
        </w:rPr>
      </w:pPr>
      <w:r>
        <w:rPr>
          <w:b/>
          <w:sz w:val="24"/>
          <w:szCs w:val="24"/>
          <w:lang w:val="ro-MD"/>
        </w:rPr>
        <w:t>Termenii și condițiile de livrare solicitați: Livrarea la depozitul instituției, p</w:t>
      </w:r>
      <w:r>
        <w:rPr>
          <w:b/>
          <w:sz w:val="24"/>
          <w:szCs w:val="24"/>
          <w:shd w:fill="FFFF00" w:val="clear"/>
          <w:lang w:val="ro-MD"/>
        </w:rPr>
        <w:t>e parcursul anului 202</w:t>
      </w:r>
      <w:r>
        <w:rPr>
          <w:b/>
          <w:sz w:val="24"/>
          <w:szCs w:val="24"/>
          <w:shd w:fill="FFFF00" w:val="clear"/>
          <w:lang w:val="ro-MD"/>
        </w:rPr>
        <w:t>6</w:t>
      </w:r>
      <w:r>
        <w:rPr>
          <w:b/>
          <w:sz w:val="24"/>
          <w:szCs w:val="24"/>
          <w:shd w:fill="FFFF00" w:val="clear"/>
          <w:lang w:val="ro-MD"/>
        </w:rPr>
        <w:t xml:space="preserve">, în termen de maxim 10 zile de la comandă, în orele de lucru a instituției 8.00-17.00. </w:t>
      </w:r>
    </w:p>
    <w:p>
      <w:pPr>
        <w:pStyle w:val="Normal"/>
        <w:numPr>
          <w:ilvl w:val="0"/>
          <w:numId w:val="2"/>
        </w:numPr>
        <w:tabs>
          <w:tab w:val="clear" w:pos="709"/>
          <w:tab w:val="right" w:pos="426" w:leader="none"/>
        </w:tabs>
        <w:bidi w:val="0"/>
        <w:spacing w:before="120" w:after="0"/>
        <w:ind w:left="0" w:right="0" w:hanging="0"/>
        <w:jc w:val="left"/>
        <w:rPr>
          <w:b/>
          <w:sz w:val="24"/>
          <w:szCs w:val="24"/>
          <w:lang w:val="ro-MD"/>
        </w:rPr>
      </w:pPr>
      <w:r>
        <w:rPr>
          <w:b/>
          <w:sz w:val="24"/>
          <w:szCs w:val="24"/>
          <w:lang w:val="ro-MD"/>
        </w:rPr>
        <w:t>Termenul de valabilitate a contractului</w:t>
      </w:r>
      <w:r>
        <w:rPr>
          <w:b/>
          <w:sz w:val="24"/>
          <w:szCs w:val="24"/>
          <w:shd w:fill="FFFF00" w:val="clear"/>
          <w:lang w:val="ro-MD"/>
        </w:rPr>
        <w:t>: Până la 31.12.202</w:t>
      </w:r>
      <w:r>
        <w:rPr>
          <w:b/>
          <w:sz w:val="24"/>
          <w:szCs w:val="24"/>
          <w:shd w:fill="FFFF00" w:val="clear"/>
          <w:lang w:val="ro-MD"/>
        </w:rPr>
        <w:t>6</w:t>
      </w:r>
    </w:p>
    <w:p>
      <w:pPr>
        <w:pStyle w:val="Normal"/>
        <w:numPr>
          <w:ilvl w:val="0"/>
          <w:numId w:val="2"/>
        </w:numPr>
        <w:tabs>
          <w:tab w:val="clear" w:pos="709"/>
          <w:tab w:val="right" w:pos="1146" w:leader="none"/>
        </w:tabs>
        <w:bidi w:val="0"/>
        <w:spacing w:before="120" w:after="0"/>
        <w:ind w:left="360" w:right="0" w:hanging="360"/>
        <w:jc w:val="left"/>
        <w:rPr>
          <w:b/>
          <w:sz w:val="24"/>
          <w:szCs w:val="24"/>
          <w:lang w:val="ro-MD"/>
        </w:rPr>
      </w:pPr>
      <w:r>
        <w:rPr>
          <w:b/>
          <w:sz w:val="24"/>
          <w:szCs w:val="24"/>
          <w:lang w:val="ro-MD"/>
        </w:rPr>
        <w:t xml:space="preserve">Contract de achiziție rezervat atelierelor protejate sau că acesta poate fi executat numai în cadrul unor programe de angajare protejată (după caz): </w:t>
      </w:r>
      <w:r>
        <w:rPr>
          <w:b/>
          <w:sz w:val="24"/>
          <w:szCs w:val="24"/>
          <w:shd w:fill="FFFF00" w:val="clear"/>
          <w:lang w:val="ro-MD"/>
        </w:rPr>
        <w:t>_______________________</w:t>
      </w:r>
    </w:p>
    <w:p>
      <w:pPr>
        <w:pStyle w:val="Normal"/>
        <w:numPr>
          <w:ilvl w:val="0"/>
          <w:numId w:val="2"/>
        </w:numPr>
        <w:tabs>
          <w:tab w:val="clear" w:pos="709"/>
          <w:tab w:val="right" w:pos="1146" w:leader="none"/>
        </w:tabs>
        <w:bidi w:val="0"/>
        <w:spacing w:before="120" w:after="0"/>
        <w:ind w:left="360" w:right="0" w:hanging="360"/>
        <w:jc w:val="left"/>
        <w:rPr>
          <w:b/>
          <w:sz w:val="24"/>
          <w:szCs w:val="24"/>
          <w:lang w:val="ro-MD"/>
        </w:rPr>
      </w:pPr>
      <w:r>
        <w:rPr>
          <w:b/>
          <w:sz w:val="24"/>
          <w:szCs w:val="24"/>
          <w:lang w:val="ro-MD"/>
        </w:rPr>
        <w:t xml:space="preserve">Prestarea serviciului este rezervată unei anumite profesii în temeiul unor acte cu putere de lege sau al unor acte administrative (după caz): </w:t>
      </w:r>
      <w:r>
        <w:rPr>
          <w:b/>
          <w:sz w:val="24"/>
          <w:szCs w:val="24"/>
          <w:shd w:fill="FFFF00" w:val="clear"/>
          <w:lang w:val="ro-MD"/>
        </w:rPr>
        <w:t>_________________________</w:t>
      </w:r>
    </w:p>
    <w:p>
      <w:pPr>
        <w:pStyle w:val="Normal"/>
        <w:numPr>
          <w:ilvl w:val="0"/>
          <w:numId w:val="2"/>
        </w:numPr>
        <w:tabs>
          <w:tab w:val="clear" w:pos="709"/>
          <w:tab w:val="right" w:pos="1146" w:leader="none"/>
        </w:tabs>
        <w:bidi w:val="0"/>
        <w:spacing w:before="120" w:after="0"/>
        <w:ind w:left="360" w:right="0" w:hanging="360"/>
        <w:jc w:val="left"/>
        <w:rPr>
          <w:b/>
          <w:sz w:val="24"/>
          <w:szCs w:val="24"/>
          <w:lang w:val="ro-MD"/>
        </w:rPr>
      </w:pPr>
      <w:r>
        <w:rPr>
          <w:b/>
          <w:sz w:val="24"/>
          <w:szCs w:val="24"/>
          <w:lang w:val="ro-MD"/>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pPr>
        <w:pStyle w:val="Normal"/>
        <w:numPr>
          <w:ilvl w:val="0"/>
          <w:numId w:val="0"/>
        </w:numPr>
        <w:tabs>
          <w:tab w:val="clear" w:pos="709"/>
          <w:tab w:val="right" w:pos="1506" w:leader="none"/>
        </w:tabs>
        <w:bidi w:val="0"/>
        <w:spacing w:before="120" w:after="0"/>
        <w:ind w:left="0" w:right="0" w:hanging="0"/>
        <w:jc w:val="left"/>
        <w:rPr>
          <w:b/>
          <w:sz w:val="24"/>
          <w:szCs w:val="24"/>
          <w:lang w:val="ro-MD"/>
        </w:rPr>
      </w:pPr>
      <w:r>
        <w:rPr/>
      </w:r>
    </w:p>
    <w:tbl>
      <w:tblPr>
        <w:tblW w:w="9345" w:type="dxa"/>
        <w:jc w:val="left"/>
        <w:tblInd w:w="0" w:type="dxa"/>
        <w:tblLayout w:type="fixed"/>
        <w:tblCellMar>
          <w:top w:w="0" w:type="dxa"/>
          <w:left w:w="108" w:type="dxa"/>
          <w:bottom w:w="0" w:type="dxa"/>
          <w:right w:w="108" w:type="dxa"/>
        </w:tblCellMar>
      </w:tblPr>
      <w:tblGrid>
        <w:gridCol w:w="570"/>
        <w:gridCol w:w="3153"/>
        <w:gridCol w:w="4009"/>
        <w:gridCol w:w="1613"/>
      </w:tblGrid>
      <w:tr>
        <w:trPr/>
        <w:tc>
          <w:tcPr>
            <w:tcW w:w="570" w:type="dxa"/>
            <w:tcBorders>
              <w:top w:val="single" w:sz="4" w:space="0" w:color="000000"/>
              <w:left w:val="single" w:sz="4" w:space="0" w:color="000000"/>
              <w:bottom w:val="single" w:sz="4" w:space="0" w:color="000000"/>
              <w:right w:val="single" w:sz="4" w:space="0" w:color="000000"/>
            </w:tcBorders>
            <w:shd w:fill="D9D9D9" w:val="clear"/>
          </w:tcPr>
          <w:p>
            <w:pPr>
              <w:pStyle w:val="Normal"/>
              <w:widowControl w:val="false"/>
              <w:tabs>
                <w:tab w:val="clear" w:pos="709"/>
                <w:tab w:val="left" w:pos="612" w:leader="none"/>
              </w:tabs>
              <w:bidi w:val="0"/>
              <w:spacing w:before="120" w:after="120"/>
              <w:jc w:val="left"/>
              <w:rPr>
                <w:b/>
                <w:iCs/>
                <w:lang w:val="ro-MD"/>
              </w:rPr>
            </w:pPr>
            <w:r>
              <w:rPr>
                <w:b/>
                <w:iCs/>
                <w:kern w:val="0"/>
                <w:lang w:val="ro-MD" w:bidi="ar-SA"/>
              </w:rPr>
              <w:t>Nr. d/o</w:t>
            </w:r>
          </w:p>
        </w:tc>
        <w:tc>
          <w:tcPr>
            <w:tcW w:w="3153" w:type="dxa"/>
            <w:tcBorders>
              <w:top w:val="single" w:sz="4" w:space="0" w:color="000000"/>
              <w:left w:val="single" w:sz="4" w:space="0" w:color="000000"/>
              <w:bottom w:val="single" w:sz="4" w:space="0" w:color="000000"/>
              <w:right w:val="single" w:sz="4" w:space="0" w:color="000000"/>
            </w:tcBorders>
            <w:shd w:fill="D9D9D9" w:val="clear"/>
          </w:tcPr>
          <w:p>
            <w:pPr>
              <w:pStyle w:val="Normal"/>
              <w:widowControl w:val="false"/>
              <w:tabs>
                <w:tab w:val="clear" w:pos="709"/>
                <w:tab w:val="left" w:pos="612" w:leader="none"/>
              </w:tabs>
              <w:bidi w:val="0"/>
              <w:spacing w:before="120" w:after="120"/>
              <w:jc w:val="center"/>
              <w:rPr>
                <w:b/>
                <w:iCs/>
                <w:lang w:val="ro-MD"/>
              </w:rPr>
            </w:pPr>
            <w:r>
              <w:rPr>
                <w:b/>
                <w:iCs/>
                <w:kern w:val="0"/>
                <w:lang w:val="ro-MD" w:bidi="ar-SA"/>
              </w:rPr>
              <w:t>Descrierea criteriului/cerinței</w:t>
            </w:r>
          </w:p>
        </w:tc>
        <w:tc>
          <w:tcPr>
            <w:tcW w:w="4009" w:type="dxa"/>
            <w:tcBorders>
              <w:top w:val="single" w:sz="4" w:space="0" w:color="000000"/>
              <w:left w:val="single" w:sz="4" w:space="0" w:color="000000"/>
              <w:bottom w:val="single" w:sz="4" w:space="0" w:color="000000"/>
              <w:right w:val="single" w:sz="4" w:space="0" w:color="000000"/>
            </w:tcBorders>
            <w:shd w:fill="D9D9D9" w:val="clear"/>
          </w:tcPr>
          <w:p>
            <w:pPr>
              <w:pStyle w:val="Normal"/>
              <w:widowControl w:val="false"/>
              <w:tabs>
                <w:tab w:val="clear" w:pos="709"/>
                <w:tab w:val="left" w:pos="612" w:leader="none"/>
              </w:tabs>
              <w:bidi w:val="0"/>
              <w:spacing w:before="120" w:after="120"/>
              <w:jc w:val="left"/>
              <w:rPr>
                <w:b/>
                <w:iCs/>
                <w:lang w:val="ro-MD"/>
              </w:rPr>
            </w:pPr>
            <w:r>
              <w:rPr>
                <w:b/>
                <w:iCs/>
                <w:kern w:val="0"/>
                <w:lang w:val="ro-MD" w:bidi="ar-SA"/>
              </w:rPr>
              <w:t>Mod de demonstrare a îndeplinirii criteriului/cerinței:</w:t>
            </w:r>
          </w:p>
        </w:tc>
        <w:tc>
          <w:tcPr>
            <w:tcW w:w="1613" w:type="dxa"/>
            <w:tcBorders>
              <w:top w:val="single" w:sz="4" w:space="0" w:color="000000"/>
              <w:left w:val="single" w:sz="4" w:space="0" w:color="000000"/>
              <w:bottom w:val="single" w:sz="4" w:space="0" w:color="000000"/>
              <w:right w:val="single" w:sz="4" w:space="0" w:color="000000"/>
            </w:tcBorders>
            <w:shd w:fill="D9D9D9" w:val="clear"/>
          </w:tcPr>
          <w:p>
            <w:pPr>
              <w:pStyle w:val="Normal"/>
              <w:widowControl w:val="false"/>
              <w:tabs>
                <w:tab w:val="clear" w:pos="709"/>
                <w:tab w:val="left" w:pos="612" w:leader="none"/>
              </w:tabs>
              <w:bidi w:val="0"/>
              <w:spacing w:before="120" w:after="120"/>
              <w:jc w:val="center"/>
              <w:rPr>
                <w:b/>
                <w:iCs/>
                <w:lang w:val="ro-MD"/>
              </w:rPr>
            </w:pPr>
            <w:r>
              <w:rPr>
                <w:b/>
                <w:iCs/>
                <w:kern w:val="0"/>
                <w:lang w:val="ro-MD" w:bidi="ar-SA"/>
              </w:rPr>
              <w:t>Nivelul minim/</w:t>
              <w:br/>
              <w:t>Obligativitatea</w:t>
            </w:r>
          </w:p>
        </w:tc>
      </w:tr>
      <w:tr>
        <w:trPr/>
        <w:tc>
          <w:tcPr>
            <w:tcW w:w="57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12" w:leader="none"/>
              </w:tabs>
              <w:bidi w:val="0"/>
              <w:spacing w:before="120" w:after="120"/>
              <w:jc w:val="left"/>
              <w:rPr>
                <w:iCs/>
                <w:sz w:val="24"/>
                <w:szCs w:val="24"/>
                <w:lang w:val="ro-MD"/>
              </w:rPr>
            </w:pPr>
            <w:r>
              <w:rPr>
                <w:iCs/>
                <w:kern w:val="0"/>
                <w:sz w:val="24"/>
                <w:szCs w:val="24"/>
                <w:lang w:val="ro-MD" w:bidi="ar-SA"/>
              </w:rPr>
              <w:t>1</w:t>
            </w:r>
          </w:p>
        </w:tc>
        <w:tc>
          <w:tcPr>
            <w:tcW w:w="3153" w:type="dxa"/>
            <w:tcBorders>
              <w:top w:val="single" w:sz="4" w:space="0" w:color="000000"/>
              <w:left w:val="single" w:sz="4" w:space="0" w:color="000000"/>
              <w:bottom w:val="single" w:sz="4" w:space="0" w:color="000000"/>
              <w:right w:val="single" w:sz="4" w:space="0" w:color="000000"/>
            </w:tcBorders>
          </w:tcPr>
          <w:p>
            <w:pPr>
              <w:pStyle w:val="Normal"/>
              <w:widowControl w:val="false"/>
              <w:shd w:fill="FFFFFF" w:val="clear"/>
              <w:tabs>
                <w:tab w:val="clear" w:pos="709"/>
                <w:tab w:val="left" w:pos="612" w:leader="none"/>
              </w:tabs>
              <w:bidi w:val="0"/>
              <w:spacing w:before="120" w:after="120"/>
              <w:jc w:val="left"/>
              <w:rPr>
                <w:iCs/>
                <w:sz w:val="22"/>
                <w:szCs w:val="22"/>
              </w:rPr>
            </w:pPr>
            <w:r>
              <w:rPr>
                <w:iCs/>
                <w:kern w:val="0"/>
                <w:sz w:val="22"/>
                <w:szCs w:val="22"/>
                <w:lang w:val="ro-RO" w:bidi="ar-SA"/>
              </w:rPr>
              <w:t>Cerere de participare</w:t>
            </w:r>
          </w:p>
        </w:tc>
        <w:tc>
          <w:tcPr>
            <w:tcW w:w="400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12" w:leader="none"/>
              </w:tabs>
              <w:bidi w:val="0"/>
              <w:spacing w:before="0" w:after="0"/>
              <w:jc w:val="both"/>
              <w:rPr>
                <w:iCs/>
                <w:sz w:val="22"/>
                <w:szCs w:val="22"/>
              </w:rPr>
            </w:pPr>
            <w:r>
              <w:rPr>
                <w:iCs/>
                <w:kern w:val="0"/>
                <w:sz w:val="22"/>
                <w:szCs w:val="22"/>
                <w:lang w:val="ro-RO" w:bidi="ar-SA"/>
              </w:rPr>
              <w:t xml:space="preserve">Conform </w:t>
            </w:r>
            <w:r>
              <w:rPr>
                <w:b/>
                <w:iCs/>
                <w:kern w:val="0"/>
                <w:sz w:val="22"/>
                <w:szCs w:val="22"/>
                <w:lang w:val="ro-RO" w:bidi="ar-SA"/>
              </w:rPr>
              <w:t>Anexei nr. 7</w:t>
            </w:r>
            <w:r>
              <w:rPr>
                <w:iCs/>
                <w:kern w:val="0"/>
                <w:sz w:val="22"/>
                <w:szCs w:val="22"/>
                <w:lang w:val="ro-RO" w:bidi="ar-SA"/>
              </w:rPr>
              <w:t xml:space="preserve"> din Documentația standard aprobată prin Ordinul MF nr. 115 din 15.09.2021</w:t>
            </w:r>
          </w:p>
          <w:p>
            <w:pPr>
              <w:pStyle w:val="Normal"/>
              <w:widowControl w:val="false"/>
              <w:tabs>
                <w:tab w:val="clear" w:pos="709"/>
                <w:tab w:val="left" w:pos="612" w:leader="none"/>
              </w:tabs>
              <w:bidi w:val="0"/>
              <w:spacing w:before="0" w:after="0"/>
              <w:jc w:val="both"/>
              <w:rPr>
                <w:b/>
                <w:iCs/>
                <w:sz w:val="22"/>
                <w:szCs w:val="22"/>
              </w:rPr>
            </w:pPr>
            <w:r>
              <w:rPr>
                <w:b/>
                <w:iCs/>
                <w:kern w:val="0"/>
                <w:sz w:val="22"/>
                <w:szCs w:val="22"/>
                <w:lang w:val="ro-RO" w:bidi="ar-SA"/>
              </w:rPr>
              <w:t>Confirmat prin semnătura electronică</w:t>
            </w:r>
          </w:p>
        </w:tc>
        <w:tc>
          <w:tcPr>
            <w:tcW w:w="161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12" w:leader="none"/>
              </w:tabs>
              <w:bidi w:val="0"/>
              <w:spacing w:before="120" w:after="0"/>
              <w:jc w:val="center"/>
              <w:rPr>
                <w:iCs/>
                <w:sz w:val="22"/>
                <w:szCs w:val="22"/>
                <w:lang w:val="en-US"/>
              </w:rPr>
            </w:pPr>
            <w:r>
              <w:rPr>
                <w:iCs/>
                <w:kern w:val="0"/>
                <w:sz w:val="22"/>
                <w:szCs w:val="22"/>
                <w:lang w:val="en-US" w:bidi="ar-SA"/>
              </w:rPr>
              <w:t>Obligatoriu</w:t>
            </w:r>
          </w:p>
        </w:tc>
      </w:tr>
      <w:tr>
        <w:trPr/>
        <w:tc>
          <w:tcPr>
            <w:tcW w:w="57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12" w:leader="none"/>
              </w:tabs>
              <w:bidi w:val="0"/>
              <w:spacing w:before="120" w:after="120"/>
              <w:jc w:val="left"/>
              <w:rPr>
                <w:iCs/>
                <w:sz w:val="24"/>
                <w:szCs w:val="24"/>
                <w:lang w:val="ro-MD"/>
              </w:rPr>
            </w:pPr>
            <w:r>
              <w:rPr>
                <w:iCs/>
                <w:kern w:val="0"/>
                <w:sz w:val="24"/>
                <w:szCs w:val="24"/>
                <w:lang w:val="ro-MD" w:bidi="ar-SA"/>
              </w:rPr>
              <w:t>2</w:t>
            </w:r>
          </w:p>
        </w:tc>
        <w:tc>
          <w:tcPr>
            <w:tcW w:w="3153" w:type="dxa"/>
            <w:tcBorders>
              <w:top w:val="single" w:sz="4" w:space="0" w:color="000000"/>
              <w:left w:val="single" w:sz="4" w:space="0" w:color="000000"/>
              <w:bottom w:val="single" w:sz="4" w:space="0" w:color="000000"/>
              <w:right w:val="single" w:sz="4" w:space="0" w:color="000000"/>
            </w:tcBorders>
          </w:tcPr>
          <w:p>
            <w:pPr>
              <w:pStyle w:val="Normal"/>
              <w:widowControl w:val="false"/>
              <w:shd w:fill="FFFFFF" w:val="clear"/>
              <w:tabs>
                <w:tab w:val="clear" w:pos="709"/>
                <w:tab w:val="left" w:pos="612" w:leader="none"/>
              </w:tabs>
              <w:bidi w:val="0"/>
              <w:spacing w:before="120" w:after="120"/>
              <w:jc w:val="left"/>
              <w:rPr>
                <w:iCs/>
                <w:sz w:val="22"/>
                <w:szCs w:val="22"/>
              </w:rPr>
            </w:pPr>
            <w:r>
              <w:rPr>
                <w:iCs/>
                <w:kern w:val="0"/>
                <w:sz w:val="22"/>
                <w:szCs w:val="22"/>
                <w:lang w:val="ro-RO" w:bidi="ar-SA"/>
              </w:rPr>
              <w:t xml:space="preserve">Declarație privind </w:t>
            </w:r>
          </w:p>
          <w:p>
            <w:pPr>
              <w:pStyle w:val="Normal"/>
              <w:widowControl w:val="false"/>
              <w:shd w:fill="FFFFFF" w:val="clear"/>
              <w:tabs>
                <w:tab w:val="clear" w:pos="709"/>
                <w:tab w:val="left" w:pos="612" w:leader="none"/>
              </w:tabs>
              <w:bidi w:val="0"/>
              <w:spacing w:before="120" w:after="120"/>
              <w:jc w:val="left"/>
              <w:rPr>
                <w:iCs/>
                <w:sz w:val="22"/>
                <w:szCs w:val="22"/>
              </w:rPr>
            </w:pPr>
            <w:r>
              <w:rPr>
                <w:iCs/>
                <w:kern w:val="0"/>
                <w:sz w:val="22"/>
                <w:szCs w:val="22"/>
                <w:lang w:val="ro-RO" w:bidi="ar-SA"/>
              </w:rPr>
              <w:t>valabilitatea ofertei</w:t>
            </w:r>
          </w:p>
        </w:tc>
        <w:tc>
          <w:tcPr>
            <w:tcW w:w="400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12" w:leader="none"/>
              </w:tabs>
              <w:bidi w:val="0"/>
              <w:spacing w:before="0" w:after="0"/>
              <w:jc w:val="both"/>
              <w:rPr>
                <w:iCs/>
                <w:sz w:val="22"/>
                <w:szCs w:val="22"/>
              </w:rPr>
            </w:pPr>
            <w:r>
              <w:rPr>
                <w:iCs/>
                <w:kern w:val="0"/>
                <w:sz w:val="22"/>
                <w:szCs w:val="22"/>
                <w:lang w:val="ro-RO" w:bidi="ar-SA"/>
              </w:rPr>
              <w:t xml:space="preserve">Conform </w:t>
            </w:r>
            <w:r>
              <w:rPr>
                <w:b/>
                <w:iCs/>
                <w:kern w:val="0"/>
                <w:sz w:val="22"/>
                <w:szCs w:val="22"/>
                <w:lang w:val="ro-RO" w:bidi="ar-SA"/>
              </w:rPr>
              <w:t>Anexei nr. 8</w:t>
            </w:r>
            <w:r>
              <w:rPr>
                <w:iCs/>
                <w:kern w:val="0"/>
                <w:sz w:val="22"/>
                <w:szCs w:val="22"/>
                <w:lang w:val="ro-RO" w:bidi="ar-SA"/>
              </w:rPr>
              <w:t xml:space="preserve"> din Documentația standard aprobată prin Ordinul MF nr. 115 din 15.09.2021</w:t>
            </w:r>
          </w:p>
          <w:p>
            <w:pPr>
              <w:pStyle w:val="Normal"/>
              <w:widowControl w:val="false"/>
              <w:tabs>
                <w:tab w:val="clear" w:pos="709"/>
                <w:tab w:val="left" w:pos="612" w:leader="none"/>
              </w:tabs>
              <w:bidi w:val="0"/>
              <w:spacing w:before="0" w:after="0"/>
              <w:jc w:val="both"/>
              <w:rPr>
                <w:b/>
                <w:iCs/>
                <w:sz w:val="22"/>
                <w:szCs w:val="22"/>
              </w:rPr>
            </w:pPr>
            <w:r>
              <w:rPr>
                <w:b/>
                <w:iCs/>
                <w:kern w:val="0"/>
                <w:sz w:val="22"/>
                <w:szCs w:val="22"/>
                <w:lang w:val="ro-RO" w:bidi="ar-SA"/>
              </w:rPr>
              <w:t>Confirmat prin semnătura electronică</w:t>
            </w:r>
          </w:p>
        </w:tc>
        <w:tc>
          <w:tcPr>
            <w:tcW w:w="161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12" w:leader="none"/>
              </w:tabs>
              <w:bidi w:val="0"/>
              <w:spacing w:before="120" w:after="0"/>
              <w:jc w:val="center"/>
              <w:rPr>
                <w:iCs/>
                <w:sz w:val="22"/>
                <w:szCs w:val="22"/>
                <w:lang w:val="en-US"/>
              </w:rPr>
            </w:pPr>
            <w:r>
              <w:rPr>
                <w:iCs/>
                <w:kern w:val="0"/>
                <w:sz w:val="22"/>
                <w:szCs w:val="22"/>
                <w:lang w:val="en-US" w:bidi="ar-SA"/>
              </w:rPr>
              <w:t>Obligatoriu</w:t>
            </w:r>
          </w:p>
        </w:tc>
      </w:tr>
      <w:tr>
        <w:trPr/>
        <w:tc>
          <w:tcPr>
            <w:tcW w:w="57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12" w:leader="none"/>
              </w:tabs>
              <w:bidi w:val="0"/>
              <w:spacing w:before="120" w:after="120"/>
              <w:jc w:val="left"/>
              <w:rPr>
                <w:iCs/>
                <w:sz w:val="24"/>
                <w:szCs w:val="24"/>
                <w:lang w:val="ro-MD"/>
              </w:rPr>
            </w:pPr>
            <w:r>
              <w:rPr>
                <w:iCs/>
                <w:kern w:val="0"/>
                <w:sz w:val="24"/>
                <w:szCs w:val="24"/>
                <w:lang w:val="ro-MD" w:bidi="ar-SA"/>
              </w:rPr>
              <w:t>3</w:t>
            </w:r>
          </w:p>
        </w:tc>
        <w:tc>
          <w:tcPr>
            <w:tcW w:w="315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12" w:leader="none"/>
              </w:tabs>
              <w:bidi w:val="0"/>
              <w:spacing w:before="120" w:after="0"/>
              <w:jc w:val="left"/>
              <w:rPr>
                <w:iCs/>
                <w:sz w:val="22"/>
                <w:szCs w:val="22"/>
                <w:lang w:val="en-US"/>
              </w:rPr>
            </w:pPr>
            <w:r>
              <w:rPr>
                <w:iCs/>
                <w:kern w:val="0"/>
                <w:sz w:val="22"/>
                <w:szCs w:val="22"/>
                <w:lang w:val="en-US" w:bidi="ar-SA"/>
              </w:rPr>
              <w:t xml:space="preserve">Specificații tehnice </w:t>
            </w:r>
          </w:p>
        </w:tc>
        <w:tc>
          <w:tcPr>
            <w:tcW w:w="400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12" w:leader="none"/>
              </w:tabs>
              <w:bidi w:val="0"/>
              <w:spacing w:before="0" w:after="0"/>
              <w:jc w:val="both"/>
              <w:rPr>
                <w:iCs/>
                <w:sz w:val="22"/>
                <w:szCs w:val="22"/>
              </w:rPr>
            </w:pPr>
            <w:r>
              <w:rPr>
                <w:iCs/>
                <w:kern w:val="0"/>
                <w:sz w:val="22"/>
                <w:szCs w:val="22"/>
                <w:lang w:val="ro-RO" w:bidi="ar-SA"/>
              </w:rPr>
              <w:t xml:space="preserve">Conform </w:t>
            </w:r>
            <w:r>
              <w:rPr>
                <w:b/>
                <w:iCs/>
                <w:kern w:val="0"/>
                <w:sz w:val="22"/>
                <w:szCs w:val="22"/>
                <w:lang w:val="ro-RO" w:bidi="ar-SA"/>
              </w:rPr>
              <w:t>Anexei nr. 22</w:t>
            </w:r>
            <w:r>
              <w:rPr>
                <w:iCs/>
                <w:kern w:val="0"/>
                <w:sz w:val="22"/>
                <w:szCs w:val="22"/>
                <w:lang w:val="ro-RO" w:bidi="ar-SA"/>
              </w:rPr>
              <w:t xml:space="preserve"> din Documentația standard aprobată prin Ordinul MF nr. 115 din 15.09.2021</w:t>
            </w:r>
          </w:p>
          <w:p>
            <w:pPr>
              <w:pStyle w:val="Normal"/>
              <w:widowControl w:val="false"/>
              <w:tabs>
                <w:tab w:val="clear" w:pos="709"/>
                <w:tab w:val="left" w:pos="612" w:leader="none"/>
              </w:tabs>
              <w:bidi w:val="0"/>
              <w:spacing w:before="0" w:after="0"/>
              <w:jc w:val="both"/>
              <w:rPr>
                <w:iCs/>
              </w:rPr>
            </w:pPr>
            <w:r>
              <w:rPr>
                <w:b/>
                <w:iCs/>
                <w:kern w:val="0"/>
                <w:sz w:val="22"/>
                <w:szCs w:val="22"/>
                <w:lang w:val="ro-RO" w:bidi="ar-SA"/>
              </w:rPr>
              <w:t>Confirmat prin semnătura electronică</w:t>
            </w:r>
          </w:p>
        </w:tc>
        <w:tc>
          <w:tcPr>
            <w:tcW w:w="161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12" w:leader="none"/>
              </w:tabs>
              <w:bidi w:val="0"/>
              <w:spacing w:before="120" w:after="0"/>
              <w:jc w:val="center"/>
              <w:rPr>
                <w:iCs/>
                <w:sz w:val="22"/>
                <w:szCs w:val="22"/>
                <w:lang w:val="en-US"/>
              </w:rPr>
            </w:pPr>
            <w:r>
              <w:rPr>
                <w:iCs/>
                <w:kern w:val="0"/>
                <w:sz w:val="22"/>
                <w:szCs w:val="22"/>
                <w:lang w:val="en-US" w:bidi="ar-SA"/>
              </w:rPr>
              <w:t>Obligatoriu</w:t>
            </w:r>
          </w:p>
        </w:tc>
      </w:tr>
      <w:tr>
        <w:trPr/>
        <w:tc>
          <w:tcPr>
            <w:tcW w:w="57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12" w:leader="none"/>
              </w:tabs>
              <w:bidi w:val="0"/>
              <w:spacing w:before="120" w:after="120"/>
              <w:jc w:val="left"/>
              <w:rPr>
                <w:iCs/>
                <w:sz w:val="24"/>
                <w:szCs w:val="24"/>
                <w:lang w:val="ro-MD"/>
              </w:rPr>
            </w:pPr>
            <w:r>
              <w:rPr>
                <w:iCs/>
                <w:kern w:val="0"/>
                <w:sz w:val="24"/>
                <w:szCs w:val="24"/>
                <w:lang w:val="ro-MD" w:bidi="ar-SA"/>
              </w:rPr>
              <w:t>4</w:t>
            </w:r>
          </w:p>
        </w:tc>
        <w:tc>
          <w:tcPr>
            <w:tcW w:w="315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12" w:leader="none"/>
              </w:tabs>
              <w:bidi w:val="0"/>
              <w:spacing w:before="120" w:after="0"/>
              <w:jc w:val="left"/>
              <w:rPr>
                <w:iCs/>
                <w:sz w:val="22"/>
                <w:szCs w:val="22"/>
                <w:lang w:val="en-US"/>
              </w:rPr>
            </w:pPr>
            <w:r>
              <w:rPr>
                <w:iCs/>
                <w:kern w:val="0"/>
                <w:sz w:val="22"/>
                <w:szCs w:val="22"/>
                <w:lang w:val="en-US" w:bidi="ar-SA"/>
              </w:rPr>
              <w:t xml:space="preserve">Specificații de preț </w:t>
            </w:r>
          </w:p>
        </w:tc>
        <w:tc>
          <w:tcPr>
            <w:tcW w:w="400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12" w:leader="none"/>
              </w:tabs>
              <w:bidi w:val="0"/>
              <w:spacing w:before="120" w:after="0"/>
              <w:jc w:val="both"/>
              <w:rPr>
                <w:iCs/>
                <w:sz w:val="22"/>
                <w:szCs w:val="22"/>
              </w:rPr>
            </w:pPr>
            <w:r>
              <w:rPr>
                <w:iCs/>
                <w:kern w:val="0"/>
                <w:sz w:val="22"/>
                <w:szCs w:val="22"/>
                <w:lang w:val="ro-RO" w:bidi="ar-SA"/>
              </w:rPr>
              <w:t xml:space="preserve">Conform </w:t>
            </w:r>
            <w:r>
              <w:rPr>
                <w:b/>
                <w:iCs/>
                <w:kern w:val="0"/>
                <w:sz w:val="22"/>
                <w:szCs w:val="22"/>
                <w:lang w:val="ro-RO" w:bidi="ar-SA"/>
              </w:rPr>
              <w:t>Anexei nr. 23</w:t>
            </w:r>
            <w:r>
              <w:rPr>
                <w:iCs/>
                <w:kern w:val="0"/>
                <w:sz w:val="22"/>
                <w:szCs w:val="22"/>
                <w:lang w:val="ro-RO" w:bidi="ar-SA"/>
              </w:rPr>
              <w:t xml:space="preserve"> din Documentația standard aprobată prin Ordinul MF nr. 115 din 15.09.2021.</w:t>
            </w:r>
          </w:p>
          <w:p>
            <w:pPr>
              <w:pStyle w:val="Normal"/>
              <w:widowControl w:val="false"/>
              <w:bidi w:val="0"/>
              <w:spacing w:before="0" w:after="0"/>
              <w:jc w:val="both"/>
              <w:rPr>
                <w:b/>
                <w:iCs/>
                <w:kern w:val="0"/>
                <w:sz w:val="22"/>
                <w:szCs w:val="22"/>
                <w:lang w:val="ro-RO" w:bidi="ar-SA"/>
              </w:rPr>
            </w:pPr>
            <w:r>
              <w:rPr>
                <w:b/>
                <w:iCs/>
                <w:kern w:val="0"/>
                <w:sz w:val="22"/>
                <w:szCs w:val="22"/>
                <w:lang w:val="ro-RO" w:bidi="ar-SA"/>
              </w:rPr>
              <w:t>Confirmat prin semnătura electronică</w:t>
            </w:r>
          </w:p>
        </w:tc>
        <w:tc>
          <w:tcPr>
            <w:tcW w:w="161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12" w:leader="none"/>
              </w:tabs>
              <w:bidi w:val="0"/>
              <w:spacing w:before="120" w:after="0"/>
              <w:jc w:val="center"/>
              <w:rPr>
                <w:iCs/>
                <w:sz w:val="22"/>
                <w:szCs w:val="22"/>
                <w:lang w:val="en-US"/>
              </w:rPr>
            </w:pPr>
            <w:r>
              <w:rPr>
                <w:iCs/>
                <w:kern w:val="0"/>
                <w:sz w:val="22"/>
                <w:szCs w:val="22"/>
                <w:lang w:val="en-US" w:bidi="ar-SA"/>
              </w:rPr>
              <w:t>Obligatoriu</w:t>
            </w:r>
          </w:p>
        </w:tc>
      </w:tr>
      <w:tr>
        <w:trPr/>
        <w:tc>
          <w:tcPr>
            <w:tcW w:w="57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12" w:leader="none"/>
              </w:tabs>
              <w:bidi w:val="0"/>
              <w:spacing w:before="120" w:after="120"/>
              <w:jc w:val="left"/>
              <w:rPr>
                <w:iCs/>
                <w:sz w:val="24"/>
                <w:szCs w:val="24"/>
                <w:lang w:val="ro-MD"/>
              </w:rPr>
            </w:pPr>
            <w:r>
              <w:rPr>
                <w:iCs/>
                <w:kern w:val="0"/>
                <w:sz w:val="24"/>
                <w:szCs w:val="24"/>
                <w:lang w:val="ro-MD" w:bidi="ar-SA"/>
              </w:rPr>
              <w:t>5</w:t>
            </w:r>
          </w:p>
        </w:tc>
        <w:tc>
          <w:tcPr>
            <w:tcW w:w="315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12" w:leader="none"/>
              </w:tabs>
              <w:bidi w:val="0"/>
              <w:spacing w:before="120" w:after="0"/>
              <w:jc w:val="left"/>
              <w:rPr>
                <w:iCs/>
                <w:sz w:val="22"/>
                <w:szCs w:val="22"/>
                <w:lang w:val="en-US"/>
              </w:rPr>
            </w:pPr>
            <w:r>
              <w:rPr>
                <w:iCs/>
                <w:kern w:val="0"/>
                <w:sz w:val="22"/>
                <w:szCs w:val="22"/>
                <w:lang w:val="en-US" w:bidi="ar-SA"/>
              </w:rPr>
              <w:t>DUAE</w:t>
            </w:r>
          </w:p>
        </w:tc>
        <w:tc>
          <w:tcPr>
            <w:tcW w:w="400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12" w:leader="none"/>
              </w:tabs>
              <w:bidi w:val="0"/>
              <w:spacing w:before="0" w:after="0"/>
              <w:jc w:val="both"/>
              <w:rPr>
                <w:b/>
                <w:iCs/>
                <w:sz w:val="22"/>
                <w:szCs w:val="22"/>
              </w:rPr>
            </w:pPr>
            <w:r>
              <w:rPr>
                <w:iCs/>
                <w:kern w:val="0"/>
                <w:sz w:val="22"/>
                <w:szCs w:val="22"/>
                <w:lang w:val="ro-RO" w:bidi="ar-SA"/>
              </w:rPr>
              <w:t xml:space="preserve">Se va completa conform modelului atașat în SIARSAP Mtender. </w:t>
            </w:r>
            <w:r>
              <w:rPr>
                <w:b/>
                <w:iCs/>
                <w:kern w:val="0"/>
                <w:sz w:val="22"/>
                <w:szCs w:val="22"/>
                <w:lang w:val="ro-RO" w:bidi="ar-SA"/>
              </w:rPr>
              <w:t xml:space="preserve"> </w:t>
            </w:r>
          </w:p>
          <w:p>
            <w:pPr>
              <w:pStyle w:val="Normal"/>
              <w:widowControl w:val="false"/>
              <w:tabs>
                <w:tab w:val="clear" w:pos="709"/>
                <w:tab w:val="left" w:pos="612" w:leader="none"/>
              </w:tabs>
              <w:bidi w:val="0"/>
              <w:spacing w:before="0" w:after="0"/>
              <w:jc w:val="both"/>
              <w:rPr>
                <w:iCs/>
                <w:sz w:val="22"/>
                <w:szCs w:val="22"/>
              </w:rPr>
            </w:pPr>
            <w:r>
              <w:rPr>
                <w:b/>
                <w:iCs/>
                <w:kern w:val="0"/>
                <w:sz w:val="22"/>
                <w:szCs w:val="22"/>
                <w:lang w:val="ro-RO" w:bidi="ar-SA"/>
              </w:rPr>
              <w:t>Confirmat prin semnătura electronică</w:t>
            </w:r>
            <w:r>
              <w:rPr>
                <w:iCs/>
                <w:kern w:val="0"/>
                <w:sz w:val="22"/>
                <w:szCs w:val="22"/>
                <w:lang w:val="ro-RO" w:bidi="ar-SA"/>
              </w:rPr>
              <w:t>.</w:t>
            </w:r>
          </w:p>
        </w:tc>
        <w:tc>
          <w:tcPr>
            <w:tcW w:w="161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12" w:leader="none"/>
              </w:tabs>
              <w:bidi w:val="0"/>
              <w:spacing w:before="120" w:after="0"/>
              <w:jc w:val="center"/>
              <w:rPr>
                <w:iCs/>
                <w:sz w:val="22"/>
                <w:szCs w:val="22"/>
                <w:lang w:val="en-US"/>
              </w:rPr>
            </w:pPr>
            <w:r>
              <w:rPr>
                <w:iCs/>
                <w:kern w:val="0"/>
                <w:sz w:val="22"/>
                <w:szCs w:val="22"/>
                <w:lang w:val="en-US" w:bidi="ar-SA"/>
              </w:rPr>
              <w:t>Obligatoriu</w:t>
            </w:r>
          </w:p>
        </w:tc>
      </w:tr>
      <w:tr>
        <w:trPr/>
        <w:tc>
          <w:tcPr>
            <w:tcW w:w="57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12" w:leader="none"/>
              </w:tabs>
              <w:bidi w:val="0"/>
              <w:spacing w:before="120" w:after="120"/>
              <w:jc w:val="left"/>
              <w:rPr>
                <w:iCs/>
                <w:sz w:val="24"/>
                <w:szCs w:val="24"/>
                <w:lang w:val="ro-MD"/>
              </w:rPr>
            </w:pPr>
            <w:r>
              <w:rPr>
                <w:iCs/>
                <w:kern w:val="0"/>
                <w:sz w:val="24"/>
                <w:szCs w:val="24"/>
                <w:lang w:val="ro-MD" w:bidi="ar-SA"/>
              </w:rPr>
              <w:t>6</w:t>
            </w:r>
          </w:p>
        </w:tc>
        <w:tc>
          <w:tcPr>
            <w:tcW w:w="315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12" w:leader="none"/>
              </w:tabs>
              <w:bidi w:val="0"/>
              <w:spacing w:before="120" w:after="0"/>
              <w:jc w:val="left"/>
              <w:rPr>
                <w:iCs/>
                <w:sz w:val="22"/>
                <w:szCs w:val="22"/>
              </w:rPr>
            </w:pPr>
            <w:r>
              <w:rPr>
                <w:iCs/>
                <w:kern w:val="0"/>
                <w:sz w:val="22"/>
                <w:szCs w:val="22"/>
                <w:lang w:val="en-US" w:bidi="ar-SA"/>
              </w:rPr>
              <w:t xml:space="preserve">Dovada </w:t>
            </w:r>
            <w:r>
              <w:rPr>
                <w:iCs/>
                <w:kern w:val="0"/>
                <w:sz w:val="22"/>
                <w:szCs w:val="22"/>
                <w:lang w:val="ro-RO" w:bidi="ar-SA"/>
              </w:rPr>
              <w:t>înregistrării juridice</w:t>
            </w:r>
          </w:p>
        </w:tc>
        <w:tc>
          <w:tcPr>
            <w:tcW w:w="400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12" w:leader="none"/>
              </w:tabs>
              <w:bidi w:val="0"/>
              <w:spacing w:before="0" w:after="0"/>
              <w:jc w:val="both"/>
              <w:rPr>
                <w:iCs/>
                <w:sz w:val="22"/>
                <w:szCs w:val="22"/>
                <w:lang w:val="en-US"/>
              </w:rPr>
            </w:pPr>
            <w:r>
              <w:rPr>
                <w:iCs/>
                <w:kern w:val="0"/>
                <w:sz w:val="22"/>
                <w:szCs w:val="22"/>
                <w:lang w:val="en-US" w:bidi="ar-SA"/>
              </w:rPr>
              <w:t xml:space="preserve">Copie, </w:t>
            </w:r>
            <w:r>
              <w:rPr>
                <w:b/>
                <w:iCs/>
                <w:kern w:val="0"/>
                <w:sz w:val="22"/>
                <w:szCs w:val="22"/>
                <w:lang w:val="ro-RO" w:bidi="ar-SA"/>
              </w:rPr>
              <w:t xml:space="preserve">Confirmat prin semnătura electronică </w:t>
            </w:r>
          </w:p>
        </w:tc>
        <w:tc>
          <w:tcPr>
            <w:tcW w:w="161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12" w:leader="none"/>
              </w:tabs>
              <w:bidi w:val="0"/>
              <w:spacing w:before="120" w:after="0"/>
              <w:jc w:val="center"/>
              <w:rPr>
                <w:iCs/>
                <w:sz w:val="22"/>
                <w:szCs w:val="22"/>
                <w:lang w:val="en-US"/>
              </w:rPr>
            </w:pPr>
            <w:r>
              <w:rPr>
                <w:iCs/>
                <w:kern w:val="0"/>
                <w:sz w:val="22"/>
                <w:szCs w:val="22"/>
                <w:lang w:val="en-US" w:bidi="ar-SA"/>
              </w:rPr>
              <w:t>Obligatoriu</w:t>
            </w:r>
          </w:p>
        </w:tc>
      </w:tr>
      <w:tr>
        <w:trPr/>
        <w:tc>
          <w:tcPr>
            <w:tcW w:w="57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12" w:leader="none"/>
              </w:tabs>
              <w:bidi w:val="0"/>
              <w:spacing w:before="120" w:after="120"/>
              <w:jc w:val="left"/>
              <w:rPr>
                <w:iCs/>
                <w:sz w:val="24"/>
                <w:szCs w:val="24"/>
                <w:lang w:val="ro-MD"/>
              </w:rPr>
            </w:pPr>
            <w:r>
              <w:rPr>
                <w:iCs/>
                <w:kern w:val="0"/>
                <w:sz w:val="24"/>
                <w:szCs w:val="24"/>
                <w:lang w:val="ro-MD" w:bidi="ar-SA"/>
              </w:rPr>
              <w:t>7</w:t>
            </w:r>
          </w:p>
        </w:tc>
        <w:tc>
          <w:tcPr>
            <w:tcW w:w="315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12" w:leader="none"/>
              </w:tabs>
              <w:bidi w:val="0"/>
              <w:spacing w:before="120" w:after="0"/>
              <w:jc w:val="left"/>
              <w:rPr>
                <w:iCs/>
                <w:sz w:val="22"/>
                <w:szCs w:val="22"/>
                <w:lang w:val="ro-MD"/>
              </w:rPr>
            </w:pPr>
            <w:r>
              <w:rPr>
                <w:iCs/>
                <w:kern w:val="0"/>
                <w:sz w:val="22"/>
                <w:szCs w:val="22"/>
                <w:lang w:val="ro-MD" w:bidi="ar-SA"/>
              </w:rPr>
              <w:t>Certificat de efectuare sistematică a plății impozitelor, contribuțiilor</w:t>
            </w:r>
          </w:p>
        </w:tc>
        <w:tc>
          <w:tcPr>
            <w:tcW w:w="400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12" w:leader="none"/>
              </w:tabs>
              <w:bidi w:val="0"/>
              <w:spacing w:before="0" w:after="0"/>
              <w:jc w:val="both"/>
              <w:rPr>
                <w:iCs/>
                <w:sz w:val="22"/>
                <w:szCs w:val="22"/>
              </w:rPr>
            </w:pPr>
            <w:r>
              <w:rPr>
                <w:iCs/>
                <w:kern w:val="0"/>
                <w:sz w:val="22"/>
                <w:szCs w:val="22"/>
                <w:lang w:val="en-US" w:bidi="ar-SA"/>
              </w:rPr>
              <w:t xml:space="preserve">Original , </w:t>
            </w:r>
            <w:r>
              <w:rPr>
                <w:b/>
                <w:iCs/>
                <w:kern w:val="0"/>
                <w:sz w:val="22"/>
                <w:szCs w:val="22"/>
                <w:lang w:val="ro-RO" w:bidi="ar-SA"/>
              </w:rPr>
              <w:t xml:space="preserve">Confirmat prin semnătura electronică </w:t>
            </w:r>
          </w:p>
        </w:tc>
        <w:tc>
          <w:tcPr>
            <w:tcW w:w="161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12" w:leader="none"/>
              </w:tabs>
              <w:bidi w:val="0"/>
              <w:spacing w:before="120" w:after="0"/>
              <w:jc w:val="center"/>
              <w:rPr>
                <w:iCs/>
                <w:sz w:val="22"/>
                <w:szCs w:val="22"/>
                <w:lang w:val="en-US"/>
              </w:rPr>
            </w:pPr>
            <w:r>
              <w:rPr>
                <w:iCs/>
                <w:kern w:val="0"/>
                <w:sz w:val="22"/>
                <w:szCs w:val="22"/>
                <w:lang w:val="en-US" w:bidi="ar-SA"/>
              </w:rPr>
              <w:t xml:space="preserve">Obligatoriu </w:t>
            </w:r>
          </w:p>
        </w:tc>
      </w:tr>
      <w:tr>
        <w:trPr/>
        <w:tc>
          <w:tcPr>
            <w:tcW w:w="57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12" w:leader="none"/>
              </w:tabs>
              <w:bidi w:val="0"/>
              <w:spacing w:before="120" w:after="120"/>
              <w:jc w:val="left"/>
              <w:rPr>
                <w:iCs/>
                <w:sz w:val="24"/>
                <w:szCs w:val="24"/>
                <w:lang w:val="ro-MD"/>
              </w:rPr>
            </w:pPr>
            <w:r>
              <w:rPr>
                <w:iCs/>
                <w:kern w:val="0"/>
                <w:sz w:val="24"/>
                <w:szCs w:val="24"/>
                <w:lang w:val="ro-MD" w:bidi="ar-SA"/>
              </w:rPr>
              <w:t>8</w:t>
            </w:r>
          </w:p>
        </w:tc>
        <w:tc>
          <w:tcPr>
            <w:tcW w:w="315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9" w:before="0" w:after="0"/>
              <w:ind w:left="1" w:right="0" w:hanging="0"/>
              <w:jc w:val="left"/>
              <w:rPr>
                <w:sz w:val="22"/>
                <w:szCs w:val="22"/>
                <w:lang w:val="en-US"/>
              </w:rPr>
            </w:pPr>
            <w:r>
              <w:rPr>
                <w:kern w:val="0"/>
                <w:sz w:val="22"/>
                <w:szCs w:val="22"/>
                <w:lang w:val="en-US" w:bidi="ar-SA"/>
              </w:rPr>
              <w:t xml:space="preserve">Certificat de atribuire a contului bancar </w:t>
            </w:r>
          </w:p>
        </w:tc>
        <w:tc>
          <w:tcPr>
            <w:tcW w:w="400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9" w:before="0" w:after="0"/>
              <w:jc w:val="left"/>
              <w:rPr>
                <w:sz w:val="22"/>
                <w:szCs w:val="22"/>
                <w:lang w:val="en-US"/>
              </w:rPr>
            </w:pPr>
            <w:r>
              <w:rPr>
                <w:kern w:val="0"/>
                <w:sz w:val="22"/>
                <w:szCs w:val="22"/>
                <w:lang w:val="en-US" w:bidi="ar-SA"/>
              </w:rPr>
              <w:t xml:space="preserve"> </w:t>
            </w:r>
            <w:r>
              <w:rPr>
                <w:kern w:val="0"/>
                <w:sz w:val="22"/>
                <w:szCs w:val="22"/>
                <w:lang w:val="en-US" w:bidi="ar-SA"/>
              </w:rPr>
              <w:t xml:space="preserve">Copie – eliberat de banca deţinătoare de cont, </w:t>
            </w:r>
            <w:r>
              <w:rPr>
                <w:b/>
                <w:kern w:val="0"/>
                <w:sz w:val="22"/>
                <w:szCs w:val="22"/>
                <w:lang w:val="en-US" w:bidi="ar-SA"/>
              </w:rPr>
              <w:t>confirmată prin aplicara semnăturii electronice</w:t>
            </w:r>
          </w:p>
        </w:tc>
        <w:tc>
          <w:tcPr>
            <w:tcW w:w="161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12" w:leader="none"/>
              </w:tabs>
              <w:bidi w:val="0"/>
              <w:spacing w:before="120" w:after="0"/>
              <w:jc w:val="center"/>
              <w:rPr>
                <w:iCs/>
                <w:sz w:val="22"/>
                <w:szCs w:val="22"/>
                <w:lang w:val="en-US"/>
              </w:rPr>
            </w:pPr>
            <w:r>
              <w:rPr>
                <w:iCs/>
                <w:kern w:val="0"/>
                <w:sz w:val="22"/>
                <w:szCs w:val="22"/>
                <w:lang w:val="en-US" w:bidi="ar-SA"/>
              </w:rPr>
              <w:t>Obligatoriu</w:t>
            </w:r>
          </w:p>
        </w:tc>
      </w:tr>
      <w:tr>
        <w:trPr/>
        <w:tc>
          <w:tcPr>
            <w:tcW w:w="57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12" w:leader="none"/>
              </w:tabs>
              <w:bidi w:val="0"/>
              <w:spacing w:before="120" w:after="120"/>
              <w:jc w:val="left"/>
              <w:rPr>
                <w:iCs/>
                <w:sz w:val="24"/>
                <w:szCs w:val="24"/>
                <w:lang w:val="ro-MD"/>
              </w:rPr>
            </w:pPr>
            <w:r>
              <w:rPr>
                <w:iCs/>
                <w:kern w:val="0"/>
                <w:sz w:val="24"/>
                <w:szCs w:val="24"/>
                <w:lang w:val="ro-MD" w:bidi="ar-SA"/>
              </w:rPr>
              <w:t>9</w:t>
            </w:r>
          </w:p>
        </w:tc>
        <w:tc>
          <w:tcPr>
            <w:tcW w:w="315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12" w:leader="none"/>
              </w:tabs>
              <w:bidi w:val="0"/>
              <w:spacing w:before="120" w:after="0"/>
              <w:jc w:val="center"/>
              <w:rPr>
                <w:iCs/>
                <w:sz w:val="22"/>
                <w:szCs w:val="22"/>
                <w:lang w:val="en-US"/>
              </w:rPr>
            </w:pPr>
            <w:r>
              <w:rPr>
                <w:kern w:val="0"/>
                <w:sz w:val="22"/>
                <w:szCs w:val="22"/>
                <w:lang w:val="ro-MD" w:bidi="ar-SA"/>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00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12" w:leader="none"/>
              </w:tabs>
              <w:bidi w:val="0"/>
              <w:spacing w:before="0" w:after="120"/>
              <w:jc w:val="both"/>
              <w:rPr>
                <w:bCs/>
                <w:sz w:val="22"/>
                <w:szCs w:val="22"/>
                <w:lang w:val="ro-MD"/>
              </w:rPr>
            </w:pPr>
            <w:r>
              <w:rPr>
                <w:bCs/>
                <w:iCs/>
                <w:kern w:val="0"/>
                <w:sz w:val="22"/>
                <w:szCs w:val="22"/>
                <w:lang w:val="en-GB" w:bidi="ar-SA"/>
              </w:rPr>
              <w:t xml:space="preserve">Aprobat prin </w:t>
            </w:r>
            <w:r>
              <w:rPr>
                <w:bCs/>
                <w:kern w:val="0"/>
                <w:sz w:val="22"/>
                <w:szCs w:val="22"/>
                <w:lang w:val="ro-MD" w:bidi="ar-SA"/>
              </w:rPr>
              <w:t>Ordinul MF nr. 145 din 24.11.2020, original,</w:t>
            </w:r>
            <w:r>
              <w:rPr>
                <w:b/>
                <w:iCs/>
                <w:kern w:val="0"/>
                <w:sz w:val="22"/>
                <w:szCs w:val="22"/>
                <w:lang w:val="ro-RO" w:bidi="ar-SA"/>
              </w:rPr>
              <w:t xml:space="preserve"> Confirmat prin semnătura electronică </w:t>
            </w:r>
            <w:r>
              <w:rPr>
                <w:kern w:val="0"/>
                <w:sz w:val="22"/>
                <w:szCs w:val="22"/>
                <w:lang w:val="en-GB" w:bidi="ar-SA"/>
              </w:rPr>
              <w:t xml:space="preserve">În termen de 5 zile de la data comunicării rezultatelor procedurii de achiziție publică, </w:t>
            </w:r>
          </w:p>
        </w:tc>
        <w:tc>
          <w:tcPr>
            <w:tcW w:w="161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12" w:leader="none"/>
              </w:tabs>
              <w:bidi w:val="0"/>
              <w:spacing w:before="120" w:after="0"/>
              <w:jc w:val="center"/>
              <w:rPr>
                <w:iCs/>
                <w:sz w:val="22"/>
                <w:szCs w:val="22"/>
                <w:lang w:val="en-US"/>
              </w:rPr>
            </w:pPr>
            <w:r>
              <w:rPr>
                <w:bCs/>
                <w:iCs/>
                <w:kern w:val="0"/>
                <w:sz w:val="22"/>
                <w:szCs w:val="22"/>
                <w:lang w:val="en-US" w:bidi="ar-SA"/>
              </w:rPr>
              <w:t xml:space="preserve">Obligatoriu </w:t>
            </w:r>
          </w:p>
        </w:tc>
      </w:tr>
      <w:tr>
        <w:trPr/>
        <w:tc>
          <w:tcPr>
            <w:tcW w:w="570"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12" w:leader="none"/>
              </w:tabs>
              <w:bidi w:val="0"/>
              <w:spacing w:before="120" w:after="120"/>
              <w:jc w:val="left"/>
              <w:rPr>
                <w:iCs/>
                <w:sz w:val="24"/>
                <w:szCs w:val="24"/>
                <w:lang w:val="ro-MD"/>
              </w:rPr>
            </w:pPr>
            <w:r>
              <w:rPr>
                <w:iCs/>
                <w:kern w:val="0"/>
                <w:sz w:val="24"/>
                <w:szCs w:val="24"/>
                <w:lang w:val="ro-MD" w:bidi="ar-SA"/>
              </w:rPr>
              <w:t>10</w:t>
            </w:r>
          </w:p>
        </w:tc>
        <w:tc>
          <w:tcPr>
            <w:tcW w:w="315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12" w:leader="none"/>
              </w:tabs>
              <w:bidi w:val="0"/>
              <w:spacing w:before="120" w:after="0"/>
              <w:jc w:val="left"/>
              <w:rPr>
                <w:sz w:val="22"/>
                <w:szCs w:val="22"/>
                <w:lang w:val="ro-MD"/>
              </w:rPr>
            </w:pPr>
            <w:r>
              <w:rPr>
                <w:kern w:val="0"/>
                <w:sz w:val="22"/>
                <w:szCs w:val="22"/>
                <w:lang w:val="en-US" w:bidi="ar-SA"/>
              </w:rPr>
              <w:t xml:space="preserve">Certificate conform cerințelor specific solicitate în lista reactivelor în ordinul MS nr. 374 din 05.05.2014, nr. 701 din 18.10.2010 </w:t>
            </w:r>
          </w:p>
        </w:tc>
        <w:tc>
          <w:tcPr>
            <w:tcW w:w="400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12" w:leader="none"/>
              </w:tabs>
              <w:bidi w:val="0"/>
              <w:spacing w:before="0" w:after="0"/>
              <w:jc w:val="both"/>
              <w:rPr>
                <w:iCs/>
                <w:sz w:val="22"/>
                <w:szCs w:val="22"/>
                <w:lang w:val="en-US"/>
              </w:rPr>
            </w:pPr>
            <w:r>
              <w:rPr>
                <w:iCs/>
                <w:kern w:val="0"/>
                <w:sz w:val="22"/>
                <w:szCs w:val="22"/>
                <w:lang w:val="en-US" w:bidi="ar-SA"/>
              </w:rPr>
              <w:t xml:space="preserve">Copie, </w:t>
            </w:r>
            <w:r>
              <w:rPr>
                <w:b/>
                <w:iCs/>
                <w:kern w:val="0"/>
                <w:sz w:val="22"/>
                <w:szCs w:val="22"/>
                <w:lang w:val="ro-RO" w:bidi="ar-SA"/>
              </w:rPr>
              <w:t xml:space="preserve">Confirmat prin semnătura electronică  </w:t>
            </w:r>
          </w:p>
        </w:tc>
        <w:tc>
          <w:tcPr>
            <w:tcW w:w="161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left" w:pos="612" w:leader="none"/>
              </w:tabs>
              <w:bidi w:val="0"/>
              <w:spacing w:before="120" w:after="0"/>
              <w:jc w:val="center"/>
              <w:rPr>
                <w:iCs/>
                <w:sz w:val="22"/>
                <w:szCs w:val="22"/>
                <w:lang w:val="en-US"/>
              </w:rPr>
            </w:pPr>
            <w:r>
              <w:rPr>
                <w:iCs/>
                <w:kern w:val="0"/>
                <w:sz w:val="22"/>
                <w:szCs w:val="22"/>
                <w:lang w:val="en-US" w:bidi="ar-SA"/>
              </w:rPr>
              <w:t>Obligatoriu</w:t>
            </w:r>
          </w:p>
        </w:tc>
      </w:tr>
    </w:tbl>
    <w:p>
      <w:pPr>
        <w:pStyle w:val="Normal"/>
        <w:numPr>
          <w:ilvl w:val="0"/>
          <w:numId w:val="2"/>
        </w:numPr>
        <w:tabs>
          <w:tab w:val="clear" w:pos="709"/>
          <w:tab w:val="right" w:pos="1146" w:leader="none"/>
        </w:tabs>
        <w:bidi w:val="0"/>
        <w:spacing w:before="120" w:after="0"/>
        <w:ind w:left="360" w:right="0" w:hanging="360"/>
        <w:jc w:val="left"/>
        <w:rPr>
          <w:b/>
          <w:sz w:val="24"/>
          <w:szCs w:val="24"/>
          <w:lang w:val="ro-MD"/>
        </w:rPr>
      </w:pPr>
      <w:r>
        <w:rPr>
          <w:b/>
          <w:sz w:val="24"/>
          <w:szCs w:val="24"/>
          <w:lang w:val="ro-MD"/>
        </w:rPr>
        <w:t>Motivul recurgerii la procedura accelerată (în cazul licitației deschise, restrânse și al procedurii negociate), după caz</w:t>
      </w:r>
      <w:r>
        <w:rPr>
          <w:b/>
          <w:sz w:val="24"/>
          <w:szCs w:val="24"/>
          <w:shd w:fill="FFFF00" w:val="clear"/>
          <w:lang w:val="ro-MD"/>
        </w:rPr>
        <w:t xml:space="preserve">_______________________________________________ </w:t>
      </w:r>
    </w:p>
    <w:p>
      <w:pPr>
        <w:pStyle w:val="Normal"/>
        <w:numPr>
          <w:ilvl w:val="0"/>
          <w:numId w:val="2"/>
        </w:numPr>
        <w:tabs>
          <w:tab w:val="clear" w:pos="709"/>
          <w:tab w:val="right" w:pos="1146" w:leader="none"/>
        </w:tabs>
        <w:bidi w:val="0"/>
        <w:spacing w:before="120" w:after="0"/>
        <w:ind w:left="360" w:right="0" w:hanging="360"/>
        <w:jc w:val="left"/>
        <w:rPr>
          <w:b/>
          <w:color w:val="000000"/>
          <w:sz w:val="24"/>
          <w:szCs w:val="24"/>
          <w:lang w:val="ro-MD"/>
        </w:rPr>
      </w:pPr>
      <w:r>
        <w:rPr>
          <w:b/>
          <w:color w:val="000000"/>
          <w:sz w:val="24"/>
          <w:szCs w:val="24"/>
          <w:lang w:val="ro-MD"/>
        </w:rPr>
        <w:t xml:space="preserve">Tehnici și instrumente specifice de atribuire (dacă este cazul specificați dacă se va utiliza acordul-cadru, sistemul dinamic de achiziție sau licitația electronică): </w:t>
      </w:r>
      <w:r>
        <w:rPr>
          <w:b/>
          <w:color w:val="000000"/>
          <w:sz w:val="24"/>
          <w:szCs w:val="24"/>
          <w:shd w:fill="FFFF00" w:val="clear"/>
          <w:lang w:val="ro-MD"/>
        </w:rPr>
        <w:t>_____</w:t>
      </w:r>
    </w:p>
    <w:p>
      <w:pPr>
        <w:pStyle w:val="Normal"/>
        <w:tabs>
          <w:tab w:val="clear" w:pos="709"/>
          <w:tab w:val="right" w:pos="426" w:leader="none"/>
        </w:tabs>
        <w:bidi w:val="0"/>
        <w:jc w:val="both"/>
        <w:rPr>
          <w:b/>
          <w:sz w:val="24"/>
          <w:szCs w:val="24"/>
          <w:lang w:val="ro-MD"/>
        </w:rPr>
      </w:pPr>
      <w:r>
        <w:rPr>
          <w:b/>
          <w:sz w:val="24"/>
          <w:szCs w:val="24"/>
          <w:lang w:val="ro-MD"/>
        </w:rPr>
        <w:t>19.Condiții speciale de care depinde îndeplinirea contractului (</w:t>
      </w:r>
      <w:r>
        <w:rPr>
          <w:sz w:val="24"/>
          <w:szCs w:val="24"/>
          <w:lang w:val="ro-MD"/>
        </w:rPr>
        <w:t>indicați după caz</w:t>
      </w:r>
      <w:r>
        <w:rPr>
          <w:b/>
          <w:sz w:val="24"/>
          <w:szCs w:val="24"/>
          <w:lang w:val="ro-MD"/>
        </w:rPr>
        <w:t>):</w:t>
      </w:r>
    </w:p>
    <w:p>
      <w:pPr>
        <w:pStyle w:val="Normal"/>
        <w:numPr>
          <w:ilvl w:val="0"/>
          <w:numId w:val="2"/>
        </w:numPr>
        <w:tabs>
          <w:tab w:val="clear" w:pos="709"/>
          <w:tab w:val="right" w:pos="426" w:leader="none"/>
        </w:tabs>
        <w:bidi w:val="0"/>
        <w:spacing w:before="120" w:after="0"/>
        <w:ind w:left="0" w:right="0" w:hanging="0"/>
        <w:jc w:val="left"/>
        <w:rPr>
          <w:b/>
          <w:sz w:val="24"/>
          <w:szCs w:val="24"/>
          <w:lang w:val="ro-MD"/>
        </w:rPr>
      </w:pPr>
      <w:r>
        <w:rPr>
          <w:b/>
          <w:sz w:val="24"/>
          <w:szCs w:val="24"/>
          <w:lang w:val="ro-MD"/>
        </w:rPr>
        <w:t xml:space="preserve">Criteriul de evaluare aplicat pentru adjudecarea contractului: </w:t>
      </w:r>
      <w:r>
        <w:rPr>
          <w:b/>
          <w:bCs/>
          <w:iCs/>
          <w:sz w:val="22"/>
          <w:szCs w:val="22"/>
          <w:lang w:val="en-US"/>
        </w:rPr>
        <w:t>cel mai mic preț</w:t>
      </w:r>
      <w:r>
        <w:rPr>
          <w:b/>
          <w:sz w:val="24"/>
          <w:szCs w:val="24"/>
          <w:shd w:fill="FFFF00" w:val="clear"/>
          <w:lang w:val="ro-MD"/>
        </w:rPr>
        <w:t xml:space="preserve"> cu îndeplinirea cerințelor obligatorii.</w:t>
      </w:r>
    </w:p>
    <w:p>
      <w:pPr>
        <w:pStyle w:val="Normal"/>
        <w:numPr>
          <w:ilvl w:val="0"/>
          <w:numId w:val="2"/>
        </w:numPr>
        <w:tabs>
          <w:tab w:val="clear" w:pos="709"/>
          <w:tab w:val="right" w:pos="426" w:leader="none"/>
        </w:tabs>
        <w:bidi w:val="0"/>
        <w:spacing w:before="120" w:after="0"/>
        <w:ind w:left="0" w:right="0" w:hanging="0"/>
        <w:jc w:val="left"/>
        <w:rPr>
          <w:b/>
          <w:sz w:val="24"/>
          <w:szCs w:val="24"/>
          <w:lang w:val="ro-MD"/>
        </w:rPr>
      </w:pPr>
      <w:r>
        <w:rPr>
          <w:b/>
          <w:sz w:val="24"/>
          <w:szCs w:val="24"/>
          <w:lang w:val="ro-MD"/>
        </w:rPr>
        <w:t>Factorii de evaluare a ofertei celei mai avantajoase din punct de vedere economic, precum și ponderile lor:</w:t>
      </w:r>
    </w:p>
    <w:tbl>
      <w:tblPr>
        <w:tblW w:w="9345" w:type="dxa"/>
        <w:jc w:val="left"/>
        <w:tblInd w:w="0" w:type="dxa"/>
        <w:tblLayout w:type="fixed"/>
        <w:tblCellMar>
          <w:top w:w="0" w:type="dxa"/>
          <w:left w:w="108" w:type="dxa"/>
          <w:bottom w:w="0" w:type="dxa"/>
          <w:right w:w="108" w:type="dxa"/>
        </w:tblCellMar>
      </w:tblPr>
      <w:tblGrid>
        <w:gridCol w:w="570"/>
        <w:gridCol w:w="7004"/>
        <w:gridCol w:w="1771"/>
      </w:tblGrid>
      <w:tr>
        <w:trPr/>
        <w:tc>
          <w:tcPr>
            <w:tcW w:w="570" w:type="dxa"/>
            <w:tcBorders>
              <w:top w:val="single" w:sz="4" w:space="0" w:color="000000"/>
              <w:left w:val="single" w:sz="4" w:space="0" w:color="000000"/>
              <w:bottom w:val="single" w:sz="4" w:space="0" w:color="000000"/>
              <w:right w:val="single" w:sz="4" w:space="0" w:color="000000"/>
            </w:tcBorders>
            <w:shd w:fill="D9D9D9" w:val="clear"/>
          </w:tcPr>
          <w:p>
            <w:pPr>
              <w:pStyle w:val="Normal"/>
              <w:widowControl w:val="false"/>
              <w:tabs>
                <w:tab w:val="clear" w:pos="709"/>
                <w:tab w:val="left" w:pos="612" w:leader="none"/>
              </w:tabs>
              <w:bidi w:val="0"/>
              <w:spacing w:before="120" w:after="120"/>
              <w:jc w:val="left"/>
              <w:rPr>
                <w:b/>
                <w:iCs/>
                <w:lang w:val="ro-MD"/>
              </w:rPr>
            </w:pPr>
            <w:r>
              <w:rPr>
                <w:b/>
                <w:iCs/>
                <w:kern w:val="0"/>
                <w:lang w:val="ro-MD" w:bidi="ar-SA"/>
              </w:rPr>
              <w:t>Nr. d/o</w:t>
            </w:r>
          </w:p>
        </w:tc>
        <w:tc>
          <w:tcPr>
            <w:tcW w:w="7004" w:type="dxa"/>
            <w:tcBorders>
              <w:top w:val="single" w:sz="4" w:space="0" w:color="000000"/>
              <w:left w:val="single" w:sz="4" w:space="0" w:color="000000"/>
              <w:bottom w:val="single" w:sz="4" w:space="0" w:color="000000"/>
              <w:right w:val="single" w:sz="4" w:space="0" w:color="000000"/>
            </w:tcBorders>
            <w:shd w:fill="D9D9D9" w:val="clear"/>
          </w:tcPr>
          <w:p>
            <w:pPr>
              <w:pStyle w:val="Normal"/>
              <w:widowControl w:val="false"/>
              <w:tabs>
                <w:tab w:val="clear" w:pos="709"/>
                <w:tab w:val="left" w:pos="612" w:leader="none"/>
              </w:tabs>
              <w:bidi w:val="0"/>
              <w:spacing w:before="120" w:after="120"/>
              <w:jc w:val="center"/>
              <w:rPr>
                <w:b/>
                <w:iCs/>
                <w:lang w:val="ro-MD"/>
              </w:rPr>
            </w:pPr>
            <w:r>
              <w:rPr>
                <w:b/>
                <w:iCs/>
                <w:kern w:val="0"/>
                <w:lang w:val="ro-MD" w:bidi="ar-SA"/>
              </w:rPr>
              <w:t>Denumirea factorului de evaluare</w:t>
            </w:r>
          </w:p>
        </w:tc>
        <w:tc>
          <w:tcPr>
            <w:tcW w:w="1771" w:type="dxa"/>
            <w:tcBorders>
              <w:top w:val="single" w:sz="4" w:space="0" w:color="000000"/>
              <w:left w:val="single" w:sz="4" w:space="0" w:color="000000"/>
              <w:bottom w:val="single" w:sz="4" w:space="0" w:color="000000"/>
              <w:right w:val="single" w:sz="4" w:space="0" w:color="000000"/>
            </w:tcBorders>
            <w:shd w:fill="D9D9D9" w:val="clear"/>
          </w:tcPr>
          <w:p>
            <w:pPr>
              <w:pStyle w:val="Normal"/>
              <w:widowControl w:val="false"/>
              <w:tabs>
                <w:tab w:val="clear" w:pos="709"/>
                <w:tab w:val="left" w:pos="612" w:leader="none"/>
              </w:tabs>
              <w:bidi w:val="0"/>
              <w:spacing w:before="120" w:after="120"/>
              <w:jc w:val="center"/>
              <w:rPr>
                <w:b/>
                <w:iCs/>
                <w:lang w:val="ro-MD"/>
              </w:rPr>
            </w:pPr>
            <w:r>
              <w:rPr>
                <w:b/>
                <w:iCs/>
                <w:kern w:val="0"/>
                <w:lang w:val="ro-MD" w:bidi="ar-SA"/>
              </w:rPr>
              <w:t>Ponderea%</w:t>
            </w:r>
          </w:p>
        </w:tc>
      </w:tr>
      <w:tr>
        <w:trPr/>
        <w:tc>
          <w:tcPr>
            <w:tcW w:w="570" w:type="dxa"/>
            <w:tcBorders>
              <w:top w:val="single" w:sz="4" w:space="0" w:color="000000"/>
              <w:left w:val="single" w:sz="4" w:space="0" w:color="000000"/>
              <w:bottom w:val="single" w:sz="4" w:space="0" w:color="000000"/>
              <w:right w:val="single" w:sz="4" w:space="0" w:color="000000"/>
            </w:tcBorders>
            <w:shd w:fill="D9D9D9" w:val="clear"/>
          </w:tcPr>
          <w:p>
            <w:pPr>
              <w:pStyle w:val="Normal"/>
              <w:widowControl w:val="false"/>
              <w:tabs>
                <w:tab w:val="clear" w:pos="709"/>
                <w:tab w:val="left" w:pos="612" w:leader="none"/>
              </w:tabs>
              <w:bidi w:val="0"/>
              <w:spacing w:before="120" w:after="120"/>
              <w:jc w:val="left"/>
              <w:rPr>
                <w:b/>
                <w:iCs/>
                <w:lang w:val="ro-MD"/>
              </w:rPr>
            </w:pPr>
            <w:r>
              <w:rPr>
                <w:b/>
                <w:iCs/>
                <w:lang w:val="ro-MD"/>
              </w:rPr>
            </w:r>
          </w:p>
        </w:tc>
        <w:tc>
          <w:tcPr>
            <w:tcW w:w="7004" w:type="dxa"/>
            <w:tcBorders>
              <w:top w:val="single" w:sz="4" w:space="0" w:color="000000"/>
              <w:left w:val="single" w:sz="4" w:space="0" w:color="000000"/>
              <w:bottom w:val="single" w:sz="4" w:space="0" w:color="000000"/>
              <w:right w:val="single" w:sz="4" w:space="0" w:color="000000"/>
            </w:tcBorders>
            <w:shd w:fill="D9D9D9" w:val="clear"/>
          </w:tcPr>
          <w:p>
            <w:pPr>
              <w:pStyle w:val="Normal"/>
              <w:widowControl w:val="false"/>
              <w:tabs>
                <w:tab w:val="clear" w:pos="709"/>
                <w:tab w:val="left" w:pos="612" w:leader="none"/>
              </w:tabs>
              <w:bidi w:val="0"/>
              <w:spacing w:before="120" w:after="120"/>
              <w:jc w:val="center"/>
              <w:rPr>
                <w:b/>
                <w:iCs/>
                <w:lang w:val="ro-MD"/>
              </w:rPr>
            </w:pPr>
            <w:r>
              <w:rPr>
                <w:b/>
                <w:iCs/>
                <w:lang w:val="ro-MD"/>
              </w:rPr>
            </w:r>
          </w:p>
        </w:tc>
        <w:tc>
          <w:tcPr>
            <w:tcW w:w="1771" w:type="dxa"/>
            <w:tcBorders>
              <w:top w:val="single" w:sz="4" w:space="0" w:color="000000"/>
              <w:left w:val="single" w:sz="4" w:space="0" w:color="000000"/>
              <w:bottom w:val="single" w:sz="4" w:space="0" w:color="000000"/>
              <w:right w:val="single" w:sz="4" w:space="0" w:color="000000"/>
            </w:tcBorders>
            <w:shd w:fill="D9D9D9" w:val="clear"/>
          </w:tcPr>
          <w:p>
            <w:pPr>
              <w:pStyle w:val="Normal"/>
              <w:widowControl w:val="false"/>
              <w:tabs>
                <w:tab w:val="clear" w:pos="709"/>
                <w:tab w:val="left" w:pos="612" w:leader="none"/>
              </w:tabs>
              <w:bidi w:val="0"/>
              <w:spacing w:before="120" w:after="120"/>
              <w:jc w:val="center"/>
              <w:rPr>
                <w:b/>
                <w:iCs/>
                <w:lang w:val="ro-MD"/>
              </w:rPr>
            </w:pPr>
            <w:r>
              <w:rPr>
                <w:b/>
                <w:iCs/>
                <w:lang w:val="ro-MD"/>
              </w:rPr>
            </w:r>
          </w:p>
        </w:tc>
      </w:tr>
    </w:tbl>
    <w:p>
      <w:pPr>
        <w:pStyle w:val="Normal"/>
        <w:numPr>
          <w:ilvl w:val="0"/>
          <w:numId w:val="2"/>
        </w:numPr>
        <w:tabs>
          <w:tab w:val="clear" w:pos="709"/>
          <w:tab w:val="right" w:pos="426" w:leader="none"/>
        </w:tabs>
        <w:bidi w:val="0"/>
        <w:spacing w:before="120" w:after="0"/>
        <w:ind w:left="0" w:right="0" w:hanging="0"/>
        <w:jc w:val="left"/>
        <w:rPr>
          <w:b/>
          <w:sz w:val="24"/>
          <w:szCs w:val="24"/>
          <w:lang w:val="ro-MD"/>
        </w:rPr>
      </w:pPr>
      <w:r>
        <w:rPr>
          <w:b/>
          <w:sz w:val="24"/>
          <w:szCs w:val="24"/>
          <w:lang w:val="ro-MD"/>
        </w:rPr>
        <w:t>Termenul limită de depunere/deschidere a ofertelor:</w:t>
      </w:r>
    </w:p>
    <w:p>
      <w:pPr>
        <w:pStyle w:val="ListParagraph"/>
        <w:numPr>
          <w:ilvl w:val="0"/>
          <w:numId w:val="4"/>
        </w:numPr>
        <w:tabs>
          <w:tab w:val="clear" w:pos="709"/>
          <w:tab w:val="right" w:pos="1866" w:leader="none"/>
        </w:tabs>
        <w:bidi w:val="0"/>
        <w:spacing w:before="120" w:after="0"/>
        <w:ind w:left="720" w:right="0" w:hanging="360"/>
        <w:contextualSpacing w:val="false"/>
        <w:jc w:val="left"/>
        <w:rPr>
          <w:b/>
          <w:sz w:val="24"/>
          <w:szCs w:val="24"/>
          <w:lang w:val="ro-MD"/>
        </w:rPr>
      </w:pPr>
      <w:r>
        <w:rPr>
          <w:b/>
          <w:sz w:val="24"/>
          <w:szCs w:val="24"/>
          <w:lang w:val="ro-MD"/>
        </w:rPr>
        <w:t xml:space="preserve">până la: </w:t>
      </w:r>
      <w:r>
        <w:rPr>
          <w:b/>
          <w:i/>
          <w:sz w:val="24"/>
          <w:szCs w:val="24"/>
          <w:lang w:val="ro-MD"/>
        </w:rPr>
        <w:t>[ora exactă]</w:t>
      </w:r>
      <w:r>
        <w:rPr>
          <w:b/>
          <w:sz w:val="24"/>
          <w:szCs w:val="24"/>
          <w:lang w:val="ro-MD"/>
        </w:rPr>
        <w:t xml:space="preserve"> </w:t>
      </w:r>
      <w:r>
        <w:rPr>
          <w:b/>
          <w:i/>
          <w:sz w:val="24"/>
          <w:szCs w:val="24"/>
          <w:lang w:val="ro-MD"/>
        </w:rPr>
        <w:t>SIA RSAP</w:t>
      </w:r>
    </w:p>
    <w:p>
      <w:pPr>
        <w:pStyle w:val="ListParagraph"/>
        <w:numPr>
          <w:ilvl w:val="0"/>
          <w:numId w:val="4"/>
        </w:numPr>
        <w:tabs>
          <w:tab w:val="clear" w:pos="709"/>
          <w:tab w:val="right" w:pos="1866" w:leader="none"/>
        </w:tabs>
        <w:bidi w:val="0"/>
        <w:spacing w:before="120" w:after="0"/>
        <w:ind w:left="720" w:right="0" w:hanging="360"/>
        <w:contextualSpacing w:val="false"/>
        <w:jc w:val="left"/>
        <w:rPr>
          <w:b/>
          <w:sz w:val="24"/>
          <w:szCs w:val="24"/>
          <w:lang w:val="ro-MD"/>
        </w:rPr>
      </w:pPr>
      <w:r>
        <w:rPr>
          <w:b/>
          <w:sz w:val="24"/>
          <w:szCs w:val="24"/>
          <w:lang w:val="ro-MD"/>
        </w:rPr>
        <w:t xml:space="preserve">pe: </w:t>
      </w:r>
      <w:r>
        <w:rPr>
          <w:b/>
          <w:i/>
          <w:sz w:val="24"/>
          <w:szCs w:val="24"/>
          <w:lang w:val="ro-MD"/>
        </w:rPr>
        <w:t>[data]</w:t>
      </w:r>
      <w:r>
        <w:rPr>
          <w:b/>
          <w:sz w:val="24"/>
          <w:szCs w:val="24"/>
          <w:lang w:val="ro-MD"/>
        </w:rPr>
        <w:t xml:space="preserve"> </w:t>
      </w:r>
      <w:r>
        <w:rPr>
          <w:b/>
          <w:i/>
          <w:sz w:val="24"/>
          <w:szCs w:val="24"/>
          <w:lang w:val="ro-MD"/>
        </w:rPr>
        <w:t xml:space="preserve">SIA RSAP </w:t>
      </w:r>
    </w:p>
    <w:p>
      <w:pPr>
        <w:pStyle w:val="Normal"/>
        <w:numPr>
          <w:ilvl w:val="0"/>
          <w:numId w:val="2"/>
        </w:numPr>
        <w:tabs>
          <w:tab w:val="clear" w:pos="709"/>
          <w:tab w:val="right" w:pos="426" w:leader="none"/>
        </w:tabs>
        <w:bidi w:val="0"/>
        <w:spacing w:before="120" w:after="0"/>
        <w:ind w:left="0" w:right="0" w:hanging="0"/>
        <w:jc w:val="left"/>
        <w:rPr>
          <w:b/>
          <w:sz w:val="24"/>
          <w:szCs w:val="24"/>
          <w:lang w:val="ro-MD"/>
        </w:rPr>
      </w:pPr>
      <w:r>
        <w:rPr>
          <w:b/>
          <w:sz w:val="24"/>
          <w:szCs w:val="24"/>
          <w:lang w:val="ro-MD"/>
        </w:rPr>
        <w:t xml:space="preserve">Adresa la care trebuie transmise ofertele sau cererile de participare: </w:t>
      </w:r>
    </w:p>
    <w:p>
      <w:pPr>
        <w:pStyle w:val="Normal"/>
        <w:tabs>
          <w:tab w:val="clear" w:pos="709"/>
          <w:tab w:val="right" w:pos="1326" w:leader="none"/>
        </w:tabs>
        <w:bidi w:val="0"/>
        <w:spacing w:before="120" w:after="0"/>
        <w:ind w:left="450" w:right="0" w:hanging="0"/>
        <w:jc w:val="left"/>
        <w:rPr>
          <w:b/>
          <w:sz w:val="24"/>
          <w:szCs w:val="24"/>
          <w:lang w:val="ro-MD"/>
        </w:rPr>
      </w:pPr>
      <w:r>
        <w:rPr>
          <w:b/>
          <w:i/>
          <w:sz w:val="24"/>
          <w:szCs w:val="24"/>
          <w:lang w:val="ro-MD"/>
        </w:rPr>
        <w:t>Ofertele sau cererile de participare vor fi depuse electronic prin intermediul SIA RSAP</w:t>
      </w:r>
    </w:p>
    <w:p>
      <w:pPr>
        <w:pStyle w:val="Normal"/>
        <w:numPr>
          <w:ilvl w:val="0"/>
          <w:numId w:val="2"/>
        </w:numPr>
        <w:tabs>
          <w:tab w:val="clear" w:pos="709"/>
          <w:tab w:val="right" w:pos="426" w:leader="none"/>
        </w:tabs>
        <w:bidi w:val="0"/>
        <w:spacing w:before="120" w:after="0"/>
        <w:ind w:left="0" w:right="0" w:hanging="0"/>
        <w:jc w:val="left"/>
        <w:rPr>
          <w:b/>
          <w:sz w:val="24"/>
          <w:szCs w:val="24"/>
          <w:lang w:val="ro-MD"/>
        </w:rPr>
      </w:pPr>
      <w:r>
        <w:rPr>
          <w:b/>
          <w:sz w:val="24"/>
          <w:szCs w:val="24"/>
          <w:lang w:val="ro-MD"/>
        </w:rPr>
        <w:t xml:space="preserve">Termenul de valabilitate a ofertelor: </w:t>
      </w:r>
      <w:r>
        <w:rPr>
          <w:b/>
          <w:sz w:val="24"/>
          <w:szCs w:val="24"/>
          <w:shd w:fill="FFFF00" w:val="clear"/>
          <w:lang w:val="ro-MD"/>
        </w:rPr>
        <w:t>30 zile</w:t>
      </w:r>
    </w:p>
    <w:p>
      <w:pPr>
        <w:pStyle w:val="Normal"/>
        <w:numPr>
          <w:ilvl w:val="0"/>
          <w:numId w:val="2"/>
        </w:numPr>
        <w:tabs>
          <w:tab w:val="clear" w:pos="709"/>
          <w:tab w:val="right" w:pos="426" w:leader="none"/>
        </w:tabs>
        <w:bidi w:val="0"/>
        <w:spacing w:before="120" w:after="0"/>
        <w:ind w:left="0" w:right="0" w:hanging="0"/>
        <w:jc w:val="left"/>
        <w:rPr>
          <w:b/>
          <w:sz w:val="24"/>
          <w:szCs w:val="24"/>
          <w:lang w:val="ro-MD"/>
        </w:rPr>
      </w:pPr>
      <w:r>
        <w:rPr>
          <w:b/>
          <w:sz w:val="24"/>
          <w:szCs w:val="24"/>
          <w:lang w:val="ro-MD"/>
        </w:rPr>
        <w:t xml:space="preserve">Locul deschiderii ofertelor: </w:t>
      </w:r>
      <w:r>
        <w:rPr>
          <w:b/>
          <w:i/>
          <w:sz w:val="24"/>
          <w:szCs w:val="24"/>
          <w:lang w:val="ro-MD"/>
        </w:rPr>
        <w:t xml:space="preserve">SIA RSAP </w:t>
      </w:r>
    </w:p>
    <w:p>
      <w:pPr>
        <w:pStyle w:val="ListParagraph"/>
        <w:tabs>
          <w:tab w:val="clear" w:pos="709"/>
          <w:tab w:val="right" w:pos="6906" w:leader="none"/>
        </w:tabs>
        <w:bidi w:val="0"/>
        <w:ind w:left="3240" w:right="0" w:hanging="0"/>
        <w:jc w:val="center"/>
        <w:rPr>
          <w:szCs w:val="24"/>
          <w:lang w:val="ro-MD"/>
        </w:rPr>
      </w:pPr>
      <w:r>
        <w:rPr>
          <w:szCs w:val="24"/>
          <w:lang w:val="ro-MD"/>
        </w:rPr>
        <w:t>(SIA RSAP sau adresa deschiderii)</w:t>
      </w:r>
    </w:p>
    <w:p>
      <w:pPr>
        <w:pStyle w:val="ListParagraph"/>
        <w:tabs>
          <w:tab w:val="clear" w:pos="709"/>
          <w:tab w:val="left" w:pos="1080" w:leader="none"/>
          <w:tab w:val="left" w:pos="2520" w:leader="none"/>
          <w:tab w:val="left" w:pos="3960" w:leader="none"/>
        </w:tabs>
        <w:bidi w:val="0"/>
        <w:spacing w:before="0" w:after="120"/>
        <w:ind w:left="360" w:right="0" w:hanging="0"/>
        <w:contextualSpacing w:val="false"/>
        <w:jc w:val="left"/>
        <w:rPr>
          <w:b/>
          <w:i/>
          <w:i/>
          <w:sz w:val="24"/>
          <w:szCs w:val="24"/>
          <w:lang w:val="ro-MD"/>
        </w:rPr>
      </w:pPr>
      <w:r>
        <w:rPr>
          <w:b/>
          <w:i/>
          <w:sz w:val="24"/>
          <w:szCs w:val="24"/>
          <w:lang w:val="ro-MD"/>
        </w:rPr>
        <w:t xml:space="preserve">Ofertele întârziate vor fi respinse. </w:t>
      </w:r>
    </w:p>
    <w:p>
      <w:pPr>
        <w:pStyle w:val="Normal"/>
        <w:numPr>
          <w:ilvl w:val="0"/>
          <w:numId w:val="2"/>
        </w:numPr>
        <w:tabs>
          <w:tab w:val="clear" w:pos="709"/>
          <w:tab w:val="right" w:pos="1326" w:leader="none"/>
        </w:tabs>
        <w:bidi w:val="0"/>
        <w:spacing w:before="120" w:after="0"/>
        <w:ind w:left="450" w:right="0" w:hanging="450"/>
        <w:jc w:val="left"/>
        <w:rPr>
          <w:b/>
          <w:sz w:val="24"/>
          <w:szCs w:val="24"/>
          <w:lang w:val="ro-MD"/>
        </w:rPr>
      </w:pPr>
      <w:r>
        <w:rPr>
          <w:b/>
          <w:sz w:val="24"/>
          <w:szCs w:val="24"/>
          <w:lang w:val="ro-MD"/>
        </w:rPr>
        <w:t xml:space="preserve">Persoanele autorizate să asiste la deschiderea ofertelor: </w:t>
        <w:br/>
      </w:r>
      <w:r>
        <w:rPr>
          <w:b/>
          <w:i/>
          <w:sz w:val="24"/>
          <w:szCs w:val="24"/>
          <w:lang w:val="ro-MD"/>
        </w:rPr>
        <w:t>Ofertanții sau reprezentanții acestora au dreptul să participe la deschiderea ofertelor, cu excepția cazului când ofertele au fost depuse prin SIA “RSAP”</w:t>
      </w:r>
      <w:r>
        <w:rPr>
          <w:b/>
          <w:sz w:val="24"/>
          <w:szCs w:val="24"/>
          <w:lang w:val="ro-MD"/>
        </w:rPr>
        <w:t>.</w:t>
      </w:r>
    </w:p>
    <w:p>
      <w:pPr>
        <w:pStyle w:val="Normal"/>
        <w:numPr>
          <w:ilvl w:val="0"/>
          <w:numId w:val="2"/>
        </w:numPr>
        <w:tabs>
          <w:tab w:val="clear" w:pos="709"/>
          <w:tab w:val="right" w:pos="1326" w:leader="none"/>
        </w:tabs>
        <w:bidi w:val="0"/>
        <w:spacing w:before="120" w:after="0"/>
        <w:ind w:left="450" w:right="0" w:hanging="450"/>
        <w:jc w:val="left"/>
        <w:rPr>
          <w:b/>
          <w:sz w:val="24"/>
          <w:szCs w:val="24"/>
          <w:lang w:val="ro-MD"/>
        </w:rPr>
      </w:pPr>
      <w:r>
        <w:rPr>
          <w:b/>
          <w:sz w:val="24"/>
          <w:szCs w:val="24"/>
          <w:lang w:val="ro-MD"/>
        </w:rPr>
        <w:t xml:space="preserve">Limba sau limbile în care trebuie redactate ofertele sau cererile de participare: </w:t>
      </w:r>
      <w:r>
        <w:rPr>
          <w:b/>
          <w:sz w:val="24"/>
          <w:szCs w:val="24"/>
          <w:shd w:fill="FFFF00" w:val="clear"/>
          <w:lang w:val="ro-MD"/>
        </w:rPr>
        <w:t xml:space="preserve">limba </w:t>
      </w:r>
      <w:r>
        <w:rPr>
          <w:b/>
          <w:sz w:val="24"/>
          <w:szCs w:val="24"/>
          <w:shd w:fill="FFFF00" w:val="clear"/>
          <w:lang w:val="ro-MD"/>
        </w:rPr>
        <w:t>română</w:t>
      </w:r>
    </w:p>
    <w:p>
      <w:pPr>
        <w:pStyle w:val="Normal"/>
        <w:numPr>
          <w:ilvl w:val="0"/>
          <w:numId w:val="2"/>
        </w:numPr>
        <w:tabs>
          <w:tab w:val="clear" w:pos="709"/>
          <w:tab w:val="right" w:pos="1146" w:leader="none"/>
        </w:tabs>
        <w:bidi w:val="0"/>
        <w:spacing w:before="120" w:after="0"/>
        <w:ind w:left="360" w:right="0" w:hanging="360"/>
        <w:jc w:val="left"/>
        <w:rPr>
          <w:b/>
          <w:sz w:val="24"/>
          <w:szCs w:val="24"/>
          <w:lang w:val="ro-MD"/>
        </w:rPr>
      </w:pPr>
      <w:r>
        <w:rPr>
          <w:b/>
          <w:sz w:val="24"/>
          <w:szCs w:val="24"/>
          <w:lang w:val="ro-MD"/>
        </w:rPr>
        <w:t xml:space="preserve">Respectivul contract se referă la un proiect și/sau program finanțat din fonduri ale Uniunii Europene: </w:t>
      </w:r>
      <w:r>
        <w:rPr>
          <w:b/>
          <w:sz w:val="24"/>
          <w:szCs w:val="24"/>
          <w:shd w:fill="FFFF00" w:val="clear"/>
          <w:lang w:val="ro-MD"/>
        </w:rPr>
        <w:t>____________________________________________________________</w:t>
      </w:r>
    </w:p>
    <w:p>
      <w:pPr>
        <w:pStyle w:val="Normal"/>
        <w:numPr>
          <w:ilvl w:val="0"/>
          <w:numId w:val="2"/>
        </w:numPr>
        <w:tabs>
          <w:tab w:val="clear" w:pos="709"/>
          <w:tab w:val="right" w:pos="426" w:leader="none"/>
        </w:tabs>
        <w:bidi w:val="0"/>
        <w:spacing w:before="120" w:after="0"/>
        <w:ind w:left="0" w:right="0" w:hanging="0"/>
        <w:jc w:val="left"/>
        <w:rPr>
          <w:b/>
          <w:sz w:val="24"/>
          <w:szCs w:val="24"/>
          <w:lang w:val="ro-MD"/>
        </w:rPr>
      </w:pPr>
      <w:r>
        <w:rPr>
          <w:b/>
          <w:sz w:val="24"/>
          <w:szCs w:val="24"/>
          <w:lang w:val="ro-MD"/>
        </w:rPr>
        <w:t xml:space="preserve">Denumirea și adresa organismului competent de soluționare a contestațiilor: </w:t>
      </w:r>
    </w:p>
    <w:p>
      <w:pPr>
        <w:pStyle w:val="Normal"/>
        <w:tabs>
          <w:tab w:val="clear" w:pos="709"/>
          <w:tab w:val="right" w:pos="1326" w:leader="none"/>
        </w:tabs>
        <w:bidi w:val="0"/>
        <w:ind w:left="450" w:right="0" w:hanging="0"/>
        <w:jc w:val="left"/>
        <w:rPr>
          <w:b/>
          <w:i/>
          <w:i/>
          <w:sz w:val="24"/>
          <w:szCs w:val="24"/>
          <w:lang w:val="ro-MD"/>
        </w:rPr>
      </w:pPr>
      <w:r>
        <w:rPr>
          <w:b/>
          <w:i/>
          <w:sz w:val="24"/>
          <w:szCs w:val="24"/>
          <w:lang w:val="ro-MD"/>
        </w:rPr>
        <w:t>Agenția Națională pentru Soluționarea Contestațiilor</w:t>
      </w:r>
    </w:p>
    <w:p>
      <w:pPr>
        <w:pStyle w:val="Normal"/>
        <w:tabs>
          <w:tab w:val="clear" w:pos="709"/>
          <w:tab w:val="right" w:pos="1326" w:leader="none"/>
        </w:tabs>
        <w:bidi w:val="0"/>
        <w:ind w:left="450" w:right="0" w:hanging="0"/>
        <w:jc w:val="left"/>
        <w:rPr>
          <w:b/>
          <w:i/>
          <w:i/>
          <w:sz w:val="24"/>
          <w:szCs w:val="24"/>
          <w:lang w:val="ro-MD"/>
        </w:rPr>
      </w:pPr>
      <w:r>
        <w:rPr>
          <w:b/>
          <w:i/>
          <w:sz w:val="24"/>
          <w:szCs w:val="24"/>
          <w:lang w:val="ro-MD"/>
        </w:rPr>
        <w:t>Adresa: mun. Chișinău, bd. Ștefan cel Mare și Sfânt nr.124 (et.4), MD 2001;</w:t>
      </w:r>
    </w:p>
    <w:p>
      <w:pPr>
        <w:pStyle w:val="Normal"/>
        <w:tabs>
          <w:tab w:val="clear" w:pos="709"/>
          <w:tab w:val="right" w:pos="1326" w:leader="none"/>
        </w:tabs>
        <w:bidi w:val="0"/>
        <w:ind w:left="450" w:right="0" w:hanging="0"/>
        <w:jc w:val="left"/>
        <w:rPr>
          <w:b/>
          <w:i/>
          <w:i/>
          <w:sz w:val="24"/>
          <w:szCs w:val="24"/>
          <w:lang w:val="ro-MD"/>
        </w:rPr>
      </w:pPr>
      <w:r>
        <w:rPr>
          <w:b/>
          <w:i/>
          <w:sz w:val="24"/>
          <w:szCs w:val="24"/>
          <w:lang w:val="ro-MD"/>
        </w:rPr>
        <w:t>Tel/Fax/email:</w:t>
      </w:r>
      <w:r>
        <w:rPr>
          <w:b/>
          <w:i/>
          <w:color w:val="000000"/>
          <w:sz w:val="27"/>
          <w:szCs w:val="27"/>
          <w:shd w:fill="FFFFFF" w:val="clear"/>
          <w:lang w:val="ro-MD"/>
        </w:rPr>
        <w:t xml:space="preserve"> </w:t>
      </w:r>
      <w:r>
        <w:rPr>
          <w:b/>
          <w:i/>
          <w:sz w:val="24"/>
          <w:szCs w:val="24"/>
          <w:lang w:val="ro-MD"/>
        </w:rPr>
        <w:t>022-820 652, 022 820-651, contestatii@ansc.md</w:t>
      </w:r>
    </w:p>
    <w:p>
      <w:pPr>
        <w:pStyle w:val="Normal"/>
        <w:numPr>
          <w:ilvl w:val="0"/>
          <w:numId w:val="2"/>
        </w:numPr>
        <w:tabs>
          <w:tab w:val="clear" w:pos="709"/>
          <w:tab w:val="right" w:pos="1146" w:leader="none"/>
        </w:tabs>
        <w:bidi w:val="0"/>
        <w:spacing w:before="120" w:after="0"/>
        <w:ind w:left="360" w:right="0" w:hanging="360"/>
        <w:jc w:val="left"/>
        <w:rPr>
          <w:b/>
          <w:sz w:val="24"/>
          <w:szCs w:val="24"/>
          <w:lang w:val="ro-MD"/>
        </w:rPr>
      </w:pPr>
      <w:r>
        <w:rPr>
          <w:b/>
          <w:sz w:val="24"/>
          <w:szCs w:val="24"/>
          <w:lang w:val="ro-MD"/>
        </w:rPr>
        <w:t>Data (datele) și referința (referințele) publicărilor anterioare în Jurnalul Oficial al Uniunii Europene privind contractul (contractele) la care se referă anunțul respective (dacă este cazul</w:t>
      </w:r>
      <w:r>
        <w:rPr>
          <w:b/>
          <w:sz w:val="24"/>
          <w:szCs w:val="24"/>
          <w:shd w:fill="FFFF00" w:val="clear"/>
          <w:lang w:val="ro-MD"/>
        </w:rPr>
        <w:t>):_______________________________________________________</w:t>
      </w:r>
    </w:p>
    <w:p>
      <w:pPr>
        <w:pStyle w:val="Normal"/>
        <w:numPr>
          <w:ilvl w:val="0"/>
          <w:numId w:val="2"/>
        </w:numPr>
        <w:tabs>
          <w:tab w:val="clear" w:pos="709"/>
          <w:tab w:val="right" w:pos="1146" w:leader="none"/>
        </w:tabs>
        <w:bidi w:val="0"/>
        <w:spacing w:before="120" w:after="0"/>
        <w:ind w:left="360" w:right="0" w:hanging="360"/>
        <w:jc w:val="left"/>
        <w:rPr>
          <w:b/>
          <w:sz w:val="24"/>
          <w:szCs w:val="24"/>
          <w:lang w:val="ro-MD"/>
        </w:rPr>
      </w:pPr>
      <w:r>
        <w:rPr>
          <w:b/>
          <w:sz w:val="24"/>
          <w:szCs w:val="24"/>
          <w:lang w:val="ro-MD"/>
        </w:rPr>
        <w:t>În cazul achizițiilor periodice, calendarul estimat pentru publicarea anunțurilor viitoare</w:t>
      </w:r>
      <w:r>
        <w:rPr>
          <w:b/>
          <w:sz w:val="24"/>
          <w:szCs w:val="24"/>
          <w:shd w:fill="FFFF00" w:val="clear"/>
          <w:lang w:val="ro-MD"/>
        </w:rPr>
        <w:t>:___________________________________________________________________</w:t>
      </w:r>
    </w:p>
    <w:p>
      <w:pPr>
        <w:pStyle w:val="Normal"/>
        <w:numPr>
          <w:ilvl w:val="0"/>
          <w:numId w:val="2"/>
        </w:numPr>
        <w:tabs>
          <w:tab w:val="clear" w:pos="709"/>
          <w:tab w:val="right" w:pos="1146" w:leader="none"/>
        </w:tabs>
        <w:bidi w:val="0"/>
        <w:spacing w:before="120" w:after="0"/>
        <w:ind w:left="360" w:right="0" w:hanging="360"/>
        <w:jc w:val="left"/>
        <w:rPr>
          <w:b/>
          <w:sz w:val="24"/>
          <w:szCs w:val="24"/>
          <w:lang w:val="ro-MD"/>
        </w:rPr>
      </w:pPr>
      <w:r>
        <w:rPr>
          <w:b/>
          <w:sz w:val="24"/>
          <w:szCs w:val="24"/>
          <w:lang w:val="ro-MD"/>
        </w:rPr>
        <w:t>Data publicării anunțului de intenție sau, după caz, precizarea că nu a fost publicat un astfel de anunţ</w:t>
      </w:r>
      <w:r>
        <w:rPr>
          <w:b/>
          <w:sz w:val="24"/>
          <w:szCs w:val="24"/>
          <w:shd w:fill="FFFF00" w:val="clear"/>
          <w:lang w:val="ro-MD"/>
        </w:rPr>
        <w:t>:______________________________________________________</w:t>
      </w:r>
    </w:p>
    <w:p>
      <w:pPr>
        <w:pStyle w:val="Normal"/>
        <w:numPr>
          <w:ilvl w:val="0"/>
          <w:numId w:val="2"/>
        </w:numPr>
        <w:tabs>
          <w:tab w:val="clear" w:pos="709"/>
          <w:tab w:val="right" w:pos="426" w:leader="none"/>
        </w:tabs>
        <w:bidi w:val="0"/>
        <w:spacing w:before="120" w:after="0"/>
        <w:ind w:left="0" w:right="0" w:hanging="0"/>
        <w:jc w:val="left"/>
        <w:rPr>
          <w:b/>
          <w:sz w:val="24"/>
          <w:szCs w:val="24"/>
          <w:lang w:val="ro-MD"/>
        </w:rPr>
      </w:pPr>
      <w:r>
        <w:rPr>
          <w:b/>
          <w:sz w:val="24"/>
          <w:szCs w:val="24"/>
          <w:lang w:val="ro-MD"/>
        </w:rPr>
        <w:t>Data transmiterii spre publicare a anunțului de participare: conform SIA RSAP Mtender</w:t>
      </w:r>
    </w:p>
    <w:p>
      <w:pPr>
        <w:pStyle w:val="Normal"/>
        <w:numPr>
          <w:ilvl w:val="0"/>
          <w:numId w:val="2"/>
        </w:numPr>
        <w:tabs>
          <w:tab w:val="clear" w:pos="709"/>
          <w:tab w:val="right" w:pos="426" w:leader="none"/>
        </w:tabs>
        <w:bidi w:val="0"/>
        <w:spacing w:before="120" w:after="0"/>
        <w:ind w:left="0" w:right="0" w:hanging="0"/>
        <w:jc w:val="left"/>
        <w:rPr>
          <w:b/>
          <w:sz w:val="24"/>
          <w:szCs w:val="24"/>
          <w:lang w:val="ro-MD"/>
        </w:rPr>
      </w:pPr>
      <w:r>
        <w:rPr>
          <w:b/>
          <w:sz w:val="24"/>
          <w:szCs w:val="24"/>
          <w:lang w:val="ro-MD"/>
        </w:rPr>
        <w:t>În cadrul procedurii de achiziție publică se va utiliza/accepta:</w:t>
      </w:r>
    </w:p>
    <w:p>
      <w:pPr>
        <w:pStyle w:val="Normal"/>
        <w:tabs>
          <w:tab w:val="clear" w:pos="709"/>
          <w:tab w:val="right" w:pos="426" w:leader="none"/>
        </w:tabs>
        <w:bidi w:val="0"/>
        <w:spacing w:before="120" w:after="0"/>
        <w:jc w:val="left"/>
        <w:rPr>
          <w:b/>
          <w:sz w:val="24"/>
          <w:szCs w:val="24"/>
          <w:lang w:val="ro-MD"/>
        </w:rPr>
      </w:pPr>
      <w:r>
        <w:rPr>
          <w:b/>
          <w:sz w:val="24"/>
          <w:szCs w:val="24"/>
          <w:lang w:val="ro-MD"/>
        </w:rPr>
      </w:r>
    </w:p>
    <w:tbl>
      <w:tblPr>
        <w:tblW w:w="8900" w:type="dxa"/>
        <w:jc w:val="left"/>
        <w:tblInd w:w="445" w:type="dxa"/>
        <w:tblLayout w:type="fixed"/>
        <w:tblCellMar>
          <w:top w:w="0" w:type="dxa"/>
          <w:left w:w="108" w:type="dxa"/>
          <w:bottom w:w="0" w:type="dxa"/>
          <w:right w:w="108" w:type="dxa"/>
        </w:tblCellMar>
      </w:tblPr>
      <w:tblGrid>
        <w:gridCol w:w="5185"/>
        <w:gridCol w:w="3715"/>
      </w:tblGrid>
      <w:tr>
        <w:trPr/>
        <w:tc>
          <w:tcPr>
            <w:tcW w:w="5185" w:type="dxa"/>
            <w:tcBorders>
              <w:top w:val="single" w:sz="4" w:space="0" w:color="000000"/>
              <w:left w:val="single" w:sz="4" w:space="0" w:color="000000"/>
              <w:bottom w:val="single" w:sz="4" w:space="0" w:color="000000"/>
              <w:right w:val="single" w:sz="4" w:space="0" w:color="000000"/>
            </w:tcBorders>
            <w:shd w:fill="E7E6E6" w:val="clear"/>
          </w:tcPr>
          <w:p>
            <w:pPr>
              <w:pStyle w:val="Normal"/>
              <w:widowControl w:val="false"/>
              <w:tabs>
                <w:tab w:val="clear" w:pos="709"/>
                <w:tab w:val="right" w:pos="426" w:leader="none"/>
              </w:tabs>
              <w:bidi w:val="0"/>
              <w:spacing w:before="0" w:after="0"/>
              <w:jc w:val="left"/>
              <w:rPr>
                <w:b/>
                <w:sz w:val="24"/>
                <w:szCs w:val="24"/>
                <w:lang w:val="ro-MD"/>
              </w:rPr>
            </w:pPr>
            <w:r>
              <w:rPr>
                <w:b/>
                <w:kern w:val="0"/>
                <w:sz w:val="24"/>
                <w:szCs w:val="24"/>
                <w:lang w:val="ro-MD" w:bidi="ar-SA"/>
              </w:rPr>
              <w:t>Denumirea instrumentului electronic</w:t>
            </w:r>
          </w:p>
        </w:tc>
        <w:tc>
          <w:tcPr>
            <w:tcW w:w="3715" w:type="dxa"/>
            <w:tcBorders>
              <w:top w:val="single" w:sz="4" w:space="0" w:color="000000"/>
              <w:left w:val="single" w:sz="4" w:space="0" w:color="000000"/>
              <w:bottom w:val="single" w:sz="4" w:space="0" w:color="000000"/>
              <w:right w:val="single" w:sz="4" w:space="0" w:color="000000"/>
            </w:tcBorders>
            <w:shd w:fill="E7E6E6" w:val="clear"/>
          </w:tcPr>
          <w:p>
            <w:pPr>
              <w:pStyle w:val="Normal"/>
              <w:widowControl w:val="false"/>
              <w:tabs>
                <w:tab w:val="clear" w:pos="709"/>
                <w:tab w:val="right" w:pos="426" w:leader="none"/>
              </w:tabs>
              <w:bidi w:val="0"/>
              <w:spacing w:before="0" w:after="0"/>
              <w:jc w:val="left"/>
              <w:rPr>
                <w:b/>
                <w:sz w:val="24"/>
                <w:szCs w:val="24"/>
                <w:lang w:val="ro-MD"/>
              </w:rPr>
            </w:pPr>
            <w:r>
              <w:rPr>
                <w:b/>
                <w:kern w:val="0"/>
                <w:sz w:val="24"/>
                <w:szCs w:val="24"/>
                <w:lang w:val="ro-MD" w:bidi="ar-SA"/>
              </w:rPr>
              <w:t>Se va utiliza/accepta sau nu</w:t>
            </w:r>
          </w:p>
        </w:tc>
      </w:tr>
      <w:tr>
        <w:trPr/>
        <w:tc>
          <w:tcPr>
            <w:tcW w:w="518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right" w:pos="426" w:leader="none"/>
              </w:tabs>
              <w:bidi w:val="0"/>
              <w:spacing w:before="0" w:after="0"/>
              <w:jc w:val="left"/>
              <w:rPr>
                <w:sz w:val="24"/>
                <w:szCs w:val="24"/>
                <w:lang w:val="ro-MD"/>
              </w:rPr>
            </w:pPr>
            <w:r>
              <w:rPr>
                <w:kern w:val="0"/>
                <w:sz w:val="24"/>
                <w:szCs w:val="24"/>
                <w:lang w:val="ro-MD" w:bidi="ar-SA"/>
              </w:rPr>
              <w:t>depunerea electronică a ofertelor sau a cererilor de participare</w:t>
            </w:r>
          </w:p>
        </w:tc>
        <w:tc>
          <w:tcPr>
            <w:tcW w:w="37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right" w:pos="426" w:leader="none"/>
              </w:tabs>
              <w:bidi w:val="0"/>
              <w:spacing w:before="0" w:after="0"/>
              <w:jc w:val="left"/>
              <w:rPr>
                <w:sz w:val="24"/>
                <w:szCs w:val="24"/>
                <w:lang w:val="ro-MD"/>
              </w:rPr>
            </w:pPr>
            <w:r>
              <w:rPr>
                <w:kern w:val="0"/>
                <w:sz w:val="24"/>
                <w:szCs w:val="24"/>
                <w:lang w:val="ro-MD" w:bidi="ar-SA"/>
              </w:rPr>
              <w:t>da</w:t>
            </w:r>
          </w:p>
        </w:tc>
      </w:tr>
      <w:tr>
        <w:trPr/>
        <w:tc>
          <w:tcPr>
            <w:tcW w:w="518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right" w:pos="426" w:leader="none"/>
              </w:tabs>
              <w:bidi w:val="0"/>
              <w:spacing w:before="0" w:after="0"/>
              <w:jc w:val="left"/>
              <w:rPr>
                <w:sz w:val="24"/>
                <w:szCs w:val="24"/>
                <w:lang w:val="ro-MD"/>
              </w:rPr>
            </w:pPr>
            <w:r>
              <w:rPr>
                <w:kern w:val="0"/>
                <w:sz w:val="24"/>
                <w:szCs w:val="24"/>
                <w:lang w:val="ro-MD" w:bidi="ar-SA"/>
              </w:rPr>
              <w:t>sistemul de comenzi electronice</w:t>
            </w:r>
          </w:p>
        </w:tc>
        <w:tc>
          <w:tcPr>
            <w:tcW w:w="37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right" w:pos="426" w:leader="none"/>
              </w:tabs>
              <w:bidi w:val="0"/>
              <w:spacing w:before="0" w:after="0"/>
              <w:jc w:val="left"/>
              <w:rPr>
                <w:sz w:val="24"/>
                <w:szCs w:val="24"/>
                <w:lang w:val="ro-MD"/>
              </w:rPr>
            </w:pPr>
            <w:r>
              <w:rPr>
                <w:kern w:val="0"/>
                <w:sz w:val="24"/>
                <w:szCs w:val="24"/>
                <w:lang w:val="ro-MD" w:bidi="ar-SA"/>
              </w:rPr>
              <w:t>nu</w:t>
            </w:r>
          </w:p>
        </w:tc>
      </w:tr>
      <w:tr>
        <w:trPr/>
        <w:tc>
          <w:tcPr>
            <w:tcW w:w="518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right" w:pos="426" w:leader="none"/>
              </w:tabs>
              <w:bidi w:val="0"/>
              <w:spacing w:before="0" w:after="0"/>
              <w:jc w:val="left"/>
              <w:rPr>
                <w:sz w:val="24"/>
                <w:szCs w:val="24"/>
                <w:lang w:val="ro-MD"/>
              </w:rPr>
            </w:pPr>
            <w:r>
              <w:rPr>
                <w:kern w:val="0"/>
                <w:sz w:val="24"/>
                <w:szCs w:val="24"/>
                <w:lang w:val="ro-MD" w:bidi="ar-SA"/>
              </w:rPr>
              <w:t>facturarea electronică</w:t>
            </w:r>
          </w:p>
        </w:tc>
        <w:tc>
          <w:tcPr>
            <w:tcW w:w="37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right" w:pos="426" w:leader="none"/>
              </w:tabs>
              <w:bidi w:val="0"/>
              <w:spacing w:before="0" w:after="0"/>
              <w:jc w:val="left"/>
              <w:rPr>
                <w:sz w:val="24"/>
                <w:szCs w:val="24"/>
                <w:lang w:val="ro-MD"/>
              </w:rPr>
            </w:pPr>
            <w:r>
              <w:rPr>
                <w:kern w:val="0"/>
                <w:sz w:val="24"/>
                <w:szCs w:val="24"/>
                <w:lang w:val="ro-MD" w:bidi="ar-SA"/>
              </w:rPr>
              <w:t>da</w:t>
            </w:r>
          </w:p>
        </w:tc>
      </w:tr>
      <w:tr>
        <w:trPr/>
        <w:tc>
          <w:tcPr>
            <w:tcW w:w="518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9"/>
                <w:tab w:val="right" w:pos="426" w:leader="none"/>
              </w:tabs>
              <w:bidi w:val="0"/>
              <w:spacing w:before="0" w:after="0"/>
              <w:jc w:val="left"/>
              <w:rPr>
                <w:sz w:val="24"/>
                <w:szCs w:val="24"/>
                <w:lang w:val="ro-MD"/>
              </w:rPr>
            </w:pPr>
            <w:r>
              <w:rPr>
                <w:kern w:val="0"/>
                <w:sz w:val="24"/>
                <w:szCs w:val="24"/>
                <w:lang w:val="ro-MD" w:bidi="ar-SA"/>
              </w:rPr>
              <w:t>plățile electronice</w:t>
            </w:r>
          </w:p>
        </w:tc>
        <w:tc>
          <w:tcPr>
            <w:tcW w:w="3715" w:type="dxa"/>
            <w:tcBorders>
              <w:top w:val="single" w:sz="4" w:space="0" w:color="000000"/>
              <w:left w:val="single" w:sz="4" w:space="0" w:color="000000"/>
              <w:bottom w:val="single" w:sz="4" w:space="0" w:color="000000"/>
              <w:right w:val="single" w:sz="4" w:space="0" w:color="000000"/>
            </w:tcBorders>
            <w:shd w:fill="FFFF00" w:val="clear"/>
          </w:tcPr>
          <w:p>
            <w:pPr>
              <w:pStyle w:val="Normal"/>
              <w:widowControl w:val="false"/>
              <w:tabs>
                <w:tab w:val="clear" w:pos="709"/>
                <w:tab w:val="right" w:pos="426" w:leader="none"/>
              </w:tabs>
              <w:bidi w:val="0"/>
              <w:spacing w:before="0" w:after="0"/>
              <w:jc w:val="left"/>
              <w:rPr>
                <w:sz w:val="24"/>
                <w:szCs w:val="24"/>
                <w:lang w:val="ro-MD"/>
              </w:rPr>
            </w:pPr>
            <w:r>
              <w:rPr>
                <w:kern w:val="0"/>
                <w:sz w:val="24"/>
                <w:szCs w:val="24"/>
                <w:lang w:val="ro-MD" w:bidi="ar-SA"/>
              </w:rPr>
              <w:t>da</w:t>
            </w:r>
          </w:p>
        </w:tc>
      </w:tr>
    </w:tbl>
    <w:p>
      <w:pPr>
        <w:pStyle w:val="Normal"/>
        <w:numPr>
          <w:ilvl w:val="0"/>
          <w:numId w:val="2"/>
        </w:numPr>
        <w:tabs>
          <w:tab w:val="clear" w:pos="709"/>
          <w:tab w:val="right" w:pos="1146" w:leader="none"/>
        </w:tabs>
        <w:bidi w:val="0"/>
        <w:spacing w:before="120" w:after="0"/>
        <w:ind w:left="360" w:right="0" w:hanging="360"/>
        <w:jc w:val="left"/>
        <w:rPr>
          <w:b/>
          <w:sz w:val="24"/>
          <w:szCs w:val="24"/>
          <w:lang w:val="ro-MD"/>
        </w:rPr>
      </w:pPr>
      <w:r>
        <w:rPr>
          <w:b/>
          <w:sz w:val="24"/>
          <w:szCs w:val="24"/>
          <w:lang w:val="ro-MD"/>
        </w:rPr>
        <w:t xml:space="preserve">Contractul intră sub incidența Acordului privind achizițiile guvernamentale al Organizației Mondiale a Comerțului (numai în cazul anunțurilor transmise spre publicare în Jurnalul Oficial al Uniunii Europene): </w:t>
      </w:r>
      <w:r>
        <w:rPr>
          <w:b/>
          <w:sz w:val="24"/>
          <w:szCs w:val="24"/>
          <w:shd w:fill="FFFF00" w:val="clear"/>
          <w:lang w:val="ro-MD"/>
        </w:rPr>
        <w:t>_____________________________</w:t>
      </w:r>
    </w:p>
    <w:p>
      <w:pPr>
        <w:pStyle w:val="Normal"/>
        <w:numPr>
          <w:ilvl w:val="0"/>
          <w:numId w:val="2"/>
        </w:numPr>
        <w:tabs>
          <w:tab w:val="clear" w:pos="709"/>
          <w:tab w:val="right" w:pos="426" w:leader="none"/>
        </w:tabs>
        <w:bidi w:val="0"/>
        <w:spacing w:before="120" w:after="0"/>
        <w:ind w:left="0" w:right="0" w:hanging="0"/>
        <w:jc w:val="left"/>
        <w:rPr>
          <w:b/>
          <w:sz w:val="24"/>
          <w:szCs w:val="24"/>
          <w:lang w:val="ro-MD"/>
        </w:rPr>
      </w:pPr>
      <w:r>
        <w:rPr>
          <w:b/>
          <w:sz w:val="24"/>
          <w:szCs w:val="24"/>
          <w:lang w:val="ro-MD"/>
        </w:rPr>
        <w:t xml:space="preserve">Alte informații relevante: </w:t>
      </w:r>
      <w:r>
        <w:rPr>
          <w:b/>
          <w:sz w:val="24"/>
          <w:szCs w:val="24"/>
          <w:shd w:fill="FFFF00" w:val="clear"/>
          <w:lang w:val="ro-MD"/>
        </w:rPr>
        <w:t>___________________________________________</w:t>
      </w:r>
    </w:p>
    <w:p>
      <w:pPr>
        <w:pStyle w:val="Normal"/>
        <w:bidi w:val="0"/>
        <w:spacing w:before="120" w:after="120"/>
        <w:jc w:val="left"/>
        <w:rPr>
          <w:b/>
          <w:sz w:val="24"/>
          <w:szCs w:val="24"/>
          <w:lang w:val="ro-MD"/>
        </w:rPr>
      </w:pPr>
      <w:r>
        <w:rPr>
          <w:b/>
          <w:sz w:val="24"/>
          <w:szCs w:val="24"/>
          <w:lang w:val="ro-MD"/>
        </w:rPr>
        <w:t xml:space="preserve">Conducătorul grupului de lucru:  </w:t>
      </w:r>
      <w:r>
        <w:rPr>
          <w:b/>
          <w:sz w:val="24"/>
          <w:szCs w:val="24"/>
          <w:shd w:fill="FFFF00" w:val="clear"/>
          <w:lang w:val="ro-MD"/>
        </w:rPr>
        <w:t>Adelina Celac</w:t>
      </w:r>
      <w:r>
        <w:rPr>
          <w:b/>
          <w:sz w:val="24"/>
          <w:szCs w:val="24"/>
          <w:lang w:val="ro-MD"/>
        </w:rPr>
        <w:t xml:space="preserve">                L.Ș.</w:t>
      </w:r>
    </w:p>
    <w:p>
      <w:pPr>
        <w:pStyle w:val="Normal"/>
        <w:bidi w:val="0"/>
        <w:jc w:val="left"/>
        <w:rPr>
          <w:lang w:val="ro-RO"/>
        </w:rPr>
      </w:pPr>
      <w:r>
        <w:rPr>
          <w:lang w:val="ro-MD"/>
        </w:rPr>
        <w:t xml:space="preserve"> </w:t>
      </w:r>
    </w:p>
    <w:p>
      <w:pPr>
        <w:pStyle w:val="Normal"/>
        <w:bidi w:val="0"/>
        <w:jc w:val="left"/>
        <w:rPr>
          <w:lang w:val="en-US"/>
        </w:rPr>
      </w:pPr>
      <w:r>
        <w:rPr>
          <w:lang w:val="ro-RO"/>
        </w:rPr>
        <w:t xml:space="preserve"> </w:t>
      </w:r>
      <w:r>
        <w:rPr>
          <w:lang w:val="en-US"/>
        </w:rPr>
        <w:t xml:space="preserve"> </w:t>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Courier New">
    <w:charset w:val="00"/>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decimal"/>
      <w:lvlText w:val="%1."/>
      <w:lvlJc w:val="left"/>
      <w:pPr>
        <w:tabs>
          <w:tab w:val="num" w:pos="0"/>
        </w:tabs>
        <w:ind w:left="720" w:hanging="360"/>
      </w:pPr>
      <w:rPr>
        <w:b/>
        <w:color w:val="000000"/>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4">
    <w:lvl w:ilvl="0">
      <w:start w:val="1"/>
      <w:numFmt w:val="bullet"/>
      <w:lvlText w:val="-"/>
      <w:lvlJc w:val="left"/>
      <w:pPr>
        <w:tabs>
          <w:tab w:val="num" w:pos="0"/>
        </w:tabs>
        <w:ind w:left="720" w:hanging="360"/>
      </w:pPr>
      <w:rPr>
        <w:rFonts w:ascii="Times New Roman" w:hAnsi="Times New Roman" w:cs="Times New Roman" w:hint="default"/>
        <w:i/>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ro-MD" w:eastAsia="zh-CN" w:bidi="hi-IN"/>
      </w:rPr>
    </w:rPrDefault>
    <w:pPrDefault>
      <w:pPr>
        <w:widowControl/>
        <w:suppressAutoHyphens w:val="true"/>
      </w:pPr>
    </w:pPrDefault>
  </w:docDefaults>
  <w:style w:type="paragraph" w:styleId="Normal">
    <w:name w:val="Normal"/>
    <w:qFormat/>
    <w:pPr>
      <w:widowControl/>
      <w:kinsoku w:val="true"/>
      <w:overflowPunct w:val="true"/>
      <w:autoSpaceDE w:val="true"/>
      <w:bidi w:val="0"/>
    </w:pPr>
    <w:rPr>
      <w:rFonts w:ascii="Liberation Serif" w:hAnsi="Liberation Serif" w:eastAsia="NSimSun" w:cs="Arial"/>
      <w:color w:val="auto"/>
      <w:kern w:val="2"/>
      <w:sz w:val="24"/>
      <w:szCs w:val="24"/>
      <w:lang w:val="ro-MD" w:eastAsia="zh-CN" w:bidi="hi-IN"/>
    </w:rPr>
  </w:style>
  <w:style w:type="paragraph" w:styleId="Titlu1">
    <w:name w:val="Heading 1"/>
    <w:basedOn w:val="Corptext"/>
    <w:next w:val="Normal"/>
    <w:qFormat/>
    <w:pPr>
      <w:numPr>
        <w:ilvl w:val="0"/>
        <w:numId w:val="0"/>
      </w:numPr>
      <w:spacing w:before="0" w:after="0"/>
      <w:jc w:val="center"/>
      <w:outlineLvl w:val="0"/>
    </w:pPr>
    <w:rPr>
      <w:b/>
      <w:sz w:val="32"/>
      <w:szCs w:val="32"/>
      <w:lang w:val="ro-RO"/>
    </w:rPr>
  </w:style>
  <w:style w:type="character" w:styleId="DefaultParagraphFont">
    <w:name w:val="Default Paragraph Font"/>
    <w:qFormat/>
    <w:rPr/>
  </w:style>
  <w:style w:type="character" w:styleId="Linkdeinternet">
    <w:name w:val="Hyperlink"/>
    <w:basedOn w:val="DefaultParagraphFont"/>
    <w:rPr>
      <w:color w:val="0563C1"/>
      <w:u w:val="single"/>
    </w:rPr>
  </w:style>
  <w:style w:type="character" w:styleId="Linkdeinternetvizitat">
    <w:name w:val="FollowedHyperlink"/>
    <w:basedOn w:val="DefaultParagraphFont"/>
    <w:rPr>
      <w:color w:val="954F72"/>
      <w:u w:val="single"/>
    </w:rPr>
  </w:style>
  <w:style w:type="paragraph" w:styleId="Titlu">
    <w:name w:val="Titlu"/>
    <w:basedOn w:val="Normal"/>
    <w:next w:val="Corptext"/>
    <w:qFormat/>
    <w:pPr>
      <w:keepNext w:val="true"/>
      <w:spacing w:before="240" w:after="120"/>
    </w:pPr>
    <w:rPr>
      <w:rFonts w:ascii="Liberation Sans" w:hAnsi="Liberation Sans" w:eastAsia="Microsoft YaHei" w:cs="Arial"/>
      <w:sz w:val="28"/>
      <w:szCs w:val="28"/>
    </w:rPr>
  </w:style>
  <w:style w:type="paragraph" w:styleId="Corptext">
    <w:name w:val="Body Text"/>
    <w:basedOn w:val="Normal"/>
    <w:pPr>
      <w:spacing w:lineRule="auto" w:line="276" w:before="0" w:after="140"/>
    </w:pPr>
    <w:rPr/>
  </w:style>
  <w:style w:type="paragraph" w:styleId="List">
    <w:name w:val="List"/>
    <w:basedOn w:val="Corptext"/>
    <w:pPr/>
    <w:rPr>
      <w:rFonts w:cs="Arial"/>
    </w:rPr>
  </w:style>
  <w:style w:type="paragraph" w:styleId="Legend">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ListParagraph">
    <w:name w:val="List Paragraph"/>
    <w:basedOn w:val="Normal"/>
    <w:qFormat/>
    <w:pPr>
      <w:spacing w:before="0" w:after="0"/>
      <w:ind w:left="720" w:right="0" w:hanging="0"/>
      <w:contextualSpacing/>
    </w:pPr>
    <w:rPr/>
  </w:style>
  <w:style w:type="paragraph" w:styleId="Coninuttabel">
    <w:name w:val="Conținut tabel"/>
    <w:basedOn w:val="Normal"/>
    <w:qFormat/>
    <w:pPr>
      <w:widowControl w:val="false"/>
      <w:suppressLineNumbers/>
    </w:pPr>
    <w:rPr/>
  </w:style>
  <w:style w:type="paragraph" w:styleId="Titludetabel">
    <w:name w:val="Titlu de tabel"/>
    <w:basedOn w:val="Coninuttabel"/>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cs.donduseni@ms.md"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63</TotalTime>
  <Application>LibreOffice/7.5.4.2$Windows_X86_64 LibreOffice_project/36ccfdc35048b057fd9854c757a8b67ec53977b6</Application>
  <AppVersion>15.0000</AppVersion>
  <Pages>11</Pages>
  <Words>2986</Words>
  <Characters>17321</Characters>
  <CharactersWithSpaces>19764</CharactersWithSpaces>
  <Paragraphs>676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2025-01-16T08:58:45Z</dcterms:created>
  <dc:creator/>
  <dc:description/>
  <dc:language>ro-MD</dc:language>
  <cp:lastModifiedBy/>
  <dcterms:modified xsi:type="dcterms:W3CDTF">2026-04-06T11:32:10Z</dcterms:modified>
  <cp:revision>42</cp:revision>
  <dc:subject/>
  <dc:title/>
</cp:coreProperties>
</file>