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C70" w:rsidRDefault="00874C70" w:rsidP="00874C70">
      <w:pPr>
        <w:ind w:right="567"/>
        <w:jc w:val="center"/>
        <w:rPr>
          <w:b/>
          <w:bCs/>
          <w:sz w:val="28"/>
          <w:szCs w:val="28"/>
          <w:lang w:val="en-US"/>
        </w:rPr>
      </w:pPr>
      <w:r>
        <w:rPr>
          <w:b/>
          <w:bCs/>
          <w:sz w:val="28"/>
          <w:szCs w:val="28"/>
          <w:lang w:val="en-US"/>
        </w:rPr>
        <w:t xml:space="preserve">CAIET DE SARCINI </w:t>
      </w:r>
    </w:p>
    <w:p w:rsidR="005F0059" w:rsidRPr="00A63AC8" w:rsidRDefault="005F0059">
      <w:pPr>
        <w:rPr>
          <w:sz w:val="24"/>
          <w:szCs w:val="24"/>
          <w:lang w:val="en-US"/>
        </w:rPr>
      </w:pPr>
      <w:bookmarkStart w:id="0" w:name="_GoBack"/>
      <w:bookmarkEnd w:id="0"/>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trPr>
          <w:cantSplit/>
        </w:trPr>
        <w:tc>
          <w:tcPr>
            <w:tcW w:w="699" w:type="dxa"/>
            <w:tcBorders>
              <w:top w:val="single" w:sz="2" w:space="0" w:color="000000"/>
              <w:left w:val="single" w:sz="2" w:space="0" w:color="000000"/>
              <w:bottom w:val="nil"/>
              <w:right w:val="nil"/>
            </w:tcBorders>
            <w:shd w:val="clear" w:color="auto" w:fill="F2F2F2"/>
          </w:tcPr>
          <w:p w:rsidR="005F0059" w:rsidRDefault="005F0059">
            <w:pPr>
              <w:jc w:val="center"/>
              <w:rPr>
                <w:sz w:val="22"/>
                <w:szCs w:val="22"/>
              </w:rPr>
            </w:pPr>
            <w:r>
              <w:rPr>
                <w:sz w:val="22"/>
                <w:szCs w:val="22"/>
              </w:rPr>
              <w:t>№</w:t>
            </w:r>
          </w:p>
          <w:p w:rsidR="005F0059" w:rsidRDefault="005F0059">
            <w:pPr>
              <w:jc w:val="center"/>
              <w:rPr>
                <w:sz w:val="24"/>
                <w:szCs w:val="24"/>
                <w:lang w:eastAsia="ru-RU"/>
              </w:rPr>
            </w:pPr>
            <w:r>
              <w:rPr>
                <w:sz w:val="24"/>
                <w:szCs w:val="24"/>
                <w:lang w:eastAsia="ru-RU"/>
              </w:rPr>
              <w:t xml:space="preserve"> </w:t>
            </w:r>
            <w:proofErr w:type="gramStart"/>
            <w:r>
              <w:rPr>
                <w:sz w:val="22"/>
                <w:szCs w:val="24"/>
                <w:lang w:val="en-US" w:eastAsia="ru-RU"/>
              </w:rPr>
              <w:t>crt</w:t>
            </w:r>
            <w:proofErr w:type="gramEnd"/>
            <w:r>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rsidR="005F0059" w:rsidRPr="00694325" w:rsidRDefault="005F0059">
            <w:pPr>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rsidR="005F0059" w:rsidRDefault="005F0059">
            <w:pPr>
              <w:jc w:val="center"/>
              <w:rPr>
                <w:sz w:val="22"/>
                <w:szCs w:val="22"/>
                <w:lang w:val="ro-RO"/>
              </w:rPr>
            </w:pPr>
          </w:p>
          <w:p w:rsidR="005F0059" w:rsidRDefault="005F0059">
            <w:pPr>
              <w:jc w:val="center"/>
              <w:rPr>
                <w:sz w:val="22"/>
                <w:szCs w:val="22"/>
                <w:lang w:val="ro-RO"/>
              </w:rPr>
            </w:pPr>
            <w:r>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rsidR="005F0059" w:rsidRDefault="005F0059">
            <w:pPr>
              <w:jc w:val="center"/>
              <w:rPr>
                <w:sz w:val="22"/>
                <w:szCs w:val="22"/>
                <w:lang w:val="ro-RO"/>
              </w:rPr>
            </w:pPr>
          </w:p>
          <w:p w:rsidR="005F0059" w:rsidRDefault="005F0059">
            <w:pPr>
              <w:jc w:val="center"/>
              <w:rPr>
                <w:sz w:val="22"/>
                <w:szCs w:val="22"/>
              </w:rPr>
            </w:pPr>
            <w:r>
              <w:rPr>
                <w:sz w:val="22"/>
                <w:szCs w:val="22"/>
                <w:lang w:val="ro-RO"/>
              </w:rPr>
              <w:t>U.M.</w:t>
            </w:r>
            <w:r>
              <w:rPr>
                <w:sz w:val="22"/>
                <w:szCs w:val="22"/>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rsidR="005F0059" w:rsidRDefault="005F0059">
            <w:pPr>
              <w:jc w:val="center"/>
              <w:rPr>
                <w:sz w:val="22"/>
                <w:szCs w:val="22"/>
                <w:lang w:val="en-US"/>
              </w:rPr>
            </w:pPr>
            <w:r>
              <w:rPr>
                <w:sz w:val="22"/>
                <w:szCs w:val="22"/>
                <w:lang w:val="en-US"/>
              </w:rPr>
              <w:t>Cantitate</w:t>
            </w:r>
          </w:p>
        </w:tc>
      </w:tr>
      <w:tr w:rsidR="005F0059">
        <w:trPr>
          <w:cantSplit/>
        </w:trPr>
        <w:tc>
          <w:tcPr>
            <w:tcW w:w="699" w:type="dxa"/>
            <w:tcBorders>
              <w:top w:val="nil"/>
              <w:left w:val="single" w:sz="2" w:space="0" w:color="000000"/>
              <w:bottom w:val="single" w:sz="2" w:space="0" w:color="000000"/>
              <w:right w:val="nil"/>
            </w:tcBorders>
            <w:shd w:val="clear" w:color="auto" w:fill="F2F2F2"/>
          </w:tcPr>
          <w:p w:rsidR="005F0059" w:rsidRDefault="005F0059">
            <w:pPr>
              <w:jc w:val="center"/>
              <w:rPr>
                <w:sz w:val="22"/>
                <w:szCs w:val="22"/>
              </w:rPr>
            </w:pPr>
          </w:p>
        </w:tc>
        <w:tc>
          <w:tcPr>
            <w:tcW w:w="1537" w:type="dxa"/>
            <w:tcBorders>
              <w:top w:val="nil"/>
              <w:left w:val="single" w:sz="2" w:space="0" w:color="000000"/>
              <w:bottom w:val="single" w:sz="2" w:space="0" w:color="000000"/>
              <w:right w:val="nil"/>
            </w:tcBorders>
            <w:shd w:val="clear" w:color="auto" w:fill="F2F2F2"/>
          </w:tcPr>
          <w:p w:rsidR="005F0059" w:rsidRDefault="005F0059">
            <w:pPr>
              <w:jc w:val="center"/>
              <w:rPr>
                <w:sz w:val="22"/>
                <w:szCs w:val="22"/>
              </w:rPr>
            </w:pPr>
          </w:p>
        </w:tc>
        <w:tc>
          <w:tcPr>
            <w:tcW w:w="4613" w:type="dxa"/>
            <w:tcBorders>
              <w:top w:val="nil"/>
              <w:left w:val="single" w:sz="2" w:space="0" w:color="000000"/>
              <w:bottom w:val="single" w:sz="2" w:space="0" w:color="000000"/>
              <w:right w:val="nil"/>
            </w:tcBorders>
            <w:shd w:val="clear" w:color="auto" w:fill="F2F2F2"/>
          </w:tcPr>
          <w:p w:rsidR="005F0059" w:rsidRDefault="005F0059">
            <w:pPr>
              <w:jc w:val="center"/>
              <w:rPr>
                <w:sz w:val="22"/>
                <w:szCs w:val="22"/>
              </w:rPr>
            </w:pPr>
          </w:p>
        </w:tc>
        <w:tc>
          <w:tcPr>
            <w:tcW w:w="978" w:type="dxa"/>
            <w:tcBorders>
              <w:top w:val="nil"/>
              <w:left w:val="single" w:sz="2" w:space="0" w:color="000000"/>
              <w:bottom w:val="single" w:sz="2" w:space="0" w:color="000000"/>
              <w:right w:val="single" w:sz="2" w:space="0" w:color="000000"/>
            </w:tcBorders>
            <w:shd w:val="clear" w:color="auto" w:fill="F2F2F2"/>
          </w:tcPr>
          <w:p w:rsidR="005F0059" w:rsidRDefault="005F0059">
            <w:pPr>
              <w:jc w:val="center"/>
              <w:rPr>
                <w:sz w:val="22"/>
                <w:szCs w:val="22"/>
              </w:rPr>
            </w:pPr>
          </w:p>
        </w:tc>
        <w:tc>
          <w:tcPr>
            <w:tcW w:w="1118" w:type="dxa"/>
            <w:tcBorders>
              <w:top w:val="nil"/>
              <w:left w:val="nil"/>
              <w:bottom w:val="single" w:sz="2" w:space="0" w:color="000000"/>
              <w:right w:val="single" w:sz="2" w:space="0" w:color="000000"/>
            </w:tcBorders>
            <w:shd w:val="clear" w:color="auto" w:fill="F2F2F2"/>
          </w:tcPr>
          <w:p w:rsidR="005F0059" w:rsidRDefault="005F0059">
            <w:pPr>
              <w:jc w:val="center"/>
              <w:rPr>
                <w:sz w:val="22"/>
                <w:szCs w:val="22"/>
                <w:lang w:val="ro-RO"/>
              </w:rPr>
            </w:pPr>
            <w:r>
              <w:rPr>
                <w:sz w:val="22"/>
                <w:szCs w:val="22"/>
                <w:lang w:val="ro-RO"/>
              </w:rPr>
              <w:t>pe unitate de măsură</w:t>
            </w:r>
          </w:p>
          <w:p w:rsidR="005F0059" w:rsidRDefault="005F0059">
            <w:pPr>
              <w:jc w:val="center"/>
              <w:rPr>
                <w:sz w:val="22"/>
                <w:szCs w:val="22"/>
              </w:rPr>
            </w:pPr>
          </w:p>
        </w:tc>
        <w:tc>
          <w:tcPr>
            <w:tcW w:w="1119" w:type="dxa"/>
            <w:tcBorders>
              <w:top w:val="nil"/>
              <w:left w:val="nil"/>
              <w:bottom w:val="single" w:sz="2" w:space="0" w:color="000000"/>
              <w:right w:val="single" w:sz="2" w:space="0" w:color="000000"/>
            </w:tcBorders>
            <w:shd w:val="clear" w:color="auto" w:fill="F2F2F2"/>
          </w:tcPr>
          <w:p w:rsidR="005F0059" w:rsidRDefault="005F0059">
            <w:pPr>
              <w:jc w:val="center"/>
              <w:rPr>
                <w:sz w:val="22"/>
                <w:szCs w:val="22"/>
                <w:lang w:val="en-US"/>
              </w:rPr>
            </w:pPr>
            <w:r>
              <w:rPr>
                <w:sz w:val="22"/>
                <w:szCs w:val="22"/>
                <w:lang w:val="en-US"/>
              </w:rPr>
              <w:t>Conform datelor din proiect</w:t>
            </w:r>
          </w:p>
        </w:tc>
      </w:tr>
    </w:tbl>
    <w:p w:rsidR="005F0059"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trPr>
          <w:cantSplit/>
        </w:trPr>
        <w:tc>
          <w:tcPr>
            <w:tcW w:w="699" w:type="dxa"/>
            <w:tcBorders>
              <w:top w:val="single" w:sz="2" w:space="0" w:color="000000"/>
              <w:left w:val="single" w:sz="2" w:space="0" w:color="000000"/>
              <w:bottom w:val="double" w:sz="6" w:space="0" w:color="000000"/>
              <w:right w:val="nil"/>
            </w:tcBorders>
            <w:shd w:val="clear" w:color="auto" w:fill="F2F2F2"/>
          </w:tcPr>
          <w:p w:rsidR="005F0059" w:rsidRDefault="005F0059">
            <w:pPr>
              <w:jc w:val="center"/>
              <w:rPr>
                <w:sz w:val="22"/>
                <w:szCs w:val="22"/>
              </w:rPr>
            </w:pPr>
            <w:r>
              <w:rPr>
                <w:sz w:val="22"/>
                <w:szCs w:val="22"/>
              </w:rPr>
              <w:t>1</w:t>
            </w:r>
          </w:p>
        </w:tc>
        <w:tc>
          <w:tcPr>
            <w:tcW w:w="1537" w:type="dxa"/>
            <w:tcBorders>
              <w:top w:val="single" w:sz="2" w:space="0" w:color="000000"/>
              <w:left w:val="single" w:sz="2" w:space="0" w:color="000000"/>
              <w:bottom w:val="double" w:sz="6" w:space="0" w:color="000000"/>
              <w:right w:val="nil"/>
            </w:tcBorders>
            <w:shd w:val="clear" w:color="auto" w:fill="F2F2F2"/>
          </w:tcPr>
          <w:p w:rsidR="005F0059" w:rsidRDefault="005F0059">
            <w:pPr>
              <w:jc w:val="center"/>
              <w:rPr>
                <w:sz w:val="22"/>
                <w:szCs w:val="22"/>
              </w:rPr>
            </w:pPr>
            <w:r>
              <w:rPr>
                <w:sz w:val="22"/>
                <w:szCs w:val="22"/>
              </w:rPr>
              <w:t>2</w:t>
            </w:r>
          </w:p>
        </w:tc>
        <w:tc>
          <w:tcPr>
            <w:tcW w:w="4613" w:type="dxa"/>
            <w:tcBorders>
              <w:top w:val="single" w:sz="2" w:space="0" w:color="000000"/>
              <w:left w:val="single" w:sz="2" w:space="0" w:color="000000"/>
              <w:bottom w:val="double" w:sz="6" w:space="0" w:color="000000"/>
              <w:right w:val="nil"/>
            </w:tcBorders>
            <w:shd w:val="clear" w:color="auto" w:fill="F2F2F2"/>
          </w:tcPr>
          <w:p w:rsidR="005F0059" w:rsidRDefault="005F0059">
            <w:pPr>
              <w:jc w:val="center"/>
              <w:rPr>
                <w:sz w:val="22"/>
                <w:szCs w:val="22"/>
              </w:rPr>
            </w:pPr>
            <w:r>
              <w:rPr>
                <w:sz w:val="22"/>
                <w:szCs w:val="22"/>
              </w:rPr>
              <w:t>3</w:t>
            </w:r>
          </w:p>
        </w:tc>
        <w:tc>
          <w:tcPr>
            <w:tcW w:w="978" w:type="dxa"/>
            <w:tcBorders>
              <w:top w:val="single" w:sz="2" w:space="0" w:color="000000"/>
              <w:left w:val="single" w:sz="2" w:space="0" w:color="000000"/>
              <w:bottom w:val="double" w:sz="6" w:space="0" w:color="000000"/>
              <w:right w:val="nil"/>
            </w:tcBorders>
            <w:shd w:val="clear" w:color="auto" w:fill="F2F2F2"/>
          </w:tcPr>
          <w:p w:rsidR="005F0059" w:rsidRDefault="005F0059">
            <w:pPr>
              <w:jc w:val="center"/>
              <w:rPr>
                <w:sz w:val="22"/>
                <w:szCs w:val="22"/>
              </w:rPr>
            </w:pPr>
            <w:r>
              <w:rPr>
                <w:sz w:val="22"/>
                <w:szCs w:val="22"/>
              </w:rPr>
              <w:t>4</w:t>
            </w:r>
          </w:p>
        </w:tc>
        <w:tc>
          <w:tcPr>
            <w:tcW w:w="1118" w:type="dxa"/>
            <w:tcBorders>
              <w:top w:val="single" w:sz="2" w:space="0" w:color="000000"/>
              <w:left w:val="single" w:sz="2" w:space="0" w:color="000000"/>
              <w:bottom w:val="double" w:sz="6" w:space="0" w:color="000000"/>
              <w:right w:val="nil"/>
            </w:tcBorders>
            <w:shd w:val="clear" w:color="auto" w:fill="F2F2F2"/>
          </w:tcPr>
          <w:p w:rsidR="005F0059" w:rsidRDefault="005F0059">
            <w:pPr>
              <w:jc w:val="center"/>
              <w:rPr>
                <w:sz w:val="22"/>
                <w:szCs w:val="22"/>
              </w:rPr>
            </w:pPr>
            <w:r>
              <w:rPr>
                <w:sz w:val="22"/>
                <w:szCs w:val="22"/>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rsidR="005F0059" w:rsidRDefault="005F0059">
            <w:pPr>
              <w:jc w:val="center"/>
              <w:rPr>
                <w:sz w:val="22"/>
                <w:szCs w:val="22"/>
              </w:rPr>
            </w:pPr>
            <w:r>
              <w:rPr>
                <w:sz w:val="22"/>
                <w:szCs w:val="22"/>
              </w:rPr>
              <w:t>7</w:t>
            </w:r>
          </w:p>
        </w:tc>
      </w:tr>
      <w:tr w:rsidR="005F0059">
        <w:tc>
          <w:tcPr>
            <w:tcW w:w="699" w:type="dxa"/>
            <w:tcBorders>
              <w:top w:val="nil"/>
              <w:left w:val="single" w:sz="2" w:space="0" w:color="000000"/>
              <w:bottom w:val="nil"/>
              <w:right w:val="nil"/>
            </w:tcBorders>
          </w:tcPr>
          <w:p w:rsidR="005F0059" w:rsidRDefault="005F0059">
            <w:pPr>
              <w:jc w:val="center"/>
            </w:pP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1. Lucrari de frezare/asfaltare</w:t>
            </w:r>
          </w:p>
        </w:tc>
        <w:tc>
          <w:tcPr>
            <w:tcW w:w="978" w:type="dxa"/>
            <w:tcBorders>
              <w:top w:val="nil"/>
              <w:left w:val="single" w:sz="2" w:space="0" w:color="000000"/>
              <w:bottom w:val="nil"/>
              <w:right w:val="nil"/>
            </w:tcBorders>
          </w:tcPr>
          <w:p w:rsidR="005F0059" w:rsidRDefault="005F0059"/>
        </w:tc>
        <w:tc>
          <w:tcPr>
            <w:tcW w:w="1118" w:type="dxa"/>
            <w:tcBorders>
              <w:top w:val="nil"/>
              <w:left w:val="single" w:sz="2" w:space="0" w:color="000000"/>
              <w:bottom w:val="nil"/>
              <w:right w:val="nil"/>
            </w:tcBorders>
          </w:tcPr>
          <w:p w:rsidR="005F0059" w:rsidRDefault="005F0059"/>
        </w:tc>
        <w:tc>
          <w:tcPr>
            <w:tcW w:w="1119" w:type="dxa"/>
            <w:tcBorders>
              <w:top w:val="nil"/>
              <w:left w:val="single" w:sz="2" w:space="0" w:color="000000"/>
              <w:bottom w:val="nil"/>
              <w:right w:val="single" w:sz="2" w:space="0" w:color="000000"/>
            </w:tcBorders>
          </w:tcPr>
          <w:p w:rsidR="005F0059" w:rsidRDefault="005F0059"/>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1</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RpDC04A</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Taierea cu masina cu discuri diamantate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7123011000200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2881116002721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armat cu seg. diamantati cu crestatura larga cu D=400 mm, forma IA-IR-55/C1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1212121212121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2940520007684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taiat rosturi in beton cu discuri abrazive de 24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2</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DI155B</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Taierea cu freza a stratului de beton asfaltic uzat, avind latimea tamburului 1000 mm, adincimea stratului de: 10 cm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800,00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0,0581</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10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3</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TsI50B5</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5 t la distanta  de 15 km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176,00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4</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DI141A</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Curatirea imbracaminti asfaltice bituminoase prin suflare cu compresor manual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800,00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2875277410003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5</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DI107</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0,56</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6</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DI108</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Aplicarea stratului de egalizare din beton asfaltic fara utilizarea distribuitorului de mixturi asfaltice, BAD 22,4 leg. liant 50/70</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3,00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0,5660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111100010001310-11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 leg. liant 50/70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0,0809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7</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DB19G</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Imbracaminte de beton asfaltic cu agregat mare BAD 22,4 leg. liant 50/70, executata la cald, in grosime de 6,0 cm, cu asternere mecanica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800,00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111100010001310-11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 leg. liant 50/70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2710603420379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lam.cald lt = 30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8</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DI107</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0.35 l/m2</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0,28</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9</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DB16H</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Imbracaminte de beton asfaltic cu agregate marunte BA 16 rul. liant 50/70, executata la cald, in grosime de 4,0 cm, cu asternere mecanica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800,00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111100010001311-16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liant 50/70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0,0972</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2710603420379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lam.cald lt = 30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10</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DI118</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Decaparea mecanizata a imbracamintei din piatra sparta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50,00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2952260003544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2952500005607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11</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TsC59B</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a pamintului cu excavator cu o cupa de 0,15 m3 cu descarcare in autobasculanta:  teren de categoria 2 (incarcarea)</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0,50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6,0800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2952260003523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diesel pe pneuri cu o cupa de 0,15 m3</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14,3000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2952260003557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Buldozere, 58(80)KW (с.p.)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3,6200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12</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TsI50B5</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5 t la distanta  de 15 km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80,00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13</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TsE06B</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Pregatirea platformei de pamint in vederea asternerii unui strat izolator sau de reparatie din nisip sau balast, prin nivelare manuala si compactare cu rulou compresor static autopropulsat, de 10-12 t, in teren coeziv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5,00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9,0300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2952240004004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auto cu rulouri pina la 12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14</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DA12B</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sau reprofilare din piatra sparta LA 30, fr. 0-32 mm, conform SM SR EN 13242+A1:2010, pentru drumuri, cu asternere mecanica, executat cu impanare fara innororire</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50,00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1411122201646-032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 30, fr. 0-32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1411122201672-032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 30, fr. 0-32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tc>
          <w:tcPr>
            <w:tcW w:w="699" w:type="dxa"/>
            <w:tcBorders>
              <w:top w:val="nil"/>
              <w:left w:val="single" w:sz="2" w:space="0" w:color="000000"/>
              <w:bottom w:val="nil"/>
              <w:right w:val="nil"/>
            </w:tcBorders>
          </w:tcPr>
          <w:p w:rsidR="005F0059" w:rsidRDefault="00E34433">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2. Reparatia gropilor prin plombare</w:t>
            </w:r>
          </w:p>
        </w:tc>
        <w:tc>
          <w:tcPr>
            <w:tcW w:w="978" w:type="dxa"/>
            <w:tcBorders>
              <w:top w:val="nil"/>
              <w:left w:val="single" w:sz="2" w:space="0" w:color="000000"/>
              <w:bottom w:val="nil"/>
              <w:right w:val="nil"/>
            </w:tcBorders>
          </w:tcPr>
          <w:p w:rsidR="005F0059" w:rsidRDefault="005F0059"/>
        </w:tc>
        <w:tc>
          <w:tcPr>
            <w:tcW w:w="1118" w:type="dxa"/>
            <w:tcBorders>
              <w:top w:val="nil"/>
              <w:left w:val="single" w:sz="2" w:space="0" w:color="000000"/>
              <w:bottom w:val="nil"/>
              <w:right w:val="nil"/>
            </w:tcBorders>
          </w:tcPr>
          <w:p w:rsidR="005F0059" w:rsidRDefault="005F0059"/>
        </w:tc>
        <w:tc>
          <w:tcPr>
            <w:tcW w:w="1119" w:type="dxa"/>
            <w:tcBorders>
              <w:top w:val="nil"/>
              <w:left w:val="single" w:sz="2" w:space="0" w:color="000000"/>
              <w:bottom w:val="nil"/>
              <w:right w:val="single" w:sz="2" w:space="0" w:color="000000"/>
            </w:tcBorders>
          </w:tcPr>
          <w:p w:rsidR="005F0059" w:rsidRDefault="005F0059"/>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15</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DI158C</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Frezarea si plombarea gropilor la imbracamintea  </w:t>
            </w:r>
            <w:r>
              <w:rPr>
                <w:rFonts w:ascii="Times New Roman CYR" w:hAnsi="Times New Roman CYR" w:cs="Times New Roman CYR"/>
                <w:sz w:val="22"/>
                <w:szCs w:val="22"/>
                <w:lang/>
              </w:rPr>
              <w:lastRenderedPageBreak/>
              <w:t>degradata, cu suprafate pina la 3 m2: grosime 5 cm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lastRenderedPageBreak/>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3 520,00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0,2890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111100010001311-16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liant 50/70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23203226001101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2912340002517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2952270004033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2952500005008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2952240004127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16</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DI158D</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Frezarea si plombarea gropilor la imbracamintea  degradata, cu suprafate pina la 3 m2: grosime 7 cm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4 280,00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111100010001311-16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liant 50/70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0,1610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23203226001101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2912340002517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2952270004033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2952500005008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2952240004127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tc>
          <w:tcPr>
            <w:tcW w:w="699" w:type="dxa"/>
            <w:tcBorders>
              <w:top w:val="nil"/>
              <w:left w:val="single" w:sz="2" w:space="0" w:color="000000"/>
              <w:bottom w:val="nil"/>
              <w:right w:val="nil"/>
            </w:tcBorders>
          </w:tcPr>
          <w:p w:rsidR="005F0059" w:rsidRDefault="00E34433">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3. Amenajarea gurilor la fintini</w:t>
            </w:r>
          </w:p>
        </w:tc>
        <w:tc>
          <w:tcPr>
            <w:tcW w:w="978" w:type="dxa"/>
            <w:tcBorders>
              <w:top w:val="nil"/>
              <w:left w:val="single" w:sz="2" w:space="0" w:color="000000"/>
              <w:bottom w:val="nil"/>
              <w:right w:val="nil"/>
            </w:tcBorders>
          </w:tcPr>
          <w:p w:rsidR="005F0059" w:rsidRDefault="005F0059"/>
        </w:tc>
        <w:tc>
          <w:tcPr>
            <w:tcW w:w="1118" w:type="dxa"/>
            <w:tcBorders>
              <w:top w:val="nil"/>
              <w:left w:val="single" w:sz="2" w:space="0" w:color="000000"/>
              <w:bottom w:val="nil"/>
              <w:right w:val="nil"/>
            </w:tcBorders>
          </w:tcPr>
          <w:p w:rsidR="005F0059" w:rsidRDefault="005F0059"/>
        </w:tc>
        <w:tc>
          <w:tcPr>
            <w:tcW w:w="1119" w:type="dxa"/>
            <w:tcBorders>
              <w:top w:val="nil"/>
              <w:left w:val="single" w:sz="2" w:space="0" w:color="000000"/>
              <w:bottom w:val="nil"/>
              <w:right w:val="single" w:sz="2" w:space="0" w:color="000000"/>
            </w:tcBorders>
          </w:tcPr>
          <w:p w:rsidR="005F0059" w:rsidRDefault="005F0059"/>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17</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RpAcF01F1</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Ridicarea la nivelul strazii a capacelor de la caminele de vizitare ale instalatiilor de alimentare cu apa si canalizare, cu inaltimea medie de 20 cm si greutatea capacului de peste 100 kg, pe placa din B.A. prefabricata, in cazul executiei sub circulatie intensa</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7122050013400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2640112300739</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Caramizi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44,0000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2663102101183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M-100 Z</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2661126420771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Piesa din beton armat pentru camine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2952270007602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18</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RpAcF34A</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Demontarea capacelor la camine</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2952270007602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19</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RpAcF38A</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Demolarea portiunilor deteriorate ale  caminelor  de vizitare circulare din elemente prefabricate din beton la canale  cu adincimea de 2-4 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7124010010700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9310060019922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16,5500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2952270007602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2811230002214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20</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TsC59B</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a pamintului cu excavator cu o cupa de 0,15 m3 cu descarcare in autobasculanta:  teren de categoria 2 (incarcarea)</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0,02</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6,0800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2952260003523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diesel pe pneuri cu o cupa de 0,15 m3</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14,3000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2952260003557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Buldozere, 58(80)KW (с.p.)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3,6200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21</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TsI50B5</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5 t la distanta  de 15 km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4,80</w:t>
            </w: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3410540000006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lastRenderedPageBreak/>
              <w:t xml:space="preserve"> </w:t>
            </w:r>
            <w:r w:rsidR="005F0059">
              <w:rPr>
                <w:sz w:val="22"/>
                <w:szCs w:val="22"/>
              </w:rPr>
              <w:t>22</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RpAcF06A</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Turnarea peretilor la caminele de vizitare ale canalelor circulare din elemente prefabricate din beton, avind adincimea de 2-4 m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2,00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71240100107001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3,4500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7122050013400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2663102100897-1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clasa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2664102101206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pentru tencuiala M 100-T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26511221000241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10,6000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2030122928335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12,5000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2952270003716</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2952270007602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2811230001303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0,0920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23</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AcE07D</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sau fonta-beton fara piesa-suport, la caminele de vizitare ale instalatiilor de alimentare cu apa si canalizare, carosabil tip D400</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2875274200000-1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 cu rama  D400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265112210040200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14,3000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1421102200525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tc>
          <w:tcPr>
            <w:tcW w:w="699" w:type="dxa"/>
            <w:tcBorders>
              <w:top w:val="nil"/>
              <w:left w:val="single" w:sz="2" w:space="0" w:color="000000"/>
              <w:bottom w:val="nil"/>
              <w:right w:val="nil"/>
            </w:tcBorders>
          </w:tcPr>
          <w:p w:rsidR="005F0059" w:rsidRDefault="00E34433">
            <w:pPr>
              <w:jc w:val="center"/>
            </w:pPr>
            <w:r>
              <w:t xml:space="preserve"> </w:t>
            </w:r>
          </w:p>
        </w:tc>
        <w:tc>
          <w:tcPr>
            <w:tcW w:w="1537" w:type="dxa"/>
            <w:tcBorders>
              <w:top w:val="nil"/>
              <w:left w:val="single" w:sz="2" w:space="0" w:color="000000"/>
              <w:bottom w:val="nil"/>
              <w:right w:val="nil"/>
            </w:tcBorders>
          </w:tcPr>
          <w:p w:rsidR="005F0059" w:rsidRDefault="005F0059"/>
        </w:tc>
        <w:tc>
          <w:tcPr>
            <w:tcW w:w="4613" w:type="dxa"/>
            <w:tcBorders>
              <w:top w:val="nil"/>
              <w:left w:val="single" w:sz="2" w:space="0" w:color="000000"/>
              <w:bottom w:val="nil"/>
              <w:right w:val="nil"/>
            </w:tcBorders>
          </w:tcPr>
          <w:p w:rsidR="005F0059" w:rsidRDefault="005F0059">
            <w:pPr>
              <w:rPr>
                <w:rFonts w:ascii="Times New Roman CYR" w:hAnsi="Times New Roman CYR" w:cs="Times New Roman CYR"/>
                <w:b/>
                <w:bCs/>
                <w:sz w:val="22"/>
                <w:szCs w:val="22"/>
                <w:lang/>
              </w:rPr>
            </w:pPr>
            <w:r>
              <w:rPr>
                <w:rFonts w:ascii="Times New Roman CYR" w:hAnsi="Times New Roman CYR" w:cs="Times New Roman CYR"/>
                <w:b/>
                <w:bCs/>
                <w:sz w:val="22"/>
                <w:szCs w:val="22"/>
                <w:lang/>
              </w:rPr>
              <w:t>4. Amenajarea bordurelor</w:t>
            </w:r>
          </w:p>
        </w:tc>
        <w:tc>
          <w:tcPr>
            <w:tcW w:w="978" w:type="dxa"/>
            <w:tcBorders>
              <w:top w:val="nil"/>
              <w:left w:val="single" w:sz="2" w:space="0" w:color="000000"/>
              <w:bottom w:val="nil"/>
              <w:right w:val="nil"/>
            </w:tcBorders>
          </w:tcPr>
          <w:p w:rsidR="005F0059" w:rsidRDefault="005F0059"/>
        </w:tc>
        <w:tc>
          <w:tcPr>
            <w:tcW w:w="1118" w:type="dxa"/>
            <w:tcBorders>
              <w:top w:val="nil"/>
              <w:left w:val="single" w:sz="2" w:space="0" w:color="000000"/>
              <w:bottom w:val="nil"/>
              <w:right w:val="nil"/>
            </w:tcBorders>
          </w:tcPr>
          <w:p w:rsidR="005F0059" w:rsidRDefault="005F0059"/>
        </w:tc>
        <w:tc>
          <w:tcPr>
            <w:tcW w:w="1119" w:type="dxa"/>
            <w:tcBorders>
              <w:top w:val="nil"/>
              <w:left w:val="single" w:sz="2" w:space="0" w:color="000000"/>
              <w:bottom w:val="nil"/>
              <w:right w:val="single" w:sz="2" w:space="0" w:color="000000"/>
            </w:tcBorders>
          </w:tcPr>
          <w:p w:rsidR="005F0059" w:rsidRDefault="005F0059"/>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rPr>
            </w:pPr>
            <w:r>
              <w:rPr>
                <w:sz w:val="22"/>
                <w:szCs w:val="22"/>
              </w:rPr>
              <w:t>24</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RpDC04A</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Taierea cu masina cu discuri diamantate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300,00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7123011000200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2881116002721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armat cu seg. diamantati cu crestatura larga cu D=400 mm, forma IA-IR-55/C1</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1212121212121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2940520007684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taiat rosturi in beton cu discuri abrazive de 24 CP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25</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RpAcF38A</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Demolarea portiunilor deteriorate ale  caminelor  de vizitare circulare din elemente prefabricate din beton la canale  cu adincimea de 2-4 m</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10,00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7124010010700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9310060019922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16,5500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2952270007602</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2811230002214</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26</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TsC59B</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a pamintului cu excavator cu o cupa de 0,15 m3 cu descarcare in autobasculanta:  teren de categoria 2 (decapare/incarcarea)</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0,48</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6,0800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2952260003523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diesel pe pneuri cu o cupa de 0,15 m3</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14,3000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2952260003557</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Buldozere, 58(80)KW (с.p.)</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3,6200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DE0701">
        <w:tc>
          <w:tcPr>
            <w:tcW w:w="699" w:type="dxa"/>
            <w:tcBorders>
              <w:top w:val="single" w:sz="2" w:space="0" w:color="000000"/>
              <w:left w:val="single" w:sz="2" w:space="0" w:color="000000"/>
              <w:bottom w:val="single" w:sz="2" w:space="0" w:color="000000"/>
              <w:right w:val="nil"/>
            </w:tcBorders>
            <w:vAlign w:val="center"/>
          </w:tcPr>
          <w:p w:rsidR="005F0059" w:rsidRDefault="00E34433" w:rsidP="00DE0701">
            <w:pPr>
              <w:jc w:val="center"/>
              <w:rPr>
                <w:sz w:val="22"/>
                <w:szCs w:val="22"/>
              </w:rPr>
            </w:pPr>
            <w:r>
              <w:t xml:space="preserve"> </w:t>
            </w:r>
            <w:r w:rsidR="005F0059">
              <w:rPr>
                <w:sz w:val="22"/>
                <w:szCs w:val="22"/>
              </w:rPr>
              <w:t>27</w:t>
            </w:r>
          </w:p>
        </w:tc>
        <w:tc>
          <w:tcPr>
            <w:tcW w:w="1537" w:type="dxa"/>
            <w:tcBorders>
              <w:top w:val="single" w:sz="2" w:space="0" w:color="000000"/>
              <w:left w:val="single" w:sz="2" w:space="0" w:color="000000"/>
              <w:bottom w:val="single" w:sz="2" w:space="0" w:color="000000"/>
              <w:right w:val="nil"/>
            </w:tcBorders>
            <w:vAlign w:val="center"/>
          </w:tcPr>
          <w:p w:rsidR="005F0059" w:rsidRDefault="005F0059" w:rsidP="00DE0701">
            <w:pPr>
              <w:jc w:val="center"/>
              <w:rPr>
                <w:sz w:val="22"/>
                <w:szCs w:val="22"/>
                <w:lang w:val="en-US"/>
              </w:rPr>
            </w:pPr>
            <w:r>
              <w:rPr>
                <w:sz w:val="22"/>
                <w:szCs w:val="22"/>
                <w:lang w:val="en-US"/>
              </w:rPr>
              <w:t>DE10E</w:t>
            </w:r>
          </w:p>
          <w:p w:rsidR="00E34433" w:rsidRDefault="00E34433" w:rsidP="00DE0701">
            <w:pPr>
              <w:jc w:val="center"/>
            </w:pPr>
          </w:p>
        </w:tc>
        <w:tc>
          <w:tcPr>
            <w:tcW w:w="4613" w:type="dxa"/>
            <w:tcBorders>
              <w:top w:val="single" w:sz="2" w:space="0" w:color="000000"/>
              <w:left w:val="single" w:sz="2" w:space="0" w:color="000000"/>
              <w:bottom w:val="single" w:sz="2" w:space="0" w:color="000000"/>
              <w:right w:val="nil"/>
            </w:tcBorders>
          </w:tcPr>
          <w:p w:rsidR="005F0059" w:rsidRDefault="005F0059">
            <w:pPr>
              <w:rPr>
                <w:rFonts w:ascii="Times New Roman CYR" w:hAnsi="Times New Roman CYR" w:cs="Times New Roman CYR"/>
                <w:sz w:val="22"/>
                <w:szCs w:val="22"/>
                <w:lang/>
              </w:rPr>
            </w:pPr>
            <w:r>
              <w:rPr>
                <w:rFonts w:ascii="Times New Roman CYR" w:hAnsi="Times New Roman CYR" w:cs="Times New Roman CYR"/>
                <w:sz w:val="22"/>
                <w:szCs w:val="22"/>
                <w:lang/>
              </w:rPr>
              <w:t xml:space="preserve">Borduri prefabricate din beton, (bordure de dimensiuni 100х30х15 см, pe fundatie de beton C16/20 ) </w:t>
            </w:r>
          </w:p>
        </w:tc>
        <w:tc>
          <w:tcPr>
            <w:tcW w:w="97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rsidR="005F0059" w:rsidRDefault="005F0059">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rsidR="005F0059" w:rsidRPr="002B02C2" w:rsidRDefault="005F0059">
            <w:pPr>
              <w:jc w:val="right"/>
              <w:rPr>
                <w:lang w:val="en-US"/>
              </w:rPr>
            </w:pPr>
            <w:r w:rsidRPr="002B02C2">
              <w:rPr>
                <w:lang w:val="en-US"/>
              </w:rPr>
              <w:t>300,00</w:t>
            </w: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26511221000241</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1421102200513</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r w:rsidR="005F0059" w:rsidTr="00E03DD8">
        <w:tc>
          <w:tcPr>
            <w:tcW w:w="699" w:type="dxa"/>
            <w:tcBorders>
              <w:top w:val="nil"/>
              <w:left w:val="single" w:sz="2" w:space="0" w:color="000000"/>
              <w:bottom w:val="single" w:sz="2" w:space="0" w:color="000000"/>
              <w:right w:val="nil"/>
            </w:tcBorders>
          </w:tcPr>
          <w:p w:rsidR="005F0059" w:rsidRDefault="005F0059">
            <w:pPr>
              <w:rPr>
                <w:lang w:val="en-US"/>
              </w:rPr>
            </w:pPr>
          </w:p>
        </w:tc>
        <w:tc>
          <w:tcPr>
            <w:tcW w:w="1537" w:type="dxa"/>
            <w:tcBorders>
              <w:top w:val="nil"/>
              <w:left w:val="single" w:sz="2" w:space="0" w:color="000000"/>
              <w:bottom w:val="single" w:sz="2" w:space="0" w:color="000000"/>
              <w:right w:val="nil"/>
            </w:tcBorders>
            <w:vAlign w:val="center"/>
          </w:tcPr>
          <w:p w:rsidR="005F0059" w:rsidRPr="004D02E8" w:rsidRDefault="005F0059" w:rsidP="00E03DD8">
            <w:pPr>
              <w:rPr>
                <w:sz w:val="16"/>
                <w:szCs w:val="16"/>
              </w:rPr>
            </w:pPr>
            <w:r w:rsidRPr="004D02E8">
              <w:rPr>
                <w:sz w:val="16"/>
                <w:szCs w:val="16"/>
              </w:rPr>
              <w:t>2666122800284-30115</w:t>
            </w:r>
          </w:p>
        </w:tc>
        <w:tc>
          <w:tcPr>
            <w:tcW w:w="4613" w:type="dxa"/>
            <w:tcBorders>
              <w:top w:val="nil"/>
              <w:left w:val="single" w:sz="2" w:space="0" w:color="000000"/>
              <w:bottom w:val="single" w:sz="2" w:space="0" w:color="000000"/>
              <w:right w:val="nil"/>
            </w:tcBorders>
          </w:tcPr>
          <w:p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100x30x15cm</w:t>
            </w:r>
          </w:p>
        </w:tc>
        <w:tc>
          <w:tcPr>
            <w:tcW w:w="97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rsidR="005F0059" w:rsidRPr="002B02C2" w:rsidRDefault="005F0059" w:rsidP="00E03DD8">
            <w:pPr>
              <w:rPr>
                <w:sz w:val="18"/>
                <w:szCs w:val="18"/>
                <w:lang w:val="en-US"/>
              </w:rPr>
            </w:pPr>
          </w:p>
        </w:tc>
      </w:tr>
    </w:tbl>
    <w:p w:rsidR="005F0059" w:rsidRDefault="005F0059">
      <w:pPr>
        <w:rPr>
          <w:sz w:val="28"/>
          <w:szCs w:val="28"/>
        </w:rPr>
      </w:pPr>
    </w:p>
    <w:sectPr w:rsidR="005F0059" w:rsidSect="00874C70">
      <w:type w:val="continuous"/>
      <w:pgSz w:w="11907" w:h="16840"/>
      <w:pgMar w:top="993"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325"/>
    <w:rsid w:val="00066F9D"/>
    <w:rsid w:val="001522E0"/>
    <w:rsid w:val="002B02C2"/>
    <w:rsid w:val="00310280"/>
    <w:rsid w:val="00450666"/>
    <w:rsid w:val="004D02E8"/>
    <w:rsid w:val="00574370"/>
    <w:rsid w:val="005F0059"/>
    <w:rsid w:val="00694325"/>
    <w:rsid w:val="00726D10"/>
    <w:rsid w:val="00767F94"/>
    <w:rsid w:val="00874C70"/>
    <w:rsid w:val="009C1B64"/>
    <w:rsid w:val="00A63AC8"/>
    <w:rsid w:val="00D8180E"/>
    <w:rsid w:val="00DE0701"/>
    <w:rsid w:val="00E03DD8"/>
    <w:rsid w:val="00E17D63"/>
    <w:rsid w:val="00E344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6084C0-C68E-48A2-A5D3-D95E55486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1">
    <w:name w:val="Основной текст Знак1"/>
    <w:basedOn w:val="a0"/>
    <w:link w:val="a4"/>
    <w:uiPriority w:val="99"/>
    <w:semiHidden/>
    <w:locked/>
    <w:rPr>
      <w:rFonts w:ascii="Times New Roman" w:hAnsi="Times New Roman" w:cs="Times New Roman"/>
      <w:sz w:val="20"/>
      <w:szCs w:val="20"/>
      <w:lang w:val="x-none" w:eastAsia="en-US"/>
    </w:rPr>
  </w:style>
  <w:style w:type="character" w:customStyle="1" w:styleId="a5">
    <w:name w:val="Название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1"/>
    <w:uiPriority w:val="99"/>
    <w:pPr>
      <w:spacing w:after="120"/>
    </w:pPr>
  </w:style>
  <w:style w:type="character" w:customStyle="1" w:styleId="a6">
    <w:name w:val="Основной текст Знак"/>
    <w:basedOn w:val="a0"/>
    <w:uiPriority w:val="99"/>
    <w:semiHidden/>
    <w:rPr>
      <w:rFonts w:ascii="Times New Roman" w:hAnsi="Times New Roman"/>
      <w:sz w:val="20"/>
      <w:szCs w:val="20"/>
      <w:lang w:eastAsia="en-US"/>
    </w:rPr>
  </w:style>
  <w:style w:type="character" w:customStyle="1" w:styleId="CorptextCaracter1">
    <w:name w:val="Corp text Caracter1"/>
    <w:basedOn w:val="a0"/>
    <w:uiPriority w:val="99"/>
    <w:semiHidden/>
    <w:rPr>
      <w:rFonts w:ascii="Times New Roman" w:hAnsi="Times New Roman" w:cs="Times New Roman"/>
      <w:sz w:val="20"/>
      <w:szCs w:val="20"/>
      <w:lang w:val="ru-RU"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чнûй"/>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новной øðèф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1666</Words>
  <Characters>9500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PP</cp:lastModifiedBy>
  <cp:revision>2</cp:revision>
  <cp:lastPrinted>2112-12-31T21:00:00Z</cp:lastPrinted>
  <dcterms:created xsi:type="dcterms:W3CDTF">2026-07-31T13:45:00Z</dcterms:created>
  <dcterms:modified xsi:type="dcterms:W3CDTF">2026-07-31T13:45:00Z</dcterms:modified>
</cp:coreProperties>
</file>