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u1"/>
        <w:spacing w:lineRule="auto" w:line="276" w:before="120" w:after="120"/>
        <w:rPr>
          <w:rFonts w:ascii="Liberation Serif" w:hAnsi="Liberation Serif"/>
          <w:lang w:val="ro-MD"/>
        </w:rPr>
      </w:pPr>
      <w:r>
        <w:rPr>
          <w:rFonts w:ascii="Liberation Serif" w:hAnsi="Liberation Serif"/>
          <w:lang w:val="ro-MD"/>
        </w:rPr>
        <w:t xml:space="preserve">                               </w:t>
      </w:r>
      <w:r>
        <w:rPr>
          <w:rFonts w:ascii="Liberation Serif" w:hAnsi="Liberation Serif"/>
          <w:sz w:val="30"/>
          <w:szCs w:val="30"/>
          <w:lang w:val="ro-MD"/>
        </w:rPr>
        <w:t>ANUNȚ DE PARTICIPARE</w:t>
      </w:r>
    </w:p>
    <w:p>
      <w:pPr>
        <w:pStyle w:val="Normal"/>
        <w:spacing w:before="120" w:after="0"/>
        <w:jc w:val="center"/>
        <w:rPr/>
      </w:pPr>
      <w:r>
        <w:rPr>
          <w:b/>
        </w:rPr>
        <w:t xml:space="preserve">privind achiziționarea </w:t>
      </w:r>
      <w:r>
        <w:rPr>
          <w:b/>
        </w:rPr>
        <w:t>Detergent și produse de curățat</w:t>
      </w:r>
      <w:r>
        <w:rPr>
          <w:b/>
          <w:lang w:val="ro-RO"/>
        </w:rPr>
        <w:t xml:space="preserve"> pentru</w:t>
      </w:r>
      <w:r>
        <w:rPr>
          <w:b/>
        </w:rPr>
        <w:t xml:space="preserve"> anul 202</w:t>
      </w:r>
      <w:r>
        <w:rPr>
          <w:b/>
        </w:rPr>
        <w:t>6</w:t>
      </w:r>
      <w:r>
        <w:rPr>
          <w:b/>
        </w:rPr>
        <w:br/>
      </w:r>
      <w:r>
        <w:rPr/>
        <w:t>(se indică obiectul achiziției)</w:t>
      </w:r>
      <w:r>
        <w:rPr>
          <w:b/>
        </w:rPr>
        <w:br/>
        <w:t>prin procedura de achiziție</w:t>
      </w:r>
      <w:r>
        <w:rPr>
          <w:b/>
          <w:shd w:fill="FFFF00" w:val="clear"/>
        </w:rPr>
        <w:t xml:space="preserve"> Cererea Ofertelor de Prețuri </w:t>
      </w:r>
      <w:r>
        <w:rPr>
          <w:b/>
        </w:rPr>
        <w:br/>
      </w:r>
      <w:r>
        <w:rPr/>
        <w:t>(tipul procedurii de achiziție)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b w:val="false"/>
          <w:bCs w:val="false"/>
        </w:rPr>
      </w:pPr>
      <w:r>
        <w:rPr>
          <w:b w:val="false"/>
          <w:bCs w:val="false"/>
        </w:rPr>
        <w:t xml:space="preserve">Denumirea autorității contractante: </w:t>
      </w:r>
      <w:r>
        <w:rPr>
          <w:b w:val="false"/>
          <w:bCs w:val="false"/>
          <w:shd w:fill="FFFF00" w:val="clear"/>
        </w:rPr>
        <w:t>IMSP Spitalul raional Dondușeni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b w:val="false"/>
          <w:bCs w:val="false"/>
        </w:rPr>
      </w:pPr>
      <w:r>
        <w:rPr>
          <w:b w:val="false"/>
          <w:bCs w:val="false"/>
        </w:rPr>
        <w:t xml:space="preserve">IDNO: </w:t>
      </w:r>
      <w:r>
        <w:rPr>
          <w:b w:val="false"/>
          <w:bCs w:val="false"/>
          <w:shd w:fill="FFFF00" w:val="clear"/>
        </w:rPr>
        <w:t>1003604150574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b w:val="false"/>
          <w:bCs w:val="false"/>
        </w:rPr>
      </w:pPr>
      <w:r>
        <w:rPr>
          <w:b w:val="false"/>
          <w:bCs w:val="false"/>
        </w:rPr>
        <w:t xml:space="preserve">Adresa: </w:t>
      </w:r>
      <w:r>
        <w:rPr>
          <w:b w:val="false"/>
          <w:bCs w:val="false"/>
          <w:shd w:fill="FFFF00" w:val="clear"/>
        </w:rPr>
        <w:t>or. Dondușeni, str. M. Eminescu, 26/1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b w:val="false"/>
          <w:bCs w:val="false"/>
        </w:rPr>
      </w:pPr>
      <w:r>
        <w:rPr>
          <w:b w:val="false"/>
          <w:bCs w:val="false"/>
        </w:rPr>
        <w:t xml:space="preserve">Numărul de telefon/fax: </w:t>
      </w:r>
      <w:r>
        <w:rPr>
          <w:b w:val="false"/>
          <w:bCs w:val="false"/>
          <w:shd w:fill="FFFF00" w:val="clear"/>
        </w:rPr>
        <w:t>0 251 2 32 05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/>
      </w:pPr>
      <w:r>
        <w:rPr>
          <w:b w:val="false"/>
          <w:bCs w:val="false"/>
        </w:rPr>
        <w:t xml:space="preserve">Adresa de e-mail și de internet a autorității contractante: </w:t>
      </w:r>
      <w:hyperlink r:id="rId2">
        <w:r>
          <w:rPr>
            <w:b w:val="false"/>
            <w:bCs w:val="false"/>
            <w:color w:val="0563C1"/>
            <w:u w:val="single"/>
            <w:shd w:fill="FFFF00" w:val="clear"/>
          </w:rPr>
          <w:t>srdonduseni@ms.md</w:t>
        </w:r>
      </w:hyperlink>
      <w:r>
        <w:rPr>
          <w:b w:val="false"/>
          <w:bCs w:val="false"/>
          <w:shd w:fill="FFFF00" w:val="clear"/>
        </w:rPr>
        <w:t xml:space="preserve"> , srdonduseni.md 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72" w:leader="none"/>
          <w:tab w:val="right" w:pos="9819" w:leader="none"/>
        </w:tabs>
        <w:spacing w:before="120" w:after="0"/>
        <w:ind w:left="288" w:right="0" w:hanging="288"/>
        <w:rPr>
          <w:b w:val="false"/>
          <w:bCs w:val="false"/>
        </w:rPr>
      </w:pPr>
      <w:r>
        <w:rPr>
          <w:b w:val="false"/>
          <w:bCs w:val="false"/>
        </w:rPr>
        <w:t xml:space="preserve">Adresa de e-mail sau de internet de la care se va putea obține accesul la documentația de atribuire: </w:t>
      </w:r>
      <w:r>
        <w:rPr>
          <w:b w:val="false"/>
          <w:bCs w:val="false"/>
          <w:i/>
        </w:rPr>
        <w:t>documentația de atribuire este anexată în cadrul procedurii în SIA RSAP</w:t>
      </w:r>
      <w:r>
        <w:rPr>
          <w:b w:val="false"/>
          <w:bCs w:val="false"/>
        </w:rPr>
        <w:t xml:space="preserve"> 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72" w:leader="none"/>
          <w:tab w:val="right" w:pos="9819" w:leader="none"/>
        </w:tabs>
        <w:spacing w:before="120" w:after="0"/>
        <w:ind w:left="288" w:right="0" w:hanging="288"/>
        <w:rPr>
          <w:b w:val="false"/>
          <w:bCs w:val="false"/>
        </w:rPr>
      </w:pPr>
      <w:r>
        <w:rPr>
          <w:b w:val="false"/>
          <w:bCs w:val="false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 w:val="false"/>
          <w:bCs w:val="false"/>
          <w:i/>
          <w:shd w:fill="FFFF00" w:val="clear"/>
        </w:rPr>
        <w:t>Instituție medicală ce prestează servicii medicale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72" w:leader="none"/>
          <w:tab w:val="right" w:pos="9819" w:leader="none"/>
        </w:tabs>
        <w:spacing w:before="120" w:after="0"/>
        <w:ind w:left="288" w:right="0" w:hanging="288"/>
        <w:rPr>
          <w:b w:val="false"/>
          <w:bCs w:val="false"/>
        </w:rPr>
      </w:pPr>
      <w:r>
        <w:rPr>
          <w:b w:val="false"/>
          <w:bCs w:val="false"/>
        </w:rPr>
        <w:t xml:space="preserve">Procedura a fost inclusă în planul de achiziții publice a autorității contractante (Da/Nu): </w:t>
      </w:r>
    </w:p>
    <w:p>
      <w:pPr>
        <w:pStyle w:val="Normal"/>
        <w:rPr>
          <w:b w:val="false"/>
          <w:bCs w:val="false"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Link-ul către planul de achiziții publice publicat:</w:t>
      </w:r>
      <w:r>
        <w:rPr>
          <w:b w:val="false"/>
          <w:bCs w:val="false"/>
          <w:shd w:fill="FFFF00" w:val="clear"/>
        </w:rPr>
        <w:t>https://srdonduseni.md/planul-de-achizitii/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8" w:leader="none"/>
          <w:tab w:val="right" w:pos="710" w:leader="none"/>
        </w:tabs>
        <w:spacing w:before="120" w:after="0"/>
        <w:ind w:left="284" w:right="0" w:hanging="284"/>
        <w:rPr>
          <w:b w:val="false"/>
          <w:bCs w:val="false"/>
        </w:rPr>
      </w:pPr>
      <w:r>
        <w:rPr>
          <w:b w:val="false"/>
          <w:bCs w:val="false"/>
        </w:rPr>
        <w:t>Cumpărătorul invită operatorii economici interesați, care îi pot satisface necesitățile, să participe la procedura de achiziție privind livrarea următoarelor bunuri :</w:t>
      </w:r>
    </w:p>
    <w:tbl>
      <w:tblPr>
        <w:tblW w:w="10074" w:type="dxa"/>
        <w:jc w:val="left"/>
        <w:tblInd w:w="-4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838"/>
        <w:gridCol w:w="1996"/>
        <w:gridCol w:w="842"/>
        <w:gridCol w:w="795"/>
        <w:gridCol w:w="3607"/>
        <w:gridCol w:w="1262"/>
      </w:tblGrid>
      <w:tr>
        <w:trPr>
          <w:trHeight w:val="56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b/>
              </w:rPr>
            </w:pPr>
            <w:r>
              <w:rPr>
                <w:b/>
              </w:rPr>
              <w:t>Denumirea bunurilor solicitate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b/>
              </w:rPr>
            </w:pPr>
            <w:r>
              <w:rPr>
                <w:b/>
              </w:rPr>
              <w:t>Canti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b/>
              </w:rPr>
            </w:pPr>
            <w:r>
              <w:rPr>
                <w:b/>
              </w:rPr>
              <w:t>tate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b/>
              </w:rPr>
            </w:pPr>
            <w:r>
              <w:rPr>
                <w:b/>
              </w:rPr>
              <w:t>Un.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Măs.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b/>
              </w:rPr>
            </w:pPr>
            <w:r>
              <w:rPr>
                <w:b/>
              </w:rPr>
              <w:t>Specificarea tehnică deplină solicitată, Standarde de referință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b/>
              </w:rPr>
            </w:pPr>
            <w:r>
              <w:rPr>
                <w:b/>
              </w:rPr>
              <w:t>Valoarea estimată(se va indica pentru fiecare lot în parte)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 w:eastAsia="en-US"/>
              </w:rPr>
              <w:t>Detergent automat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 w:eastAsia="en-US"/>
              </w:rPr>
              <w:t xml:space="preserve">sac 9-10 kg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1200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 xml:space="preserve">Praf de spălat rufe, Temperatura de spălare - de la 30⁰c - 95⁰c. Tipul spălării - automat </w:t>
            </w:r>
          </w:p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trike w:val="false"/>
                <w:dstrike w:val="false"/>
                <w:sz w:val="24"/>
                <w:szCs w:val="24"/>
                <w:u w:val="none"/>
              </w:rPr>
              <w:t xml:space="preserve">Tip detergent – praf </w:t>
            </w:r>
          </w:p>
          <w:p>
            <w:pPr>
              <w:pStyle w:val="Default"/>
              <w:tabs>
                <w:tab w:val="clear" w:pos="709"/>
              </w:tabs>
              <w:rPr>
                <w:sz w:val="24"/>
                <w:szCs w:val="24"/>
              </w:rPr>
            </w:pPr>
            <w:r>
              <w:rPr>
                <w:strike w:val="false"/>
                <w:dstrike w:val="false"/>
                <w:sz w:val="24"/>
                <w:szCs w:val="24"/>
                <w:u w:val="none"/>
              </w:rPr>
              <w:t xml:space="preserve">Tip utilizare – albituri / haine color / universal. </w:t>
            </w:r>
            <w:r>
              <w:rPr>
                <w:strike w:val="false"/>
                <w:dstrike w:val="false"/>
                <w:sz w:val="24"/>
                <w:szCs w:val="24"/>
                <w:u w:val="none"/>
              </w:rPr>
              <w:t>Ambalaj 9-10 kg</w:t>
            </w:r>
          </w:p>
          <w:p>
            <w:pPr>
              <w:pStyle w:val="Default"/>
              <w:tabs>
                <w:tab w:val="clear" w:pos="709"/>
              </w:tabs>
              <w:rPr>
                <w:sz w:val="24"/>
                <w:szCs w:val="24"/>
              </w:rPr>
            </w:pPr>
            <w:r>
              <w:rPr>
                <w:strike w:val="false"/>
                <w:dstrike w:val="false"/>
                <w:sz w:val="24"/>
                <w:szCs w:val="24"/>
                <w:u w:val="none"/>
              </w:rPr>
              <w:t>e</w:t>
            </w:r>
            <w:r>
              <w:rPr>
                <w:strike w:val="false"/>
                <w:dstrike w:val="false"/>
                <w:sz w:val="24"/>
                <w:szCs w:val="24"/>
                <w:u w:val="none"/>
              </w:rPr>
              <w:t>chivalent DERO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0000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Detergent manual,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sac 2,5 -3 kg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kg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00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>Detergent pudră pentru spălarea manuală a țesăturilor plăcut parfumat pentru toate tipurile de r</w:t>
            </w:r>
            <w:r>
              <w:rPr>
                <w:sz w:val="24"/>
                <w:szCs w:val="24"/>
              </w:rPr>
              <w:t>ufe,</w:t>
            </w:r>
            <w:r>
              <w:rPr>
                <w:sz w:val="24"/>
                <w:szCs w:val="24"/>
              </w:rPr>
              <w:t xml:space="preserve"> cu conținut ridicat de substante active. 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180000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Gel pentru veselă, 5 L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buc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35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>Gel pentru veselă cu capac detașabil, Compoziție : S</w:t>
            </w:r>
            <w:r>
              <w:rPr>
                <w:sz w:val="24"/>
                <w:szCs w:val="24"/>
              </w:rPr>
              <w:t>ol</w:t>
            </w:r>
            <w:r>
              <w:rPr>
                <w:sz w:val="24"/>
                <w:szCs w:val="24"/>
              </w:rPr>
              <w:t xml:space="preserve">uție efectivă împotriva grăsimii, murdării pe farfor, sticlă, metal, plastic, </w:t>
            </w:r>
            <w:r>
              <w:rPr>
                <w:sz w:val="24"/>
                <w:szCs w:val="24"/>
              </w:rPr>
              <w:t>echivalen FAIRY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10000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Soluție pentru geam, 500 ml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buc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101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 xml:space="preserve">Solutie pentru curatarea geamurilor, oglinzilor si a altor suprafete din sticla cu alcool, </w:t>
            </w:r>
            <w:r>
              <w:rPr>
                <w:sz w:val="24"/>
                <w:szCs w:val="24"/>
              </w:rPr>
              <w:t>cu dozator</w:t>
            </w:r>
          </w:p>
          <w:p>
            <w:pPr>
              <w:pStyle w:val="Normal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sz w:val="24"/>
                <w:szCs w:val="24"/>
                <w:u w:val="none"/>
              </w:rPr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2500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Soluție pentru WC, anticalcat, 750 ml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buc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316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>Solutii pentruWC inalbitor 750ml, anticalcar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12000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Soluție pentru rugină, 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500 ml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buc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104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trike w:val="false"/>
                <w:dstrike w:val="false"/>
                <w:sz w:val="24"/>
                <w:szCs w:val="24"/>
                <w:u w:val="none"/>
              </w:rPr>
              <w:t>Soluție pentru înlăturarea ruginei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4000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Soluție antimucegai, 750 ml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buc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54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>Soluție pentru îndepărtarea rapidă a mucegaiului pe suprafețe din interior și exterior, cu acțiune imediată, cu efect dezinfectant și de albire. Ambalaj sticlă plastic cu pulverizator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 w:eastAsia="en-US"/>
              </w:rPr>
              <w:t xml:space="preserve">Soluție pentru curățirea 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 w:eastAsia="en-US"/>
              </w:rPr>
              <w:t>suprafețelor din bucătărie, baie, 500ml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buc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325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>Praf ,p</w:t>
            </w:r>
            <w:r>
              <w:rPr>
                <w:sz w:val="24"/>
                <w:szCs w:val="24"/>
              </w:rPr>
              <w:t>entru curățarea căzilor de baie, chiuvete, gresie și faianță și suprafețe de bucătărie. Conține proprietăți dezinfectante și antibacteriene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12000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Înălbitor pe bază de clor, 1 L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buc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500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trike w:val="false"/>
                <w:dstrike w:val="false"/>
                <w:sz w:val="24"/>
                <w:szCs w:val="24"/>
                <w:u w:val="none"/>
              </w:rPr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18000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Săpun lichid cremă, 5 L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L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00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ăpun lichid viscos cu glicerina, hidratant </w:t>
            </w:r>
          </w:p>
          <w:p>
            <w:pPr>
              <w:pStyle w:val="Normal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rFonts w:ascii="Times New Roman" w:hAnsi="Times New Roman"/>
                <w:strike w:val="false"/>
                <w:dstrike w:val="false"/>
                <w:sz w:val="24"/>
                <w:szCs w:val="24"/>
                <w:u w:val="none"/>
              </w:rPr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5000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Săpun de rufe, 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72 % (200 gr)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buc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24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trike w:val="false"/>
                <w:dstrike w:val="false"/>
                <w:sz w:val="24"/>
                <w:szCs w:val="24"/>
                <w:u w:val="none"/>
              </w:rPr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300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Prosop de bucătărie, 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set 2  sau 4 role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buc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1000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 xml:space="preserve">Prosop de bucătărie în rulou din 3 straturi fabricat din celuloză 100% de culoare albă, reliefată și cu perforații de rupere 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30000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Prosop de bucătărie, 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rulou mare, 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2 straturi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buc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50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2 straturi, 500 perforații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17000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Burete pentru spălat vase, 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set N5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set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70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Bureti cu canelură prevăzuți cu o fibră abraziva special creata pentru a curăța ușor și eficient murdăria persistentă, fară a zgaria suprafetele cu care intra în contact, iar buretele moale și dens are putere sporită de absorbție</w:t>
            </w:r>
          </w:p>
          <w:p>
            <w:pPr>
              <w:pStyle w:val="Default"/>
              <w:widowControl w:val="false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trike w:val="false"/>
                <w:dstrike w:val="false"/>
                <w:sz w:val="24"/>
                <w:szCs w:val="24"/>
                <w:u w:val="none"/>
              </w:rPr>
              <w:t xml:space="preserve">Dimensiuni 9.5 x7x 4.5 </w:t>
            </w:r>
          </w:p>
          <w:p>
            <w:pPr>
              <w:pStyle w:val="Default"/>
              <w:widowControl w:val="false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>Amabat cite 5 buc în set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1000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Sârmă pentru veselă, moale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set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50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>Sîrma spiralat</w:t>
            </w:r>
            <w:r>
              <w:rPr>
                <w:sz w:val="24"/>
                <w:szCs w:val="24"/>
              </w:rPr>
              <w:t>ă,</w:t>
            </w:r>
            <w:r>
              <w:rPr>
                <w:sz w:val="24"/>
                <w:szCs w:val="24"/>
              </w:rPr>
              <w:t xml:space="preserve"> inox 20-30gr., care nu rugineste culoarea argintie,</w:t>
            </w:r>
            <w:r>
              <w:rPr>
                <w:strike w:val="false"/>
                <w:dstrike w:val="false"/>
                <w:sz w:val="24"/>
                <w:szCs w:val="24"/>
                <w:u w:val="none"/>
              </w:rPr>
              <w:t xml:space="preserve"> rezisten</w:t>
            </w:r>
            <w:r>
              <w:rPr>
                <w:strike w:val="false"/>
                <w:dstrike w:val="false"/>
                <w:sz w:val="24"/>
                <w:szCs w:val="24"/>
                <w:u w:val="none"/>
              </w:rPr>
              <w:t>tă</w:t>
            </w:r>
            <w:r>
              <w:rPr>
                <w:strike w:val="false"/>
                <w:dstrike w:val="false"/>
                <w:sz w:val="24"/>
                <w:szCs w:val="24"/>
                <w:u w:val="none"/>
              </w:rPr>
              <w:t xml:space="preserve">, flexibilă </w:t>
            </w:r>
          </w:p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 xml:space="preserve">Ambalat cite </w:t>
            </w:r>
            <w:r>
              <w:rPr>
                <w:sz w:val="24"/>
                <w:szCs w:val="24"/>
              </w:rPr>
              <w:t xml:space="preserve"> 2</w:t>
            </w:r>
            <w:r>
              <w:rPr>
                <w:sz w:val="24"/>
                <w:szCs w:val="24"/>
              </w:rPr>
              <w:t xml:space="preserve"> buc în se</w:t>
            </w:r>
            <w:r>
              <w:rPr>
                <w:sz w:val="24"/>
                <w:szCs w:val="24"/>
              </w:rPr>
              <w:t>t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1200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Saci negri pentru gunoi, 120 L, N10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rulou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6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>Extra rezistenți, volum 120 litri, etanșabili, rulou a cite 10 buc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300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Saci negri pentru gunoi, 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0 L, N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rulou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0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 xml:space="preserve">Extra rezistenți, volum 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0 litri, etanșabili, rulou a cite 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 buc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2500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Saci 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verzi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 pentru gunoi, 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0 L, N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rulou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130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 xml:space="preserve">Extra rezistenți, volum 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0 litri, etanșabili, rulou a cite 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 buc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9"/>
              </w:tabs>
              <w:spacing w:before="120" w:after="0"/>
              <w:ind w:left="-360" w:right="0" w:hanging="0"/>
              <w:contextualSpacing/>
              <w:jc w:val="center"/>
              <w:rPr>
                <w:rFonts w:ascii="Liberation Serif" w:hAnsi="Liberation Serif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Saci 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galbeni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 pentru gunoi, 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0 L, N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rulou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80</w:t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</w:rPr>
              <w:t xml:space="preserve">Extra rezistenți, volum 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0 litri, etanșabili, rulou a cite 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 buc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2500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ind w:left="360" w:right="0" w:hanging="0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fill="auto" w:val="clear"/>
                <w:lang w:val="en-US"/>
              </w:rPr>
              <w:t>Pungă deșeuri, neagră, N30 35 L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rulou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900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  <w:lang w:val="ro-MD" w:eastAsia="en-US"/>
              </w:rPr>
              <w:t xml:space="preserve">Extra rezistenți, volum </w:t>
            </w:r>
            <w:r>
              <w:rPr>
                <w:sz w:val="24"/>
                <w:szCs w:val="24"/>
                <w:lang w:val="ro-MD" w:eastAsia="en-US"/>
              </w:rPr>
              <w:t>35</w:t>
            </w:r>
            <w:r>
              <w:rPr>
                <w:sz w:val="24"/>
                <w:szCs w:val="24"/>
                <w:lang w:val="ro-MD" w:eastAsia="en-US"/>
              </w:rPr>
              <w:t xml:space="preserve"> litri, etanșabili, rulou a c</w:t>
            </w:r>
            <w:r>
              <w:rPr>
                <w:sz w:val="24"/>
                <w:szCs w:val="24"/>
                <w:lang w:val="ro-MD" w:eastAsia="en-US"/>
              </w:rPr>
              <w:t>â</w:t>
            </w:r>
            <w:r>
              <w:rPr>
                <w:sz w:val="24"/>
                <w:szCs w:val="24"/>
                <w:lang w:val="ro-MD" w:eastAsia="en-US"/>
              </w:rPr>
              <w:t xml:space="preserve">te </w:t>
            </w:r>
            <w:r>
              <w:rPr>
                <w:sz w:val="24"/>
                <w:szCs w:val="24"/>
                <w:lang w:val="ro-MD" w:eastAsia="en-US"/>
              </w:rPr>
              <w:t>3</w:t>
            </w:r>
            <w:r>
              <w:rPr>
                <w:sz w:val="24"/>
                <w:szCs w:val="24"/>
                <w:lang w:val="ro-MD" w:eastAsia="en-US"/>
              </w:rPr>
              <w:t>0 buc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17000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ind w:left="360" w:right="0" w:hanging="0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fill="auto" w:val="clear"/>
                <w:lang w:val="en-US"/>
              </w:rPr>
              <w:t xml:space="preserve">Pungă deșeuri,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fill="auto" w:val="clear"/>
                <w:lang w:val="en-US"/>
              </w:rPr>
              <w:t>verde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fill="auto" w:val="clear"/>
                <w:lang w:val="en-US"/>
              </w:rPr>
              <w:t>, N30 35 L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rulou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430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  <w:lang w:val="ro-MD" w:eastAsia="en-US"/>
              </w:rPr>
              <w:t xml:space="preserve">Extra rezistenți, volum </w:t>
            </w:r>
            <w:r>
              <w:rPr>
                <w:sz w:val="24"/>
                <w:szCs w:val="24"/>
                <w:lang w:val="ro-MD" w:eastAsia="en-US"/>
              </w:rPr>
              <w:t>35</w:t>
            </w:r>
            <w:r>
              <w:rPr>
                <w:sz w:val="24"/>
                <w:szCs w:val="24"/>
                <w:lang w:val="ro-MD" w:eastAsia="en-US"/>
              </w:rPr>
              <w:t xml:space="preserve"> litri, etanșabili, rulou a c</w:t>
            </w:r>
            <w:r>
              <w:rPr>
                <w:sz w:val="24"/>
                <w:szCs w:val="24"/>
                <w:lang w:val="ro-MD" w:eastAsia="en-US"/>
              </w:rPr>
              <w:t>â</w:t>
            </w:r>
            <w:r>
              <w:rPr>
                <w:sz w:val="24"/>
                <w:szCs w:val="24"/>
                <w:lang w:val="ro-MD" w:eastAsia="en-US"/>
              </w:rPr>
              <w:t xml:space="preserve">te </w:t>
            </w:r>
            <w:r>
              <w:rPr>
                <w:sz w:val="24"/>
                <w:szCs w:val="24"/>
                <w:lang w:val="ro-MD" w:eastAsia="en-US"/>
              </w:rPr>
              <w:t>3</w:t>
            </w:r>
            <w:r>
              <w:rPr>
                <w:sz w:val="24"/>
                <w:szCs w:val="24"/>
                <w:lang w:val="ro-MD" w:eastAsia="en-US"/>
              </w:rPr>
              <w:t>0 buc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10000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ind w:left="360" w:right="0" w:hanging="0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fill="auto" w:val="clear"/>
              </w:rPr>
              <w:t>3983000-9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uppressAutoHyphens w:val="true"/>
              <w:spacing w:lineRule="auto" w:line="252"/>
              <w:ind w:left="0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fill="auto" w:val="clear"/>
                <w:lang w:val="en-US"/>
              </w:rPr>
              <w:t xml:space="preserve">Pungă deșeuri,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fill="auto" w:val="clear"/>
                <w:lang w:val="en-US"/>
              </w:rPr>
              <w:t>galbenă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fill="auto" w:val="clear"/>
                <w:lang w:val="en-US"/>
              </w:rPr>
              <w:t>, N30 35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fill="auto" w:val="clear"/>
                <w:lang w:val="en-US"/>
              </w:rPr>
              <w:t>L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rulou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  <w:lang w:val="ro-RO"/>
              </w:rPr>
              <w:t>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Default"/>
              <w:tabs>
                <w:tab w:val="clear" w:pos="709"/>
              </w:tabs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z w:val="24"/>
                <w:szCs w:val="24"/>
                <w:lang w:val="ro-MD" w:eastAsia="en-US"/>
              </w:rPr>
              <w:t xml:space="preserve">Extra rezistenți, volum </w:t>
            </w:r>
            <w:r>
              <w:rPr>
                <w:sz w:val="24"/>
                <w:szCs w:val="24"/>
                <w:lang w:val="ro-MD" w:eastAsia="en-US"/>
              </w:rPr>
              <w:t>35</w:t>
            </w:r>
            <w:r>
              <w:rPr>
                <w:sz w:val="24"/>
                <w:szCs w:val="24"/>
                <w:lang w:val="ro-MD" w:eastAsia="en-US"/>
              </w:rPr>
              <w:t xml:space="preserve"> litri, etanșabili, rulou a c</w:t>
            </w:r>
            <w:r>
              <w:rPr>
                <w:sz w:val="24"/>
                <w:szCs w:val="24"/>
                <w:lang w:val="ro-MD" w:eastAsia="en-US"/>
              </w:rPr>
              <w:t>â</w:t>
            </w:r>
            <w:r>
              <w:rPr>
                <w:sz w:val="24"/>
                <w:szCs w:val="24"/>
                <w:lang w:val="ro-MD" w:eastAsia="en-US"/>
              </w:rPr>
              <w:t xml:space="preserve">te </w:t>
            </w:r>
            <w:r>
              <w:rPr>
                <w:sz w:val="24"/>
                <w:szCs w:val="24"/>
                <w:lang w:val="ro-MD" w:eastAsia="en-US"/>
              </w:rPr>
              <w:t>3</w:t>
            </w:r>
            <w:r>
              <w:rPr>
                <w:sz w:val="24"/>
                <w:szCs w:val="24"/>
                <w:lang w:val="ro-MD" w:eastAsia="en-US"/>
              </w:rPr>
              <w:t>0 buc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25000</w:t>
            </w:r>
          </w:p>
        </w:tc>
      </w:tr>
      <w:tr>
        <w:trPr>
          <w:trHeight w:val="397" w:hRule="atLeast"/>
        </w:trPr>
        <w:tc>
          <w:tcPr>
            <w:tcW w:w="8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b/>
                <w:shd w:fill="auto" w:val="clear"/>
              </w:rPr>
            </w:pPr>
            <w:r>
              <w:rPr>
                <w:b/>
                <w:shd w:fill="auto" w:val="clear"/>
              </w:rPr>
              <w:t>Valoarea estimativă totală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b/>
                <w:shd w:fill="auto" w:val="clear"/>
              </w:rPr>
            </w:pPr>
            <w:r>
              <w:rPr>
                <w:b/>
                <w:shd w:fill="auto" w:val="clear"/>
              </w:rPr>
              <w:t>415800</w:t>
            </w:r>
          </w:p>
        </w:tc>
      </w:tr>
    </w:tbl>
    <w:p>
      <w:pPr>
        <w:pStyle w:val="Normal"/>
        <w:widowControl w:val="false"/>
        <w:tabs>
          <w:tab w:val="clear" w:pos="709"/>
          <w:tab w:val="left" w:pos="284" w:leader="none"/>
          <w:tab w:val="right" w:pos="426" w:leader="none"/>
        </w:tabs>
        <w:spacing w:before="120" w:after="0"/>
        <w:rPr>
          <w:b/>
        </w:rPr>
      </w:pPr>
      <w:r>
        <w:rPr>
          <w:b/>
        </w:rPr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/>
        </w:rPr>
      </w:pPr>
      <w:r>
        <w:rPr>
          <w:b/>
        </w:rPr>
        <w:t>Î</w:t>
      </w:r>
      <w:r>
        <w:rPr>
          <w:b w:val="false"/>
          <w:bCs w:val="false"/>
        </w:rPr>
        <w:t>n cazul în care contractul este împărțit pe loturi un operator economic poate depune oferta (se va selecta):</w:t>
      </w:r>
    </w:p>
    <w:p>
      <w:pPr>
        <w:pStyle w:val="ListParagraph"/>
        <w:numPr>
          <w:ilvl w:val="0"/>
          <w:numId w:val="4"/>
        </w:numPr>
        <w:shd w:fill="FFFF00" w:val="clear"/>
        <w:tabs>
          <w:tab w:val="clear" w:pos="709"/>
          <w:tab w:val="right" w:pos="1146" w:leader="none"/>
        </w:tabs>
        <w:rPr>
          <w:rFonts w:ascii="Liberation Serif" w:hAnsi="Liberation Serif"/>
        </w:rPr>
      </w:pPr>
      <w:r>
        <w:rPr>
          <w:b w:val="false"/>
          <w:bCs w:val="false"/>
          <w:sz w:val="24"/>
          <w:szCs w:val="24"/>
        </w:rPr>
        <w:t>Pentru un singur lot;</w:t>
      </w:r>
    </w:p>
    <w:p>
      <w:pPr>
        <w:pStyle w:val="ListParagraph"/>
        <w:numPr>
          <w:ilvl w:val="0"/>
          <w:numId w:val="4"/>
        </w:numPr>
        <w:shd w:fill="FFFF00" w:val="clear"/>
        <w:tabs>
          <w:tab w:val="clear" w:pos="709"/>
          <w:tab w:val="right" w:pos="1146" w:leader="none"/>
        </w:tabs>
        <w:rPr>
          <w:rFonts w:ascii="Liberation Serif" w:hAnsi="Liberation Serif"/>
        </w:rPr>
      </w:pPr>
      <w:r>
        <w:rPr>
          <w:b/>
          <w:bCs/>
          <w:sz w:val="24"/>
          <w:szCs w:val="24"/>
        </w:rPr>
        <w:t>Pentru mai multe loturi;</w:t>
      </w:r>
    </w:p>
    <w:p>
      <w:pPr>
        <w:pStyle w:val="ListParagraph"/>
        <w:numPr>
          <w:ilvl w:val="0"/>
          <w:numId w:val="4"/>
        </w:numPr>
        <w:shd w:fill="FFFF00" w:val="clear"/>
        <w:tabs>
          <w:tab w:val="clear" w:pos="709"/>
          <w:tab w:val="right" w:pos="1146" w:leader="none"/>
        </w:tabs>
        <w:rPr>
          <w:rFonts w:ascii="Liberation Serif" w:hAnsi="Liberation Serif"/>
        </w:rPr>
      </w:pPr>
      <w:r>
        <w:rPr>
          <w:b w:val="false"/>
          <w:bCs w:val="false"/>
          <w:sz w:val="24"/>
          <w:szCs w:val="24"/>
        </w:rPr>
        <w:t>Pentru toate loturile;</w:t>
      </w:r>
    </w:p>
    <w:p>
      <w:pPr>
        <w:pStyle w:val="ListParagraph"/>
        <w:numPr>
          <w:ilvl w:val="0"/>
          <w:numId w:val="4"/>
        </w:numPr>
        <w:shd w:fill="FFFF00" w:val="clear"/>
        <w:tabs>
          <w:tab w:val="clear" w:pos="709"/>
          <w:tab w:val="right" w:pos="1146" w:leader="none"/>
        </w:tabs>
        <w:rPr>
          <w:rFonts w:ascii="Liberation Serif" w:hAnsi="Liberation Serif"/>
        </w:rPr>
      </w:pPr>
      <w:r>
        <w:rPr>
          <w:b w:val="false"/>
          <w:bCs w:val="false"/>
          <w:sz w:val="24"/>
          <w:szCs w:val="24"/>
        </w:rPr>
        <w:t>Alte limitări privind numărul de loturi care pot fi atribuite aceluiași ofertant_________________________________________________________________.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 w:val="false"/>
          <w:bCs w:val="false"/>
        </w:rPr>
      </w:pPr>
      <w:r>
        <w:rPr>
          <w:b w:val="false"/>
          <w:bCs w:val="false"/>
        </w:rPr>
        <w:t>Admiterea sau interzicerea ofertelor alternative: nu se admite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284" w:leader="none"/>
          <w:tab w:val="left" w:pos="568" w:leader="none"/>
          <w:tab w:val="left" w:pos="710" w:leader="none"/>
        </w:tabs>
        <w:spacing w:before="120" w:after="0"/>
        <w:ind w:left="284" w:right="0" w:hanging="284"/>
        <w:rPr>
          <w:b w:val="false"/>
          <w:bCs w:val="false"/>
        </w:rPr>
      </w:pPr>
      <w:r>
        <w:rPr>
          <w:b w:val="false"/>
          <w:bCs w:val="false"/>
        </w:rPr>
        <w:t>Termenii și condițiile de livrare/prestare/executare solicitați: Livrarea la depozitul instituției, p</w:t>
      </w:r>
      <w:r>
        <w:rPr>
          <w:b w:val="false"/>
          <w:bCs w:val="false"/>
          <w:shd w:fill="FFFF00" w:val="clear"/>
        </w:rPr>
        <w:t>e parcursul anului 202</w:t>
      </w:r>
      <w:r>
        <w:rPr>
          <w:b w:val="false"/>
          <w:bCs w:val="false"/>
          <w:shd w:fill="FFFF00" w:val="clear"/>
        </w:rPr>
        <w:t>6</w:t>
      </w:r>
      <w:r>
        <w:rPr>
          <w:b w:val="false"/>
          <w:bCs w:val="false"/>
          <w:shd w:fill="FFFF00" w:val="clear"/>
        </w:rPr>
        <w:t xml:space="preserve">, în termen de maxim 10 zile de la comandă, în orele de lucru a instituției 8.00-17.00. 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 w:val="false"/>
          <w:bCs w:val="false"/>
        </w:rPr>
      </w:pPr>
      <w:r>
        <w:rPr>
          <w:b w:val="false"/>
          <w:bCs w:val="false"/>
        </w:rPr>
        <w:t>Termenul de valabilitate a contractului</w:t>
      </w:r>
      <w:r>
        <w:rPr>
          <w:b w:val="false"/>
          <w:bCs w:val="false"/>
          <w:shd w:fill="FFFF00" w:val="clear"/>
        </w:rPr>
        <w:t>: Până la 31.12.202</w:t>
      </w:r>
      <w:r>
        <w:rPr>
          <w:b w:val="false"/>
          <w:bCs w:val="false"/>
          <w:shd w:fill="FFFF00" w:val="clear"/>
        </w:rPr>
        <w:t>6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 w:val="false"/>
          <w:bCs w:val="false"/>
        </w:rPr>
      </w:pPr>
      <w:r>
        <w:rPr>
          <w:b w:val="false"/>
          <w:bCs w:val="false"/>
        </w:rPr>
        <w:t xml:space="preserve">Contract de achiziție rezervat atelierelor protejate sau că acesta poate fi executat numai în cadrul unor programe de angajare protejată (după caz): </w:t>
      </w:r>
      <w:r>
        <w:rPr>
          <w:b w:val="false"/>
          <w:bCs w:val="false"/>
          <w:shd w:fill="FFFF00" w:val="clear"/>
        </w:rPr>
        <w:t>_______________________</w:t>
      </w:r>
    </w:p>
    <w:p>
      <w:pPr>
        <w:pStyle w:val="ListParagraph"/>
        <w:tabs>
          <w:tab w:val="clear" w:pos="709"/>
          <w:tab w:val="right" w:pos="7986" w:leader="none"/>
        </w:tabs>
        <w:ind w:left="7560" w:right="0" w:hanging="630"/>
        <w:rPr>
          <w:rFonts w:ascii="Liberation Serif" w:hAnsi="Liberation Serif"/>
        </w:rPr>
      </w:pPr>
      <w:r>
        <w:rPr>
          <w:b w:val="false"/>
          <w:bCs w:val="false"/>
          <w:szCs w:val="24"/>
        </w:rPr>
        <w:t>(indicați da sau nu)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 w:val="false"/>
          <w:bCs w:val="false"/>
        </w:rPr>
      </w:pPr>
      <w:r>
        <w:rPr>
          <w:b w:val="false"/>
          <w:bCs w:val="false"/>
        </w:rPr>
        <w:t xml:space="preserve">Prestarea serviciului este rezervată unei anumite profesii în temeiul unor acte cu putere de lege sau al unor acte administrative (după caz): </w:t>
      </w:r>
      <w:r>
        <w:rPr>
          <w:b w:val="false"/>
          <w:bCs w:val="false"/>
          <w:shd w:fill="FFFF00" w:val="clear"/>
        </w:rPr>
        <w:t>_________________________</w:t>
      </w:r>
    </w:p>
    <w:p>
      <w:pPr>
        <w:pStyle w:val="ListParagraph"/>
        <w:tabs>
          <w:tab w:val="clear" w:pos="709"/>
          <w:tab w:val="right" w:pos="426" w:leader="none"/>
        </w:tabs>
        <w:ind w:left="0" w:right="0" w:hanging="0"/>
        <w:jc w:val="center"/>
        <w:rPr>
          <w:rFonts w:ascii="Liberation Serif" w:hAnsi="Liberation Serif"/>
        </w:rPr>
      </w:pPr>
      <w:r>
        <w:rPr>
          <w:b w:val="false"/>
          <w:bCs w:val="false"/>
          <w:szCs w:val="24"/>
        </w:rPr>
        <w:t>(se menționează respectivele acte cu putere de lege și acte administrative)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 w:val="false"/>
          <w:bCs w:val="false"/>
        </w:rPr>
      </w:pPr>
      <w:r>
        <w:rPr>
          <w:b w:val="false"/>
          <w:bCs w:val="false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344" w:type="dxa"/>
        <w:jc w:val="left"/>
        <w:tblInd w:w="0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569"/>
        <w:gridCol w:w="3156"/>
        <w:gridCol w:w="4007"/>
        <w:gridCol w:w="1612"/>
      </w:tblGrid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rPr>
                <w:b/>
                <w:iCs/>
                <w:kern w:val="0"/>
                <w:lang w:bidi="ar-SA"/>
              </w:rPr>
            </w:pPr>
            <w:r>
              <w:rPr>
                <w:b/>
                <w:iCs/>
                <w:kern w:val="0"/>
                <w:lang w:bidi="ar-SA"/>
              </w:rPr>
              <w:t>Nr. d/o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  <w:kern w:val="0"/>
                <w:lang w:bidi="ar-SA"/>
              </w:rPr>
            </w:pPr>
            <w:r>
              <w:rPr>
                <w:b/>
                <w:iCs/>
                <w:kern w:val="0"/>
                <w:lang w:bidi="ar-SA"/>
              </w:rPr>
              <w:t>Descrierea criteriului/cerinței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rPr>
                <w:b/>
                <w:iCs/>
                <w:kern w:val="0"/>
                <w:lang w:bidi="ar-SA"/>
              </w:rPr>
            </w:pPr>
            <w:r>
              <w:rPr>
                <w:b/>
                <w:iCs/>
                <w:kern w:val="0"/>
                <w:lang w:bidi="ar-SA"/>
              </w:rPr>
              <w:t>Mod de demonstrare a îndeplinirii criteriului/cerinței: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  <w:kern w:val="0"/>
                <w:lang w:bidi="ar-SA"/>
              </w:rPr>
            </w:pPr>
            <w:r>
              <w:rPr>
                <w:b/>
                <w:iCs/>
                <w:kern w:val="0"/>
                <w:lang w:bidi="ar-SA"/>
              </w:rPr>
              <w:t>Nivelul minim/</w:t>
              <w:br/>
              <w:t>Obligativitatea</w:t>
            </w:r>
          </w:p>
        </w:tc>
      </w:tr>
      <w:tr>
        <w:trPr/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1</w:t>
            </w:r>
          </w:p>
        </w:tc>
        <w:tc>
          <w:tcPr>
            <w:tcW w:w="31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tabs>
                <w:tab w:val="clear" w:pos="709"/>
                <w:tab w:val="left" w:pos="612" w:leader="none"/>
              </w:tabs>
              <w:spacing w:before="120" w:after="120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>Cerere de participare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7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2</w:t>
            </w:r>
          </w:p>
        </w:tc>
        <w:tc>
          <w:tcPr>
            <w:tcW w:w="31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tabs>
                <w:tab w:val="clear" w:pos="709"/>
                <w:tab w:val="left" w:pos="612" w:leader="none"/>
              </w:tabs>
              <w:spacing w:before="120" w:after="120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Declarație privind </w:t>
            </w:r>
          </w:p>
          <w:p>
            <w:pPr>
              <w:pStyle w:val="Normal"/>
              <w:widowControl w:val="false"/>
              <w:shd w:fill="FFFFFF" w:val="clear"/>
              <w:tabs>
                <w:tab w:val="clear" w:pos="709"/>
                <w:tab w:val="left" w:pos="612" w:leader="none"/>
              </w:tabs>
              <w:spacing w:before="120" w:after="120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>valabilitatea ofertei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8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3</w:t>
            </w:r>
          </w:p>
        </w:tc>
        <w:tc>
          <w:tcPr>
            <w:tcW w:w="31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Specificații tehnice 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22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4</w:t>
            </w:r>
          </w:p>
        </w:tc>
        <w:tc>
          <w:tcPr>
            <w:tcW w:w="31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Specificații de preț 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23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5</w:t>
            </w:r>
          </w:p>
        </w:tc>
        <w:tc>
          <w:tcPr>
            <w:tcW w:w="31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DUAE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Se va completa conform modelului atașat în SIARSAP Mtender.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>.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6</w:t>
            </w:r>
          </w:p>
        </w:tc>
        <w:tc>
          <w:tcPr>
            <w:tcW w:w="31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Dovada 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înregistrării juridice, 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>date de contact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Copie,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Confirmat prin semnătura electronică 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7</w:t>
            </w:r>
          </w:p>
        </w:tc>
        <w:tc>
          <w:tcPr>
            <w:tcW w:w="31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rPr>
                <w:iCs/>
                <w:kern w:val="0"/>
                <w:sz w:val="22"/>
                <w:szCs w:val="22"/>
                <w:lang w:bidi="ar-SA"/>
              </w:rPr>
            </w:pPr>
            <w:r>
              <w:rPr>
                <w:iCs/>
                <w:kern w:val="0"/>
                <w:sz w:val="22"/>
                <w:szCs w:val="22"/>
                <w:lang w:bidi="ar-SA"/>
              </w:rPr>
              <w:t>Certificat de efectuare sistematică a plății impozitelor, contribuțiilor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Original ,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Confirmat prin semnătura electronică 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Obligatoriu </w:t>
            </w:r>
          </w:p>
        </w:tc>
      </w:tr>
      <w:tr>
        <w:trPr/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8</w:t>
            </w:r>
          </w:p>
        </w:tc>
        <w:tc>
          <w:tcPr>
            <w:tcW w:w="31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kern w:val="0"/>
                <w:sz w:val="22"/>
                <w:szCs w:val="22"/>
                <w:lang w:bidi="ar-SA"/>
              </w:rPr>
            </w:pPr>
            <w:r>
              <w:rPr>
                <w:kern w:val="0"/>
                <w:sz w:val="22"/>
                <w:szCs w:val="22"/>
                <w:lang w:bidi="ar-SA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120"/>
              <w:jc w:val="both"/>
              <w:rPr>
                <w:lang w:val="en-GB"/>
              </w:rPr>
            </w:pPr>
            <w:r>
              <w:rPr>
                <w:bCs/>
                <w:iCs/>
                <w:kern w:val="0"/>
                <w:sz w:val="22"/>
                <w:szCs w:val="22"/>
                <w:lang w:val="en-GB" w:bidi="ar-SA"/>
              </w:rPr>
              <w:t xml:space="preserve">Aprobat prin </w:t>
            </w:r>
            <w:r>
              <w:rPr>
                <w:bCs/>
                <w:kern w:val="0"/>
                <w:sz w:val="22"/>
                <w:szCs w:val="22"/>
                <w:lang w:bidi="ar-SA"/>
              </w:rPr>
              <w:t>Ordinul MF nr. 145 din 24.11.2020, original,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 Confirmat prin semnătura electronică </w:t>
            </w:r>
            <w:r>
              <w:rPr>
                <w:kern w:val="0"/>
                <w:sz w:val="22"/>
                <w:szCs w:val="22"/>
                <w:lang w:val="en-GB" w:bidi="ar-SA"/>
              </w:rPr>
              <w:t xml:space="preserve">În termen de 5 zile de la data comunicării rezultatelor procedurii de achiziție publică, 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lang w:val="en-US"/>
              </w:rPr>
            </w:pPr>
            <w:r>
              <w:rPr>
                <w:bCs/>
                <w:iCs/>
                <w:kern w:val="0"/>
                <w:sz w:val="22"/>
                <w:szCs w:val="22"/>
                <w:lang w:val="en-US" w:bidi="ar-SA"/>
              </w:rPr>
              <w:t xml:space="preserve">Obligatoriu </w:t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 w:val="false"/>
          <w:bCs w:val="false"/>
        </w:rPr>
      </w:pPr>
      <w:r>
        <w:rPr>
          <w:b w:val="false"/>
          <w:bCs w:val="false"/>
        </w:rPr>
        <w:t>Motivul recurgerii la procedura accelerată (în cazul licitației deschise, restrânse și al procedurii negociate), după caz</w:t>
      </w:r>
      <w:r>
        <w:rPr>
          <w:b w:val="false"/>
          <w:bCs w:val="false"/>
          <w:shd w:fill="FFFF00" w:val="clear"/>
        </w:rPr>
        <w:t xml:space="preserve">_______________________________________________ 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 w:val="false"/>
          <w:bCs w:val="false"/>
        </w:rPr>
      </w:pPr>
      <w:r>
        <w:rPr>
          <w:b w:val="false"/>
          <w:bCs w:val="false"/>
          <w:color w:val="000000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 w:val="false"/>
          <w:bCs w:val="false"/>
          <w:color w:val="000000"/>
          <w:shd w:fill="FFFF00" w:val="clear"/>
        </w:rPr>
        <w:t>_____</w:t>
      </w:r>
    </w:p>
    <w:p>
      <w:pPr>
        <w:pStyle w:val="Normal"/>
        <w:tabs>
          <w:tab w:val="clear" w:pos="709"/>
          <w:tab w:val="right" w:pos="426" w:leader="none"/>
        </w:tabs>
        <w:jc w:val="both"/>
        <w:rPr>
          <w:b w:val="false"/>
          <w:bCs w:val="false"/>
        </w:rPr>
      </w:pPr>
      <w:r>
        <w:rPr>
          <w:b w:val="false"/>
          <w:bCs w:val="false"/>
        </w:rPr>
        <w:t>19.Condiții speciale de care depinde îndeplinirea contractului (indicați după caz):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 w:val="false"/>
          <w:bCs w:val="false"/>
        </w:rPr>
      </w:pPr>
      <w:r>
        <w:rPr>
          <w:b w:val="false"/>
          <w:bCs w:val="false"/>
        </w:rPr>
        <w:t xml:space="preserve">Criteriul de evaluare aplicat pentru adjudecarea contractului: </w:t>
      </w:r>
      <w:r>
        <w:rPr>
          <w:b/>
          <w:bCs/>
          <w:iCs/>
          <w:sz w:val="22"/>
          <w:szCs w:val="22"/>
          <w:shd w:fill="auto" w:val="clear"/>
          <w:lang w:val="en-US"/>
        </w:rPr>
        <w:t>cel mai mic preț</w:t>
      </w:r>
      <w:r>
        <w:rPr>
          <w:b/>
          <w:bCs/>
          <w:shd w:fill="auto" w:val="clear"/>
        </w:rPr>
        <w:t xml:space="preserve"> cu îndeplinirea </w:t>
      </w:r>
      <w:r>
        <w:rPr>
          <w:b/>
          <w:bCs/>
          <w:shd w:fill="auto" w:val="clear"/>
        </w:rPr>
        <w:t>specificației tehnice solicitate</w:t>
      </w:r>
      <w:r>
        <w:rPr>
          <w:b/>
          <w:bCs/>
          <w:shd w:fill="auto" w:val="clear"/>
        </w:rPr>
        <w:t>.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 w:val="false"/>
          <w:bCs w:val="false"/>
        </w:rPr>
      </w:pPr>
      <w:r>
        <w:rPr>
          <w:b w:val="false"/>
          <w:bCs w:val="false"/>
        </w:rPr>
        <w:t>Factorii de evaluare a ofertei celei mai avantajoase din punct de vedere economic, precum și ponderile lor:</w:t>
      </w:r>
    </w:p>
    <w:tbl>
      <w:tblPr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7004"/>
        <w:gridCol w:w="1771"/>
      </w:tblGrid>
      <w:tr>
        <w:trPr/>
        <w:tc>
          <w:tcPr>
            <w:tcW w:w="570" w:type="dxa"/>
            <w:tcBorders/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rPr>
                <w:b w:val="false"/>
                <w:bCs w:val="false"/>
                <w:iCs/>
                <w:kern w:val="0"/>
                <w:lang w:bidi="ar-SA"/>
              </w:rPr>
            </w:pPr>
            <w:r>
              <w:rPr>
                <w:b w:val="false"/>
                <w:bCs w:val="false"/>
                <w:iCs/>
                <w:kern w:val="0"/>
                <w:lang w:bidi="ar-SA"/>
              </w:rPr>
              <w:t>Nr. d/o</w:t>
            </w:r>
          </w:p>
        </w:tc>
        <w:tc>
          <w:tcPr>
            <w:tcW w:w="7004" w:type="dxa"/>
            <w:tcBorders/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 w:val="false"/>
                <w:bCs w:val="false"/>
                <w:iCs/>
                <w:kern w:val="0"/>
                <w:lang w:bidi="ar-SA"/>
              </w:rPr>
            </w:pPr>
            <w:r>
              <w:rPr>
                <w:b w:val="false"/>
                <w:bCs w:val="false"/>
                <w:iCs/>
                <w:kern w:val="0"/>
                <w:lang w:bidi="ar-SA"/>
              </w:rPr>
              <w:t>Denumirea factorului de evaluare</w:t>
            </w:r>
          </w:p>
        </w:tc>
        <w:tc>
          <w:tcPr>
            <w:tcW w:w="1771" w:type="dxa"/>
            <w:tcBorders/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 w:val="false"/>
                <w:bCs w:val="false"/>
                <w:iCs/>
                <w:kern w:val="0"/>
                <w:lang w:bidi="ar-SA"/>
              </w:rPr>
            </w:pPr>
            <w:r>
              <w:rPr>
                <w:b w:val="false"/>
                <w:bCs w:val="false"/>
                <w:iCs/>
                <w:kern w:val="0"/>
                <w:lang w:bidi="ar-SA"/>
              </w:rPr>
              <w:t>Ponderea%</w:t>
            </w:r>
          </w:p>
        </w:tc>
      </w:tr>
      <w:tr>
        <w:trPr/>
        <w:tc>
          <w:tcPr>
            <w:tcW w:w="570" w:type="dxa"/>
            <w:tcBorders/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rPr>
                <w:b/>
                <w:iCs/>
              </w:rPr>
            </w:pPr>
            <w:r>
              <w:rPr>
                <w:b w:val="false"/>
                <w:bCs w:val="false"/>
                <w:iCs/>
              </w:rPr>
            </w:r>
          </w:p>
        </w:tc>
        <w:tc>
          <w:tcPr>
            <w:tcW w:w="7004" w:type="dxa"/>
            <w:tcBorders/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 w:val="false"/>
                <w:bCs w:val="false"/>
                <w:iCs/>
              </w:rPr>
            </w:r>
          </w:p>
        </w:tc>
        <w:tc>
          <w:tcPr>
            <w:tcW w:w="1771" w:type="dxa"/>
            <w:tcBorders/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 w:val="false"/>
                <w:bCs w:val="false"/>
                <w:iCs/>
              </w:rPr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 w:val="false"/>
          <w:bCs w:val="false"/>
        </w:rPr>
      </w:pPr>
      <w:r>
        <w:rPr>
          <w:b w:val="false"/>
          <w:bCs w:val="false"/>
        </w:rPr>
        <w:t>Termenul limită de depunere/deschidere a ofertelor:</w:t>
      </w:r>
    </w:p>
    <w:p>
      <w:pPr>
        <w:pStyle w:val="ListParagraph"/>
        <w:numPr>
          <w:ilvl w:val="0"/>
          <w:numId w:val="5"/>
        </w:numPr>
        <w:tabs>
          <w:tab w:val="clear" w:pos="709"/>
          <w:tab w:val="right" w:pos="1146" w:leader="none"/>
        </w:tabs>
        <w:spacing w:before="120" w:after="0"/>
        <w:contextualSpacing/>
        <w:rPr>
          <w:rFonts w:ascii="Liberation Serif" w:hAnsi="Liberation Serif"/>
        </w:rPr>
      </w:pPr>
      <w:r>
        <w:rPr>
          <w:b w:val="false"/>
          <w:bCs w:val="false"/>
          <w:sz w:val="24"/>
          <w:szCs w:val="24"/>
        </w:rPr>
        <w:t xml:space="preserve">până la: </w:t>
      </w:r>
      <w:r>
        <w:rPr>
          <w:b w:val="false"/>
          <w:bCs w:val="false"/>
          <w:i/>
          <w:sz w:val="24"/>
          <w:szCs w:val="24"/>
        </w:rPr>
        <w:t>[ora exactă]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i/>
          <w:sz w:val="24"/>
          <w:szCs w:val="24"/>
        </w:rPr>
        <w:t>SIA RSAP</w:t>
      </w:r>
    </w:p>
    <w:p>
      <w:pPr>
        <w:pStyle w:val="ListParagraph"/>
        <w:numPr>
          <w:ilvl w:val="0"/>
          <w:numId w:val="5"/>
        </w:numPr>
        <w:tabs>
          <w:tab w:val="clear" w:pos="709"/>
          <w:tab w:val="right" w:pos="1146" w:leader="none"/>
        </w:tabs>
        <w:spacing w:before="120" w:after="0"/>
        <w:contextualSpacing/>
        <w:rPr>
          <w:rFonts w:ascii="Liberation Serif" w:hAnsi="Liberation Serif"/>
        </w:rPr>
      </w:pPr>
      <w:r>
        <w:rPr>
          <w:b w:val="false"/>
          <w:bCs w:val="false"/>
          <w:sz w:val="24"/>
          <w:szCs w:val="24"/>
        </w:rPr>
        <w:t xml:space="preserve">pe: </w:t>
      </w:r>
      <w:r>
        <w:rPr>
          <w:b w:val="false"/>
          <w:bCs w:val="false"/>
          <w:i/>
          <w:sz w:val="24"/>
          <w:szCs w:val="24"/>
        </w:rPr>
        <w:t>[data]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i/>
          <w:sz w:val="24"/>
          <w:szCs w:val="24"/>
        </w:rPr>
        <w:t xml:space="preserve">SIA RSAP 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 w:val="false"/>
          <w:bCs w:val="false"/>
        </w:rPr>
      </w:pPr>
      <w:r>
        <w:rPr>
          <w:b w:val="false"/>
          <w:bCs w:val="false"/>
        </w:rPr>
        <w:t xml:space="preserve">Adresa la care trebuie transmise ofertele sau cererile de participare: </w:t>
      </w:r>
    </w:p>
    <w:p>
      <w:pPr>
        <w:pStyle w:val="Normal"/>
        <w:tabs>
          <w:tab w:val="clear" w:pos="709"/>
          <w:tab w:val="right" w:pos="876" w:leader="none"/>
        </w:tabs>
        <w:spacing w:before="120" w:after="0"/>
        <w:ind w:left="450" w:right="0" w:hanging="0"/>
        <w:rPr>
          <w:b w:val="false"/>
          <w:bCs w:val="false"/>
          <w:i/>
          <w:i/>
        </w:rPr>
      </w:pPr>
      <w:r>
        <w:rPr>
          <w:b w:val="false"/>
          <w:bCs w:val="false"/>
          <w:i/>
        </w:rPr>
        <w:t>Ofertele sau cererile de participare vor fi depuse electronic prin intermediul SIA RSAP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 w:val="false"/>
          <w:bCs w:val="false"/>
        </w:rPr>
      </w:pPr>
      <w:r>
        <w:rPr>
          <w:b w:val="false"/>
          <w:bCs w:val="false"/>
        </w:rPr>
        <w:t xml:space="preserve">Termenul de valabilitate a ofertelor: </w:t>
      </w:r>
      <w:r>
        <w:rPr>
          <w:b w:val="false"/>
          <w:bCs w:val="false"/>
          <w:shd w:fill="FFFF00" w:val="clear"/>
        </w:rPr>
        <w:t>30 zile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 w:val="false"/>
          <w:bCs w:val="false"/>
        </w:rPr>
      </w:pPr>
      <w:r>
        <w:rPr>
          <w:b w:val="false"/>
          <w:bCs w:val="false"/>
        </w:rPr>
        <w:t xml:space="preserve">Locul deschiderii ofertelor: </w:t>
      </w:r>
      <w:r>
        <w:rPr>
          <w:b w:val="false"/>
          <w:bCs w:val="false"/>
          <w:i/>
        </w:rPr>
        <w:t xml:space="preserve">SIA RSAP </w:t>
      </w:r>
    </w:p>
    <w:p>
      <w:pPr>
        <w:pStyle w:val="ListParagraph"/>
        <w:tabs>
          <w:tab w:val="clear" w:pos="709"/>
          <w:tab w:val="right" w:pos="3666" w:leader="none"/>
        </w:tabs>
        <w:ind w:left="3240" w:right="0" w:hanging="0"/>
        <w:jc w:val="center"/>
        <w:rPr>
          <w:rFonts w:ascii="Liberation Serif" w:hAnsi="Liberation Serif"/>
        </w:rPr>
      </w:pPr>
      <w:r>
        <w:rPr>
          <w:b w:val="false"/>
          <w:bCs w:val="false"/>
          <w:szCs w:val="24"/>
        </w:rPr>
        <w:t>(SIA RSAP sau adresa deschiderii)</w:t>
      </w:r>
    </w:p>
    <w:p>
      <w:pPr>
        <w:pStyle w:val="ListParagraph"/>
        <w:tabs>
          <w:tab w:val="clear" w:pos="709"/>
          <w:tab w:val="left" w:pos="720" w:leader="none"/>
          <w:tab w:val="left" w:pos="2160" w:leader="none"/>
          <w:tab w:val="left" w:pos="3600" w:leader="none"/>
        </w:tabs>
        <w:spacing w:before="0" w:after="120"/>
        <w:ind w:left="360" w:right="0" w:hanging="0"/>
        <w:contextualSpacing/>
        <w:rPr>
          <w:rFonts w:ascii="Liberation Serif" w:hAnsi="Liberation Serif"/>
        </w:rPr>
      </w:pPr>
      <w:r>
        <w:rPr>
          <w:b w:val="false"/>
          <w:bCs w:val="false"/>
          <w:i/>
          <w:sz w:val="24"/>
          <w:szCs w:val="24"/>
        </w:rPr>
        <w:t xml:space="preserve">Ofertele întârziate vor fi respinse. 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876" w:leader="none"/>
        </w:tabs>
        <w:spacing w:before="120" w:after="0"/>
        <w:ind w:left="450" w:right="0" w:hanging="450"/>
        <w:rPr>
          <w:b w:val="false"/>
          <w:bCs w:val="false"/>
        </w:rPr>
      </w:pPr>
      <w:r>
        <w:rPr>
          <w:b w:val="false"/>
          <w:bCs w:val="false"/>
        </w:rPr>
        <w:t xml:space="preserve">Persoanele autorizate să asiste la deschiderea ofertelor: </w:t>
        <w:br/>
      </w:r>
      <w:r>
        <w:rPr>
          <w:b w:val="false"/>
          <w:bCs w:val="false"/>
          <w:i/>
        </w:rPr>
        <w:t>Ofertanții sau reprezentanții acestora au dreptul să participe la deschiderea ofertelor, cu excepția cazului când ofertele au fost depuse prin SIA “RSAP”</w:t>
      </w:r>
      <w:r>
        <w:rPr>
          <w:b w:val="false"/>
          <w:bCs w:val="false"/>
        </w:rPr>
        <w:t>.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876" w:leader="none"/>
        </w:tabs>
        <w:spacing w:before="120" w:after="0"/>
        <w:ind w:left="450" w:right="0" w:hanging="450"/>
        <w:rPr>
          <w:b w:val="false"/>
          <w:bCs w:val="false"/>
        </w:rPr>
      </w:pPr>
      <w:r>
        <w:rPr>
          <w:b w:val="false"/>
          <w:bCs w:val="false"/>
        </w:rPr>
        <w:t xml:space="preserve">Limba sau limbile în care trebuie redactate ofertele sau cererile de participare: </w:t>
      </w:r>
      <w:r>
        <w:rPr>
          <w:b w:val="false"/>
          <w:bCs w:val="false"/>
          <w:shd w:fill="FFFF00" w:val="clear"/>
        </w:rPr>
        <w:t>limba română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 w:val="false"/>
          <w:bCs w:val="false"/>
        </w:rPr>
      </w:pPr>
      <w:r>
        <w:rPr>
          <w:b w:val="false"/>
          <w:bCs w:val="false"/>
        </w:rPr>
        <w:t xml:space="preserve">Respectivul contract se referă la un proiect și/sau program finanțat din fonduri ale Uniunii Europene: </w:t>
      </w:r>
      <w:r>
        <w:rPr>
          <w:b w:val="false"/>
          <w:bCs w:val="false"/>
          <w:shd w:fill="FFFF00" w:val="clear"/>
        </w:rPr>
        <w:t>____________________________________________________________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 w:val="false"/>
          <w:bCs w:val="false"/>
        </w:rPr>
      </w:pPr>
      <w:r>
        <w:rPr>
          <w:b w:val="false"/>
          <w:bCs w:val="false"/>
        </w:rPr>
        <w:t xml:space="preserve">Denumirea și adresa organismului competent de soluționare a contestațiilor: </w:t>
      </w:r>
    </w:p>
    <w:p>
      <w:pPr>
        <w:pStyle w:val="Normal"/>
        <w:tabs>
          <w:tab w:val="clear" w:pos="709"/>
          <w:tab w:val="right" w:pos="876" w:leader="none"/>
        </w:tabs>
        <w:ind w:left="450" w:right="0" w:hanging="0"/>
        <w:rPr>
          <w:b w:val="false"/>
          <w:bCs w:val="false"/>
          <w:i/>
          <w:i/>
        </w:rPr>
      </w:pPr>
      <w:r>
        <w:rPr>
          <w:b w:val="false"/>
          <w:bCs w:val="false"/>
          <w:i/>
        </w:rPr>
        <w:t>Agenția Națională pentru Soluționarea Contestațiilor</w:t>
      </w:r>
    </w:p>
    <w:p>
      <w:pPr>
        <w:pStyle w:val="Normal"/>
        <w:tabs>
          <w:tab w:val="clear" w:pos="709"/>
          <w:tab w:val="right" w:pos="876" w:leader="none"/>
        </w:tabs>
        <w:ind w:left="450" w:right="0" w:hanging="0"/>
        <w:rPr>
          <w:b w:val="false"/>
          <w:bCs w:val="false"/>
          <w:i/>
          <w:i/>
        </w:rPr>
      </w:pPr>
      <w:r>
        <w:rPr>
          <w:b w:val="false"/>
          <w:bCs w:val="false"/>
          <w:i/>
        </w:rPr>
        <w:t>Adresa: mun. Chișinău, bd. Ștefan cel Mare și Sfânt nr.124 (et.4), MD 2001;</w:t>
      </w:r>
    </w:p>
    <w:p>
      <w:pPr>
        <w:pStyle w:val="Normal"/>
        <w:tabs>
          <w:tab w:val="clear" w:pos="709"/>
          <w:tab w:val="right" w:pos="876" w:leader="none"/>
        </w:tabs>
        <w:ind w:left="450" w:right="0" w:hanging="0"/>
        <w:rPr>
          <w:b w:val="false"/>
          <w:bCs w:val="false"/>
        </w:rPr>
      </w:pPr>
      <w:r>
        <w:rPr>
          <w:b w:val="false"/>
          <w:bCs w:val="false"/>
          <w:i/>
        </w:rPr>
        <w:t>Tel/Fax/email:</w:t>
      </w:r>
      <w:r>
        <w:rPr>
          <w:b w:val="false"/>
          <w:bCs w:val="false"/>
          <w:i/>
          <w:color w:val="000000"/>
          <w:sz w:val="27"/>
          <w:szCs w:val="27"/>
          <w:shd w:fill="FFFFFF" w:val="clear"/>
        </w:rPr>
        <w:t xml:space="preserve"> </w:t>
      </w:r>
      <w:r>
        <w:rPr>
          <w:b w:val="false"/>
          <w:bCs w:val="false"/>
          <w:i/>
        </w:rPr>
        <w:t>022-820 652, 022 820-651, contestatii@ansc.md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 w:val="false"/>
          <w:bCs w:val="false"/>
        </w:rPr>
      </w:pPr>
      <w:r>
        <w:rPr>
          <w:b w:val="false"/>
          <w:bCs w:val="false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 w:val="false"/>
          <w:bCs w:val="false"/>
          <w:shd w:fill="FFFF00" w:val="clear"/>
        </w:rPr>
        <w:t>):_____________________________________________________________________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 w:val="false"/>
          <w:bCs w:val="false"/>
        </w:rPr>
      </w:pPr>
      <w:r>
        <w:rPr>
          <w:b w:val="false"/>
          <w:bCs w:val="false"/>
        </w:rPr>
        <w:t>În cazul achizițiilor periodice, calendarul estimat pentru publicarea anunțurilor viitoare</w:t>
      </w:r>
      <w:r>
        <w:rPr>
          <w:b w:val="false"/>
          <w:bCs w:val="false"/>
          <w:shd w:fill="FFFF00" w:val="clear"/>
        </w:rPr>
        <w:t>:___________________________________________________________________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 w:val="false"/>
          <w:bCs w:val="false"/>
        </w:rPr>
      </w:pPr>
      <w:r>
        <w:rPr>
          <w:b w:val="false"/>
          <w:bCs w:val="false"/>
        </w:rPr>
        <w:t>Data publicării anunțului de intenție sau, după caz, precizarea că nu a fost publicat un astfel de anunţ</w:t>
      </w:r>
      <w:r>
        <w:rPr>
          <w:b w:val="false"/>
          <w:bCs w:val="false"/>
          <w:shd w:fill="FFFF00" w:val="clear"/>
        </w:rPr>
        <w:t>:________________________________________________________________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 w:val="false"/>
          <w:bCs w:val="false"/>
        </w:rPr>
      </w:pPr>
      <w:r>
        <w:rPr>
          <w:b w:val="false"/>
          <w:bCs w:val="false"/>
        </w:rPr>
        <w:t>Data transmiterii spre publicare a anunțului de participare: conform SIA RSAP Mtender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 w:val="false"/>
          <w:bCs w:val="false"/>
        </w:rPr>
      </w:pPr>
      <w:r>
        <w:rPr>
          <w:b w:val="false"/>
          <w:bCs w:val="false"/>
        </w:rPr>
        <w:t>În cadrul procedurii de achiziție publică se va utiliza/accepta:</w:t>
      </w:r>
    </w:p>
    <w:tbl>
      <w:tblPr>
        <w:tblW w:w="8899" w:type="dxa"/>
        <w:jc w:val="left"/>
        <w:tblInd w:w="445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5184"/>
        <w:gridCol w:w="3715"/>
      </w:tblGrid>
      <w:tr>
        <w:trPr/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rPr>
                <w:b w:val="false"/>
                <w:bCs w:val="false"/>
                <w:kern w:val="0"/>
                <w:lang w:bidi="ar-SA"/>
              </w:rPr>
            </w:pPr>
            <w:r>
              <w:rPr>
                <w:b w:val="false"/>
                <w:bCs w:val="false"/>
                <w:kern w:val="0"/>
                <w:lang w:bidi="ar-SA"/>
              </w:rPr>
              <w:t>Denumirea instrumentului electronic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rPr>
                <w:b w:val="false"/>
                <w:bCs w:val="false"/>
                <w:kern w:val="0"/>
                <w:lang w:bidi="ar-SA"/>
              </w:rPr>
            </w:pPr>
            <w:r>
              <w:rPr>
                <w:b w:val="false"/>
                <w:bCs w:val="false"/>
                <w:kern w:val="0"/>
                <w:lang w:bidi="ar-SA"/>
              </w:rPr>
              <w:t>Se va utiliza/accepta sau nu</w:t>
            </w:r>
          </w:p>
        </w:tc>
      </w:tr>
      <w:tr>
        <w:trPr/>
        <w:tc>
          <w:tcPr>
            <w:tcW w:w="518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rPr>
                <w:b w:val="false"/>
                <w:bCs w:val="false"/>
                <w:kern w:val="0"/>
                <w:lang w:bidi="ar-SA"/>
              </w:rPr>
            </w:pPr>
            <w:r>
              <w:rPr>
                <w:b w:val="false"/>
                <w:bCs w:val="false"/>
                <w:kern w:val="0"/>
                <w:lang w:bidi="ar-SA"/>
              </w:rPr>
              <w:t>depunerea electronică a ofertelor sau a cererilor de participare</w:t>
            </w:r>
          </w:p>
        </w:tc>
        <w:tc>
          <w:tcPr>
            <w:tcW w:w="3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rPr>
                <w:b w:val="false"/>
                <w:bCs w:val="false"/>
                <w:kern w:val="0"/>
                <w:lang w:bidi="ar-SA"/>
              </w:rPr>
            </w:pPr>
            <w:r>
              <w:rPr>
                <w:b w:val="false"/>
                <w:bCs w:val="false"/>
                <w:kern w:val="0"/>
                <w:lang w:bidi="ar-SA"/>
              </w:rPr>
              <w:t>da</w:t>
            </w:r>
          </w:p>
        </w:tc>
      </w:tr>
      <w:tr>
        <w:trPr/>
        <w:tc>
          <w:tcPr>
            <w:tcW w:w="518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rPr>
                <w:b w:val="false"/>
                <w:bCs w:val="false"/>
                <w:kern w:val="0"/>
                <w:lang w:bidi="ar-SA"/>
              </w:rPr>
            </w:pPr>
            <w:r>
              <w:rPr>
                <w:b w:val="false"/>
                <w:bCs w:val="false"/>
                <w:kern w:val="0"/>
                <w:lang w:bidi="ar-SA"/>
              </w:rPr>
              <w:t>sistemul de comenzi electronice</w:t>
            </w:r>
          </w:p>
        </w:tc>
        <w:tc>
          <w:tcPr>
            <w:tcW w:w="3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rPr>
                <w:b w:val="false"/>
                <w:bCs w:val="false"/>
                <w:kern w:val="0"/>
                <w:lang w:bidi="ar-SA"/>
              </w:rPr>
            </w:pPr>
            <w:r>
              <w:rPr>
                <w:b w:val="false"/>
                <w:bCs w:val="false"/>
                <w:kern w:val="0"/>
                <w:lang w:bidi="ar-SA"/>
              </w:rPr>
              <w:t>nu</w:t>
            </w:r>
          </w:p>
        </w:tc>
      </w:tr>
      <w:tr>
        <w:trPr/>
        <w:tc>
          <w:tcPr>
            <w:tcW w:w="518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rPr>
                <w:b w:val="false"/>
                <w:bCs w:val="false"/>
                <w:kern w:val="0"/>
                <w:lang w:bidi="ar-SA"/>
              </w:rPr>
            </w:pPr>
            <w:r>
              <w:rPr>
                <w:b w:val="false"/>
                <w:bCs w:val="false"/>
                <w:kern w:val="0"/>
                <w:lang w:bidi="ar-SA"/>
              </w:rPr>
              <w:t>facturarea electronică</w:t>
            </w:r>
          </w:p>
        </w:tc>
        <w:tc>
          <w:tcPr>
            <w:tcW w:w="3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rPr>
                <w:b w:val="false"/>
                <w:bCs w:val="false"/>
                <w:kern w:val="0"/>
                <w:lang w:bidi="ar-SA"/>
              </w:rPr>
            </w:pPr>
            <w:r>
              <w:rPr>
                <w:b w:val="false"/>
                <w:bCs w:val="false"/>
                <w:kern w:val="0"/>
                <w:lang w:bidi="ar-SA"/>
              </w:rPr>
              <w:t>da</w:t>
            </w:r>
          </w:p>
        </w:tc>
      </w:tr>
      <w:tr>
        <w:trPr/>
        <w:tc>
          <w:tcPr>
            <w:tcW w:w="518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rPr>
                <w:b w:val="false"/>
                <w:bCs w:val="false"/>
                <w:kern w:val="0"/>
                <w:lang w:bidi="ar-SA"/>
              </w:rPr>
            </w:pPr>
            <w:r>
              <w:rPr>
                <w:b w:val="false"/>
                <w:bCs w:val="false"/>
                <w:kern w:val="0"/>
                <w:lang w:bidi="ar-SA"/>
              </w:rPr>
              <w:t>plățile electronice</w:t>
            </w:r>
          </w:p>
        </w:tc>
        <w:tc>
          <w:tcPr>
            <w:tcW w:w="3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rPr>
                <w:b w:val="false"/>
                <w:bCs w:val="false"/>
                <w:kern w:val="0"/>
                <w:lang w:bidi="ar-SA"/>
              </w:rPr>
            </w:pPr>
            <w:r>
              <w:rPr>
                <w:b w:val="false"/>
                <w:bCs w:val="false"/>
                <w:kern w:val="0"/>
                <w:lang w:bidi="ar-SA"/>
              </w:rPr>
              <w:t>da</w:t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 w:val="false"/>
          <w:bCs w:val="false"/>
        </w:rPr>
      </w:pPr>
      <w:r>
        <w:rPr>
          <w:b w:val="false"/>
          <w:bCs w:val="false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 w:val="false"/>
          <w:bCs w:val="false"/>
          <w:shd w:fill="FFFF00" w:val="clear"/>
        </w:rPr>
        <w:t>_________________________________________</w:t>
      </w:r>
    </w:p>
    <w:p>
      <w:pPr>
        <w:pStyle w:val="ListParagraph"/>
        <w:tabs>
          <w:tab w:val="clear" w:pos="709"/>
          <w:tab w:val="right" w:pos="4386" w:leader="none"/>
        </w:tabs>
        <w:ind w:left="3960" w:right="0" w:hanging="0"/>
        <w:jc w:val="center"/>
        <w:rPr>
          <w:rFonts w:ascii="Liberation Serif" w:hAnsi="Liberation Serif"/>
        </w:rPr>
      </w:pPr>
      <w:r>
        <w:rPr>
          <w:b w:val="false"/>
          <w:bCs w:val="false"/>
          <w:szCs w:val="24"/>
        </w:rPr>
        <w:t>(se specifică da sau nu)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 w:val="false"/>
          <w:bCs w:val="false"/>
        </w:rPr>
      </w:pPr>
      <w:r>
        <w:rPr>
          <w:b w:val="false"/>
          <w:bCs w:val="false"/>
        </w:rPr>
        <w:t xml:space="preserve">Alte informații relevante: </w:t>
      </w:r>
      <w:r>
        <w:rPr>
          <w:b w:val="false"/>
          <w:bCs w:val="false"/>
          <w:shd w:fill="FFFF00" w:val="clear"/>
        </w:rPr>
        <w:t>______________________________________________________</w:t>
      </w:r>
    </w:p>
    <w:p>
      <w:pPr>
        <w:pStyle w:val="Normal"/>
        <w:spacing w:before="120" w:after="120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before="120" w:after="120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before="120" w:after="120"/>
        <w:rPr>
          <w:b w:val="false"/>
          <w:bCs w:val="false"/>
        </w:rPr>
      </w:pPr>
      <w:r>
        <w:rPr>
          <w:b w:val="false"/>
          <w:bCs w:val="false"/>
        </w:rPr>
        <w:t xml:space="preserve">Conducătorul grupului de lucru:  </w:t>
      </w:r>
      <w:r>
        <w:rPr>
          <w:b w:val="false"/>
          <w:bCs w:val="false"/>
          <w:shd w:fill="FFFF00" w:val="clear"/>
        </w:rPr>
        <w:t>Arcadie Serdeșniuc</w:t>
      </w:r>
      <w:r>
        <w:rPr>
          <w:b w:val="false"/>
          <w:bCs w:val="false"/>
        </w:rPr>
        <w:t xml:space="preserve">               L.Ș.</w:t>
      </w:r>
    </w:p>
    <w:p>
      <w:pPr>
        <w:pStyle w:val="Normal"/>
        <w:rPr/>
      </w:pPr>
      <w:r>
        <w:rPr/>
        <w:t xml:space="preserve">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0">
    <w:charset w:val="00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itlu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0" w:hAnsi="0" w:cs="0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0" w:hAnsi="0" w:cs="0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0" w:hAnsi="0" w:cs="0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0" w:hAnsi="0" w:cs="0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0" w:hAnsi="0" w:cs="0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0" w:hAnsi="0" w:cs="0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0" w:hAnsi="0" w:cs="0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1">
    <w:name w:val="Heading 1"/>
    <w:basedOn w:val="Titlu"/>
    <w:next w:val="Corp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>
    <w:name w:val="Default Paragraph Font"/>
    <w:qFormat/>
    <w:rPr/>
  </w:style>
  <w:style w:type="character" w:styleId="Linkdeinternet">
    <w:name w:val="Hyperlink"/>
    <w:rPr>
      <w:color w:val="000080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NSimSun" w:cs="Arial"/>
      <w:color w:val="000000"/>
      <w:kern w:val="2"/>
      <w:sz w:val="24"/>
      <w:szCs w:val="24"/>
      <w:lang w:val="ro-MD" w:eastAsia="zh-CN" w:bidi="hi-IN"/>
    </w:rPr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184</TotalTime>
  <Application>LibreOffice/7.5.4.2$Windows_X86_64 LibreOffice_project/36ccfdc35048b057fd9854c757a8b67ec53977b6</Application>
  <AppVersion>15.0000</AppVersion>
  <Pages>5</Pages>
  <Words>1564</Words>
  <Characters>9642</Characters>
  <CharactersWithSpaces>10988</CharactersWithSpaces>
  <Paragraphs>261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2025-03-03T13:21:00Z</dcterms:created>
  <dc:creator>Computer</dc:creator>
  <dc:description/>
  <dc:language>ro-MD</dc:language>
  <cp:lastModifiedBy/>
  <cp:lastPrinted>2026-01-27T10:37:06Z</cp:lastPrinted>
  <dcterms:modified xsi:type="dcterms:W3CDTF">2026-01-27T11:58:55Z</dcterms:modified>
  <cp:revision>67</cp:revision>
  <dc:subject/>
  <dc:title/>
</cp:coreProperties>
</file>