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NormalTable"/>
        <w:name w:val="Таблица1"/>
        <w:tabOrder w:val="0"/>
        <w:tblpPr w:horzAnchor="margin" w:vertAnchor="text" w:tblpY="-8596" w:leftFromText="180" w:rightFromText="180" w:topFromText="0" w:bottomFromText="0"/>
        <w:tblOverlap w:val="never"/>
        <w:jc w:val="left"/>
        <w:tblInd w:w="0" w:type="dxa"/>
        <w:tblW w:w="15559" w:type="dxa"/>
        <w:tblLook w:val="04A0" w:firstRow="1" w:lastRow="0" w:firstColumn="1" w:lastColumn="0" w:noHBand="0" w:noVBand="1"/>
      </w:tblPr>
      <w:tblGrid>
        <w:gridCol w:w="1237"/>
        <w:gridCol w:w="135"/>
        <w:gridCol w:w="2497"/>
        <w:gridCol w:w="950"/>
        <w:gridCol w:w="831"/>
        <w:gridCol w:w="1017"/>
        <w:gridCol w:w="923"/>
        <w:gridCol w:w="1024"/>
        <w:gridCol w:w="895"/>
        <w:gridCol w:w="54"/>
        <w:gridCol w:w="1345"/>
        <w:gridCol w:w="217"/>
        <w:gridCol w:w="131"/>
        <w:gridCol w:w="2443"/>
        <w:gridCol w:w="466"/>
        <w:gridCol w:w="91"/>
        <w:gridCol w:w="36"/>
        <w:gridCol w:w="1014"/>
        <w:gridCol w:w="253"/>
      </w:tblGrid>
      <w:tr>
        <w:trPr>
          <w:cantSplit w:val="0"/>
          <w:trHeight w:val="697" w:hRule="atLeast"/>
        </w:trPr>
        <w:tc>
          <w:tcPr>
            <w:tcW w:w="14165" w:type="dxa"/>
            <w:gridSpan w:val="15"/>
            <w:vAlign w:val="center"/>
            <w:shd w:val="none"/>
            <w:tmTcPr id="1769031224" protected="0"/>
          </w:tcPr>
          <w:p>
            <w:pPr>
              <w:spacing/>
              <w:jc w:val="right"/>
              <w:rPr>
                <w:lang w:val="it-it"/>
              </w:rPr>
            </w:pPr>
            <w:r>
              <w:rPr>
                <w:lang w:val="it-it"/>
              </w:rPr>
            </w:r>
          </w:p>
          <w:p>
            <w:pPr>
              <w:spacing/>
              <w:jc w:val="right"/>
              <w:rPr>
                <w:lang w:val="it-it"/>
              </w:rPr>
            </w:pPr>
            <w:r>
              <w:rPr>
                <w:lang w:val="it-it"/>
              </w:rPr>
              <w:t xml:space="preserve">  Anexa nr.23</w:t>
            </w:r>
          </w:p>
          <w:p>
            <w:pPr>
              <w:spacing/>
              <w:jc w:val="right"/>
              <w:rPr>
                <w:lang w:val="it-it"/>
              </w:rPr>
            </w:pPr>
            <w:r>
              <w:rPr>
                <w:lang w:val="it-it"/>
              </w:rPr>
              <w:t xml:space="preserve">  la Documentația standard nr._____</w:t>
            </w:r>
          </w:p>
          <w:p>
            <w:pPr>
              <w:spacing/>
              <w:jc w:val="center"/>
              <w:rPr>
                <w:lang w:val="it-it"/>
              </w:rPr>
            </w:pPr>
            <w:r>
              <w:rPr>
                <w:lang w:val="it-it"/>
              </w:rPr>
              <w:t xml:space="preserve">                                                                                                                                                                  din “____” ________ 20___</w:t>
            </w:r>
          </w:p>
          <w:p>
            <w:pPr>
              <w:spacing/>
              <w:jc w:val="right"/>
              <w:rPr>
                <w:lang w:val="it-it"/>
              </w:rPr>
            </w:pPr>
            <w:r>
              <w:rPr>
                <w:lang w:val="it-it"/>
              </w:rPr>
            </w:r>
          </w:p>
          <w:p>
            <w:pPr>
              <w:pStyle w:val="para1"/>
              <w:rPr>
                <w:sz w:val="24"/>
                <w:lang w:val="it-it"/>
              </w:rPr>
            </w:pPr>
            <w:r>
              <w:rPr>
                <w:lang w:val="it-it"/>
              </w:rPr>
              <w:t>Specificații de preț</w:t>
            </w:r>
            <w:r>
              <w:rPr>
                <w:sz w:val="24"/>
                <w:lang w:val="it-it"/>
              </w:rPr>
            </w:r>
          </w:p>
        </w:tc>
        <w:tc>
          <w:tcPr>
            <w:tcW w:w="1141" w:type="dxa"/>
            <w:gridSpan w:val="3"/>
            <w:tmTcPr id="1769031224" protected="0"/>
          </w:tcPr>
          <w:p>
            <w:pPr>
              <w:pStyle w:val="para1"/>
              <w:spacing/>
              <w:jc w:val="right"/>
              <w:rPr>
                <w:b w:val="0"/>
                <w:sz w:val="20"/>
                <w:szCs w:val="20"/>
                <w:lang w:val="en-us"/>
              </w:rPr>
            </w:pPr>
            <w:r>
              <w:rPr>
                <w:b w:val="0"/>
                <w:sz w:val="20"/>
                <w:szCs w:val="20"/>
                <w:lang w:val="en-us"/>
              </w:rPr>
            </w:r>
          </w:p>
        </w:tc>
      </w:tr>
      <w:tr>
        <w:trPr>
          <w:cantSplit w:val="0"/>
          <w:trHeight w:val="0" w:hRule="auto"/>
        </w:trPr>
        <w:tc>
          <w:tcPr>
            <w:tcW w:w="14165" w:type="dxa"/>
            <w:gridSpan w:val="15"/>
            <w:shd w:val="none"/>
            <w:tcBorders>
              <w:bottom w:val="single" w:sz="4" w:space="0" w:color="000000" tmln="10, 20, 20, 0, 0"/>
            </w:tcBorders>
            <w:tmTcPr id="1769031224" protected="0"/>
          </w:tcPr>
          <w:p>
            <w:pPr>
              <w:spacing/>
              <w:jc w:val="both"/>
              <w:rPr>
                <w:sz w:val="22"/>
                <w:szCs w:val="22"/>
              </w:rPr>
            </w:pPr>
            <w:r>
              <w:rPr>
                <w:i/>
                <w:iCs/>
                <w:sz w:val="22"/>
                <w:szCs w:val="22"/>
              </w:rPr>
              <w:t>[Acest tabel va fi completat de către ofertant în coloanele 5,6,7,8 și 11 la necesitate, iar de către autoritatea contractantă – în coloanele 1,2,3,4,9,10]</w:t>
            </w:r>
            <w:r>
              <w:rPr>
                <w:sz w:val="22"/>
                <w:szCs w:val="22"/>
              </w:rPr>
            </w:r>
          </w:p>
          <w:p>
            <w:pPr>
              <w:spacing/>
              <w:jc w:val="center"/>
            </w:pPr>
            <w:r/>
          </w:p>
        </w:tc>
        <w:tc>
          <w:tcPr>
            <w:tcW w:w="1141" w:type="dxa"/>
            <w:gridSpan w:val="3"/>
            <w:tcBorders>
              <w:bottom w:val="single" w:sz="4" w:space="0" w:color="000000" tmln="10, 20, 20, 0, 0"/>
            </w:tcBorders>
            <w:tmTcPr id="1769031224" protected="0"/>
          </w:tcPr>
          <w:p>
            <w:pPr>
              <w:spacing/>
              <w:jc w:val="both"/>
              <w:rPr>
                <w:i/>
                <w:iCs/>
              </w:rPr>
            </w:pPr>
            <w:r>
              <w:rPr>
                <w:i/>
                <w:iCs/>
              </w:rPr>
            </w:r>
          </w:p>
        </w:tc>
      </w:tr>
      <w:tr>
        <w:trPr>
          <w:cantSplit w:val="0"/>
          <w:trHeight w:val="397" w:hRule="atLeast"/>
        </w:trPr>
        <w:tc>
          <w:tcPr>
            <w:tcW w:w="1372" w:type="dxa"/>
            <w:gridSpan w:val="2"/>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
          </w:p>
        </w:tc>
        <w:tc>
          <w:tcPr>
            <w:tcW w:w="14187" w:type="dxa"/>
            <w:gridSpan w:val="17"/>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
              <w:t>Numărul  procedurii de achiziție______________din_________</w:t>
            </w:r>
          </w:p>
        </w:tc>
      </w:tr>
      <w:tr>
        <w:trPr>
          <w:cantSplit w:val="0"/>
          <w:trHeight w:val="397" w:hRule="atLeast"/>
        </w:trPr>
        <w:tc>
          <w:tcPr>
            <w:tcW w:w="1372" w:type="dxa"/>
            <w:gridSpan w:val="2"/>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
          </w:p>
        </w:tc>
        <w:tc>
          <w:tcPr>
            <w:tcW w:w="14187" w:type="dxa"/>
            <w:gridSpan w:val="17"/>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
              <w:t>Obiectul de achiziției:______________</w:t>
            </w:r>
          </w:p>
        </w:tc>
      </w:tr>
      <w:tr>
        <w:trPr>
          <w:cantSplit w:val="0"/>
          <w:trHeight w:val="567" w:hRule="atLeast"/>
        </w:trPr>
        <w:tc>
          <w:tcPr>
            <w:tcW w:w="10908" w:type="dxa"/>
            <w:gridSpan w:val="11"/>
            <w:shd w:val="none"/>
            <w:tmTcPr id="1769031224" protected="0"/>
          </w:tcPr>
          <w:p>
            <w:pPr/>
            <w:r/>
          </w:p>
        </w:tc>
        <w:tc>
          <w:tcPr>
            <w:tcW w:w="2791" w:type="dxa"/>
            <w:gridSpan w:val="3"/>
            <w:tmTcPr id="1769031224" protected="0"/>
          </w:tcPr>
          <w:p>
            <w:pPr/>
            <w:r/>
          </w:p>
        </w:tc>
        <w:tc>
          <w:tcPr>
            <w:tcW w:w="1860" w:type="dxa"/>
            <w:gridSpan w:val="5"/>
            <w:tmTcPr id="1769031224" protected="0"/>
          </w:tcPr>
          <w:p>
            <w:pPr/>
            <w:r/>
          </w:p>
        </w:tc>
      </w:tr>
      <w:tr>
        <w:trPr>
          <w:cantSplit w:val="0"/>
          <w:trHeight w:val="1043" w:hRule="atLeast"/>
        </w:trPr>
        <w:tc>
          <w:tcPr>
            <w:tcW w:w="123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b/>
                <w:sz w:val="20"/>
              </w:rPr>
            </w:pPr>
            <w:r>
              <w:rPr>
                <w:b/>
                <w:sz w:val="20"/>
              </w:rPr>
              <w:t>Cod CPV</w:t>
            </w:r>
          </w:p>
        </w:tc>
        <w:tc>
          <w:tcPr>
            <w:tcW w:w="2632" w:type="dxa"/>
            <w:gridSpan w:val="2"/>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b/>
                <w:sz w:val="20"/>
              </w:rPr>
            </w:pPr>
            <w:r>
              <w:rPr>
                <w:b/>
                <w:sz w:val="20"/>
              </w:rPr>
              <w:t>Denumirea bunurilor/serviciilor</w:t>
            </w:r>
          </w:p>
        </w:tc>
        <w:tc>
          <w:tcPr>
            <w:tcW w:w="950"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b/>
                <w:sz w:val="20"/>
              </w:rPr>
            </w:pPr>
            <w:r>
              <w:rPr>
                <w:b/>
                <w:sz w:val="20"/>
              </w:rPr>
              <w:t>Unitatea de măsură</w:t>
            </w:r>
          </w:p>
        </w:tc>
        <w:tc>
          <w:tcPr>
            <w:tcW w:w="831" w:type="dxa"/>
            <w:shd w:val="none"/>
            <w:tcBorders>
              <w:top w:val="single" w:sz="4" w:space="0" w:color="000000" tmln="10, 20, 20, 0, 0"/>
              <w:left w:val="single" w:sz="4" w:space="0" w:color="000000" tmln="10, 20, 20, 0, 0"/>
              <w:right w:val="single" w:sz="4" w:space="0" w:color="000000" tmln="10, 20, 20, 0, 0"/>
            </w:tcBorders>
            <w:tmTcPr id="1769031224" protected="0"/>
          </w:tcPr>
          <w:p>
            <w:pPr>
              <w:spacing/>
              <w:jc w:val="center"/>
              <w:rPr>
                <w:b/>
                <w:sz w:val="20"/>
              </w:rPr>
            </w:pPr>
            <w:r>
              <w:rPr>
                <w:b/>
                <w:sz w:val="20"/>
              </w:rPr>
              <w:t>Canti-tatea</w:t>
            </w:r>
          </w:p>
        </w:tc>
        <w:tc>
          <w:tcPr>
            <w:tcW w:w="101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b/>
                <w:sz w:val="20"/>
              </w:rPr>
            </w:pPr>
            <w:r>
              <w:rPr>
                <w:b/>
                <w:sz w:val="20"/>
              </w:rPr>
              <w:t>Preţ unitar (fără TVA)</w:t>
            </w:r>
          </w:p>
        </w:tc>
        <w:tc>
          <w:tcPr>
            <w:tcW w:w="923"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b/>
                <w:sz w:val="20"/>
              </w:rPr>
            </w:pPr>
            <w:r>
              <w:rPr>
                <w:b/>
                <w:sz w:val="20"/>
              </w:rPr>
              <w:t>Preţ unitar (cu TVA)</w:t>
            </w:r>
          </w:p>
        </w:tc>
        <w:tc>
          <w:tcPr>
            <w:tcW w:w="1024"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b/>
                <w:sz w:val="20"/>
              </w:rPr>
            </w:pPr>
            <w:r>
              <w:rPr>
                <w:b/>
                <w:sz w:val="20"/>
              </w:rPr>
              <w:t>Suma</w:t>
            </w:r>
          </w:p>
          <w:p>
            <w:pPr>
              <w:spacing/>
              <w:jc w:val="center"/>
              <w:rPr>
                <w:b/>
                <w:sz w:val="20"/>
              </w:rPr>
            </w:pPr>
            <w:r>
              <w:rPr>
                <w:b/>
                <w:sz w:val="20"/>
              </w:rPr>
              <w:t>fără</w:t>
            </w:r>
          </w:p>
          <w:p>
            <w:pPr>
              <w:spacing/>
              <w:jc w:val="center"/>
              <w:rPr>
                <w:b/>
                <w:sz w:val="20"/>
              </w:rPr>
            </w:pPr>
            <w:r>
              <w:rPr>
                <w:b/>
                <w:sz w:val="20"/>
              </w:rPr>
              <w:t>TVA</w:t>
            </w:r>
          </w:p>
        </w:tc>
        <w:tc>
          <w:tcPr>
            <w:tcW w:w="895"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b/>
                <w:sz w:val="20"/>
              </w:rPr>
            </w:pPr>
            <w:r>
              <w:rPr>
                <w:b/>
                <w:sz w:val="20"/>
              </w:rPr>
              <w:t>Suma</w:t>
            </w:r>
          </w:p>
          <w:p>
            <w:pPr>
              <w:spacing/>
              <w:jc w:val="center"/>
              <w:rPr>
                <w:b/>
                <w:sz w:val="20"/>
              </w:rPr>
            </w:pPr>
            <w:r>
              <w:rPr>
                <w:b/>
                <w:sz w:val="20"/>
              </w:rPr>
              <w:t>cu TVA</w:t>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b/>
                <w:sz w:val="20"/>
                <w:szCs w:val="28"/>
              </w:rPr>
            </w:pPr>
            <w:r>
              <w:rPr>
                <w:b/>
                <w:sz w:val="20"/>
                <w:szCs w:val="28"/>
              </w:rPr>
              <w:t xml:space="preserve">Termenul de </w:t>
            </w:r>
          </w:p>
          <w:p>
            <w:pPr>
              <w:spacing/>
              <w:jc w:val="center"/>
              <w:rPr>
                <w:b/>
                <w:sz w:val="20"/>
              </w:rPr>
            </w:pPr>
            <w:r>
              <w:rPr>
                <w:b/>
                <w:sz w:val="20"/>
                <w:szCs w:val="28"/>
              </w:rPr>
              <w:t xml:space="preserve">livrare/prestare </w:t>
            </w:r>
            <w:r>
              <w:rPr>
                <w:b/>
                <w:sz w:val="20"/>
              </w:rPr>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b/>
                <w:sz w:val="20"/>
                <w:szCs w:val="28"/>
              </w:rPr>
            </w:pPr>
            <w:r>
              <w:rPr>
                <w:b/>
                <w:sz w:val="20"/>
                <w:szCs w:val="28"/>
              </w:rPr>
              <w:t>Clasificație bugetară (IBAN)</w:t>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b/>
                <w:sz w:val="20"/>
                <w:szCs w:val="28"/>
              </w:rPr>
            </w:pPr>
            <w:r>
              <w:rPr>
                <w:b/>
                <w:sz w:val="20"/>
                <w:szCs w:val="28"/>
              </w:rPr>
              <w:t>Discount</w:t>
            </w:r>
          </w:p>
          <w:p>
            <w:pPr>
              <w:spacing/>
              <w:jc w:val="center"/>
              <w:rPr>
                <w:b/>
                <w:sz w:val="20"/>
                <w:szCs w:val="28"/>
              </w:rPr>
            </w:pPr>
            <w:r>
              <w:rPr>
                <w:b/>
                <w:sz w:val="20"/>
                <w:szCs w:val="28"/>
              </w:rPr>
              <w:t>%</w:t>
            </w:r>
          </w:p>
        </w:tc>
      </w:tr>
      <w:tr>
        <w:trPr>
          <w:cantSplit w:val="0"/>
          <w:trHeight w:val="283" w:hRule="atLeast"/>
        </w:trPr>
        <w:tc>
          <w:tcPr>
            <w:tcW w:w="123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1</w:t>
            </w:r>
          </w:p>
        </w:tc>
        <w:tc>
          <w:tcPr>
            <w:tcW w:w="2632" w:type="dxa"/>
            <w:gridSpan w:val="2"/>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2</w:t>
            </w:r>
          </w:p>
        </w:tc>
        <w:tc>
          <w:tcPr>
            <w:tcW w:w="950"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3</w:t>
            </w:r>
          </w:p>
        </w:tc>
        <w:tc>
          <w:tcPr>
            <w:tcW w:w="83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4</w:t>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5</w:t>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6</w:t>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7</w:t>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8</w:t>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9</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10</w:t>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0"/>
              </w:rPr>
            </w:pPr>
            <w:r>
              <w:rPr>
                <w:sz w:val="20"/>
              </w:rPr>
              <w:t>11</w:t>
            </w:r>
          </w:p>
        </w:tc>
      </w:tr>
      <w:tr>
        <w:trPr>
          <w:cantSplit w:val="0"/>
          <w:trHeight w:val="397" w:hRule="atLeast"/>
        </w:trPr>
        <w:tc>
          <w:tcPr>
            <w:tcW w:w="123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2632" w:type="dxa"/>
            <w:gridSpan w:val="2"/>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b/>
                <w:sz w:val="20"/>
              </w:rPr>
            </w:pPr>
            <w:r>
              <w:rPr>
                <w:b/>
                <w:sz w:val="20"/>
              </w:rPr>
              <w:t>Bunuri/servicii</w:t>
            </w:r>
          </w:p>
        </w:tc>
        <w:tc>
          <w:tcPr>
            <w:tcW w:w="950"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83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rPr>
            </w:pPr>
            <w:r>
              <w:rPr>
                <w:sz w:val="20"/>
                <w:szCs w:val="20"/>
              </w:rPr>
              <w:t xml:space="preserve">1.Hârtie igienică . </w:t>
            </w:r>
            <w:r>
              <w:rPr>
                <w:color w:val="ff0000"/>
                <w:sz w:val="20"/>
                <w:szCs w:val="20"/>
              </w:rPr>
              <w:t xml:space="preserve">Celuloza albă. Minim 2 straturi. Lungimea în rulou minim 100 m. Ambalaj 4-8 role. </w:t>
            </w:r>
            <w:r>
              <w:rPr>
                <w:b/>
                <w:color w:val="000000"/>
                <w:sz w:val="22"/>
                <w:szCs w:val="22"/>
              </w:rPr>
            </w:r>
          </w:p>
        </w:tc>
        <w:tc>
          <w:tcPr>
            <w:tcW w:w="950" w:type="dxa"/>
            <w:vAlign w:val="center"/>
            <w:shd w:val="none"/>
            <w:tcBorders>
              <w:top w:val="nil" w:sz="0" w:space="0" w:color="000000" tmln="20, 20, 20, 0, 0"/>
              <w:left w:val="nil" w:sz="0" w:space="0" w:color="000000" tmln="20, 20, 20, 0, 0"/>
              <w:bottom w:val="single" w:sz="4" w:space="0" w:color="000000" tmln="10, 20, 20, 0, 0"/>
              <w:right w:val="single" w:sz="8" w:space="0" w:color="000000" tmln="20, 20, 20, 0, 0"/>
            </w:tcBorders>
            <w:tmTcPr id="1769031224" protected="0"/>
          </w:tcPr>
          <w:p>
            <w:pPr>
              <w:spacing/>
              <w:jc w:val="center"/>
              <w:rPr>
                <w:color w:val="000000"/>
                <w:sz w:val="22"/>
                <w:szCs w:val="22"/>
              </w:rPr>
            </w:pPr>
            <w:r>
              <w:rPr>
                <w:color w:val="000000"/>
                <w:sz w:val="20"/>
                <w:szCs w:val="20"/>
              </w:rPr>
              <w:t>buc</w:t>
            </w:r>
            <w:r>
              <w:rPr>
                <w:color w:val="000000"/>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600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Cs/>
                <w:color w:val="000000"/>
                <w:sz w:val="22"/>
                <w:szCs w:val="22"/>
                <w:lang w:val="en-us"/>
              </w:rPr>
            </w:pPr>
            <w:r>
              <w:rPr>
                <w:sz w:val="20"/>
                <w:szCs w:val="20"/>
              </w:rPr>
              <w:t>2.Detergent p/u vase.</w:t>
            </w:r>
            <w:r>
              <w:rPr>
                <w:color w:val="ff0000"/>
                <w:sz w:val="20"/>
                <w:szCs w:val="20"/>
              </w:rPr>
              <w:t xml:space="preserve"> Soluție vîscoasă. Ambalaj în PET cu dozator/pompă. Volum minim 500ml.</w:t>
            </w:r>
            <w:r>
              <w:rPr>
                <w:bCs/>
                <w:color w:val="000000"/>
                <w:sz w:val="22"/>
                <w:szCs w:val="22"/>
                <w:lang w:val="en-us"/>
              </w:rPr>
            </w:r>
          </w:p>
        </w:tc>
        <w:tc>
          <w:tcPr>
            <w:tcW w:w="950"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color w:val="000000"/>
                <w:sz w:val="22"/>
                <w:szCs w:val="22"/>
              </w:rPr>
            </w:pPr>
            <w:r>
              <w:rPr>
                <w:color w:val="000000"/>
                <w:sz w:val="20"/>
                <w:szCs w:val="20"/>
              </w:rPr>
              <w:t>buc</w:t>
            </w:r>
            <w:r>
              <w:rPr>
                <w:color w:val="000000"/>
                <w:sz w:val="22"/>
                <w:szCs w:val="22"/>
              </w:rPr>
            </w:r>
          </w:p>
        </w:tc>
        <w:tc>
          <w:tcPr>
            <w:tcW w:w="83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100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Cs/>
                <w:color w:val="000000"/>
                <w:sz w:val="22"/>
                <w:szCs w:val="22"/>
                <w:lang w:val="en-us"/>
              </w:rPr>
            </w:pPr>
            <w:r>
              <w:rPr>
                <w:sz w:val="20"/>
                <w:szCs w:val="20"/>
              </w:rPr>
              <w:t xml:space="preserve">3.Săpun lichid </w:t>
            </w:r>
            <w:r>
              <w:rPr>
                <w:color w:val="ff0000"/>
                <w:sz w:val="20"/>
                <w:szCs w:val="20"/>
              </w:rPr>
              <w:t>pentru igiena mâinilor. Ph neutru 5,5-7,5. Antibacterian. Ambalaj PET cu dozator pompă. Volum 450</w:t>
            </w:r>
            <w:r>
              <w:rPr>
                <w:sz w:val="20"/>
                <w:szCs w:val="20"/>
              </w:rPr>
              <w:t>-550 ml.</w:t>
            </w:r>
            <w:r>
              <w:rPr>
                <w:bCs/>
                <w:color w:val="000000"/>
                <w:sz w:val="22"/>
                <w:szCs w:val="22"/>
                <w:lang w:val="en-us"/>
              </w:rPr>
            </w:r>
          </w:p>
        </w:tc>
        <w:tc>
          <w:tcPr>
            <w:tcW w:w="950"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color w:val="000000"/>
                <w:sz w:val="22"/>
                <w:szCs w:val="22"/>
              </w:rPr>
            </w:pPr>
            <w:r>
              <w:rPr>
                <w:color w:val="000000"/>
                <w:sz w:val="20"/>
                <w:szCs w:val="20"/>
              </w:rPr>
              <w:t>buc</w:t>
            </w:r>
            <w:r>
              <w:rPr>
                <w:color w:val="000000"/>
                <w:sz w:val="22"/>
                <w:szCs w:val="22"/>
              </w:rPr>
            </w:r>
          </w:p>
        </w:tc>
        <w:tc>
          <w:tcPr>
            <w:tcW w:w="83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600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 xml:space="preserve">4.Mănuși de cauciuc, </w:t>
            </w:r>
            <w:r>
              <w:rPr>
                <w:color w:val="ff0000"/>
                <w:sz w:val="20"/>
                <w:szCs w:val="20"/>
              </w:rPr>
              <w:t xml:space="preserve">pentru protecția mîînilor în timpul utilizării agenți dezinfectanți/degresanți. Rezistente. </w:t>
            </w:r>
            <w:r>
              <w:rPr>
                <w:sz w:val="20"/>
                <w:szCs w:val="20"/>
              </w:rPr>
              <w:t>Mărimea L. Set 1 pereche. Cantitatea necesara indicata in perechi.</w:t>
            </w:r>
            <w:r>
              <w:rPr>
                <w:b/>
                <w:color w:val="000000"/>
                <w:sz w:val="22"/>
                <w:szCs w:val="22"/>
                <w:lang w:val="en-us"/>
              </w:rPr>
            </w:r>
          </w:p>
        </w:tc>
        <w:tc>
          <w:tcPr>
            <w:tcW w:w="950"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color w:val="000000"/>
                <w:sz w:val="22"/>
                <w:szCs w:val="22"/>
                <w:lang w:val="en-us"/>
              </w:rPr>
            </w:pPr>
            <w:r>
              <w:rPr>
                <w:color w:val="000000"/>
                <w:sz w:val="20"/>
                <w:szCs w:val="20"/>
              </w:rPr>
              <w:t>perechi</w:t>
            </w:r>
            <w:r>
              <w:rPr>
                <w:color w:val="000000"/>
                <w:sz w:val="22"/>
                <w:szCs w:val="22"/>
                <w:lang w:val="en-us"/>
              </w:rPr>
            </w:r>
          </w:p>
        </w:tc>
        <w:tc>
          <w:tcPr>
            <w:tcW w:w="83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lang w:val="en-us"/>
              </w:rPr>
            </w:pPr>
            <w:r>
              <w:rPr>
                <w:sz w:val="20"/>
                <w:szCs w:val="20"/>
              </w:rPr>
              <w:t>1000</w:t>
            </w:r>
            <w:r>
              <w:rPr>
                <w:sz w:val="22"/>
                <w:szCs w:val="22"/>
                <w:lang w:val="en-us"/>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rPr>
            </w:pPr>
            <w:r>
              <w:rPr>
                <w:sz w:val="20"/>
                <w:szCs w:val="20"/>
              </w:rPr>
              <w:t xml:space="preserve">5.Saci p/u gunoi volum 35L. </w:t>
            </w:r>
            <w:r>
              <w:rPr>
                <w:color w:val="ff0000"/>
                <w:sz w:val="20"/>
                <w:szCs w:val="20"/>
              </w:rPr>
              <w:t>Rezistenți la încărcătură de 5-7 kg. Rezistent la rupere, întindere și înțepare în condiții normale de utilizare. Polietilenă (PE) de înaltă densitate. Minim 35 - maxim 50 saci în rolă. Ambalajul să fie etichetat clar, cu detalii privind capacitatea, grosimea, producătorul și data fabricației.</w:t>
            </w:r>
            <w:r>
              <w:rPr>
                <w:b/>
                <w:color w:val="000000"/>
                <w:sz w:val="22"/>
                <w:szCs w:val="22"/>
              </w:rPr>
            </w:r>
          </w:p>
        </w:tc>
        <w:tc>
          <w:tcPr>
            <w:tcW w:w="950" w:type="dxa"/>
            <w:shd w:val="none"/>
            <w:tcBorders>
              <w:top w:val="single" w:sz="4" w:space="0" w:color="000000" tmln="1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color w:val="ff0000"/>
                <w:sz w:val="20"/>
                <w:szCs w:val="20"/>
              </w:rPr>
              <w:t>40 000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 xml:space="preserve">6.Detergent praf pentru mașinile automate de spălat rufe. </w:t>
            </w:r>
            <w:r>
              <w:rPr>
                <w:color w:val="ff0000"/>
                <w:sz w:val="20"/>
                <w:szCs w:val="20"/>
              </w:rPr>
              <w:t xml:space="preserve">Cu agenți puternici de îndepărtare a petelor, miros discret, cu agenți de emoliere. Dizolvare rapidă în apă, chiar și la temperaturi scăzute (minim 30°C). Volum </w:t>
            </w:r>
            <w:r>
              <w:rPr>
                <w:sz w:val="20"/>
                <w:szCs w:val="20"/>
              </w:rPr>
              <w:t>3-5kg. Cantitatea solicitata in kg.</w:t>
            </w:r>
            <w:r>
              <w:rPr>
                <w:b/>
                <w:color w:val="000000"/>
                <w:sz w:val="22"/>
                <w:szCs w:val="22"/>
                <w:lang w:val="en-us"/>
              </w:rPr>
            </w:r>
          </w:p>
        </w:tc>
        <w:tc>
          <w:tcPr>
            <w:tcW w:w="950" w:type="dxa"/>
            <w:shd w:val="none"/>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kg</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color w:val="ff0000"/>
                <w:sz w:val="20"/>
                <w:szCs w:val="20"/>
              </w:rPr>
              <w:t>200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7.Saci pentru gunoi volum 120L.</w:t>
            </w:r>
            <w:r>
              <w:rPr>
                <w:b/>
                <w:color w:val="000000"/>
                <w:sz w:val="22"/>
                <w:szCs w:val="22"/>
                <w:lang w:val="en-us"/>
              </w:rPr>
            </w:r>
          </w:p>
        </w:tc>
        <w:tc>
          <w:tcPr>
            <w:tcW w:w="950" w:type="dxa"/>
            <w:shd w:val="none"/>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50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 xml:space="preserve">8.Soluții  pentru bai si wc, </w:t>
            </w:r>
            <w:r>
              <w:rPr>
                <w:color w:val="ff0000"/>
                <w:sz w:val="20"/>
                <w:szCs w:val="20"/>
              </w:rPr>
              <w:t xml:space="preserve">pe bază de clor activ mai mult de 5%. Gel vâscos, cu efect dezinfectant, degresant, anticoroziv. Utilizat pentru WC si bai. </w:t>
            </w:r>
            <w:r>
              <w:rPr>
                <w:b/>
                <w:color w:val="000000"/>
                <w:sz w:val="22"/>
                <w:szCs w:val="22"/>
                <w:lang w:val="en-us"/>
              </w:rPr>
            </w:r>
          </w:p>
        </w:tc>
        <w:tc>
          <w:tcPr>
            <w:tcW w:w="950" w:type="dxa"/>
            <w:shd w:val="none"/>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150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 xml:space="preserve">9.Detergent lichid pentru mașini automate </w:t>
            </w:r>
            <w:r>
              <w:rPr>
                <w:color w:val="ff0000"/>
                <w:sz w:val="20"/>
                <w:szCs w:val="20"/>
              </w:rPr>
              <w:t>de spălat rufe – utilizare profesională și/sau casnică. Potrivit pentru bumbac, sintetice, mixte. Eficient la temperaturi între 30°C – 90°C. Compatibil cu mașini de spălat automate standard și industriale. Flacon cu capac sau dop dozator, sigilat. Volum 3-5 l.</w:t>
            </w:r>
            <w:r>
              <w:rPr>
                <w:b/>
                <w:color w:val="000000"/>
                <w:sz w:val="22"/>
                <w:szCs w:val="22"/>
                <w:lang w:val="en-us"/>
              </w:rPr>
            </w:r>
          </w:p>
        </w:tc>
        <w:tc>
          <w:tcPr>
            <w:tcW w:w="950" w:type="dxa"/>
            <w:shd w:val="none"/>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litri</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200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rPr>
            </w:pPr>
            <w:r>
              <w:rPr>
                <w:color w:val="ff0000"/>
                <w:sz w:val="20"/>
                <w:szCs w:val="20"/>
              </w:rPr>
              <w:t>10.Sano-San (negru) degresant  750 ml. Echivalent Sano Forte Plus. Produs concentrat, foarte eficient pentru îndepărtarea grăsimilor și murdăriei din cuptoare, hote, aragaz. Îndepărtează cu ușurință cea mai persistentă murdărie și grăsimea arsă din cuptoare, tave de copt, grătare, oale, ceaunuri, tigăi, hote, blaturi de bucătărie și multe altele. </w:t>
            </w:r>
            <w:r>
              <w:rPr>
                <w:b/>
                <w:color w:val="000000"/>
                <w:sz w:val="22"/>
                <w:szCs w:val="22"/>
              </w:rPr>
            </w:r>
          </w:p>
        </w:tc>
        <w:tc>
          <w:tcPr>
            <w:tcW w:w="950" w:type="dxa"/>
            <w:shd w:val="none"/>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20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11.Sare de lămâie p/u mașina de spălat Ambalaj 100gr</w:t>
            </w:r>
            <w:r>
              <w:rPr>
                <w:b/>
                <w:color w:val="000000"/>
                <w:sz w:val="22"/>
                <w:szCs w:val="22"/>
                <w:lang w:val="en-us"/>
              </w:rPr>
            </w:r>
          </w:p>
        </w:tc>
        <w:tc>
          <w:tcPr>
            <w:tcW w:w="950" w:type="dxa"/>
            <w:shd w:val="none"/>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100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12.Burete pentru spălat vase,</w:t>
            </w:r>
            <w:r>
              <w:rPr>
                <w:color w:val="ff0000"/>
                <w:sz w:val="20"/>
                <w:szCs w:val="20"/>
              </w:rPr>
              <w:t xml:space="preserve"> standard, cu două straturi (partea moale + fibră abrazivă. Dimensiuni minime 92*62*42mm. +/-2 cm. Compoziție Poliuretan / spumă sintetică. Strat moale: galben, albastru etc. / Strat abraziv: verde, roșu sau echivalen. Ambalare 1-10 bucăți. Rezistență la apă fierbinte (minim 60°C). Etichetă cu: denumirea produsului, cantitate, producător, lot, dată fabricație</w:t>
            </w:r>
            <w:r>
              <w:rPr>
                <w:sz w:val="20"/>
                <w:szCs w:val="20"/>
              </w:rPr>
              <w:t>.</w:t>
            </w:r>
            <w:r>
              <w:rPr>
                <w:b/>
                <w:color w:val="000000"/>
                <w:sz w:val="22"/>
                <w:szCs w:val="22"/>
                <w:lang w:val="en-us"/>
              </w:rPr>
            </w:r>
          </w:p>
        </w:tc>
        <w:tc>
          <w:tcPr>
            <w:tcW w:w="950" w:type="dxa"/>
            <w:shd w:val="none"/>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500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 xml:space="preserve">13.Burete metalice (calitative). Material: inox. Structura puternica si indestructibila care nu permite pierderea de bucati de inox pe suprafetele curatate. Ambajal 1,2 buc. </w:t>
            </w:r>
            <w:r>
              <w:rPr>
                <w:color w:val="ff0000"/>
                <w:sz w:val="20"/>
                <w:szCs w:val="20"/>
              </w:rPr>
              <w:t>Etichetă cu: denumirea produsului, cantitate, producător, lot, dată fabricație</w:t>
            </w:r>
            <w:r>
              <w:rPr>
                <w:sz w:val="20"/>
                <w:szCs w:val="20"/>
              </w:rPr>
              <w:t>.</w:t>
            </w:r>
            <w:r>
              <w:rPr>
                <w:b/>
                <w:color w:val="000000"/>
                <w:sz w:val="22"/>
                <w:szCs w:val="22"/>
                <w:lang w:val="en-us"/>
              </w:rPr>
            </w:r>
          </w:p>
        </w:tc>
        <w:tc>
          <w:tcPr>
            <w:tcW w:w="950" w:type="dxa"/>
            <w:shd w:val="none"/>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100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 xml:space="preserve">14.Umerașe din plastic. </w:t>
            </w:r>
            <w:r>
              <w:rPr>
                <w:color w:val="ff0000"/>
                <w:sz w:val="20"/>
                <w:szCs w:val="20"/>
              </w:rPr>
              <w:t>Plastic dur (polipropilenă sau polistiren de înaltă densitate – HDPE/PP). Lungimea 38 – 45 cm. Inaltimea 20 – 25 cm. Minim 5 mm. Forma Ergonomică, cu umeri rotunjiți. Cirlig fix sau pivotant, din metal cromat sau plastic dur. Greutatea suportata minim 5 kg.</w:t>
            </w:r>
            <w:r>
              <w:rPr>
                <w:b/>
                <w:color w:val="000000"/>
                <w:sz w:val="22"/>
                <w:szCs w:val="22"/>
                <w:lang w:val="en-us"/>
              </w:rPr>
            </w:r>
          </w:p>
        </w:tc>
        <w:tc>
          <w:tcPr>
            <w:tcW w:w="950" w:type="dxa"/>
            <w:shd w:val="none"/>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200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b/>
                <w:bCs/>
                <w:sz w:val="20"/>
                <w:szCs w:val="20"/>
              </w:rPr>
              <w:t>15.Dihlofos (spray insecticid)</w:t>
            </w:r>
            <w:r>
              <w:rPr>
                <w:sz w:val="20"/>
                <w:szCs w:val="20"/>
              </w:rPr>
              <w:t xml:space="preserve"> </w:t>
            </w:r>
            <w:r>
              <w:rPr>
                <w:color w:val="ff0000"/>
                <w:sz w:val="20"/>
                <w:szCs w:val="20"/>
              </w:rPr>
              <w:t xml:space="preserve">sau echivalent, Aerosol (spray sub presiune). Spray insecticid universal pentru combaterea insectelor zburătoare și târâtoare – tip </w:t>
            </w:r>
            <w:r>
              <w:rPr>
                <w:b/>
                <w:bCs/>
                <w:color w:val="ff0000"/>
                <w:sz w:val="20"/>
                <w:szCs w:val="20"/>
              </w:rPr>
              <w:t>Dihlofos</w:t>
            </w:r>
            <w:r>
              <w:rPr>
                <w:color w:val="ff0000"/>
                <w:sz w:val="20"/>
                <w:szCs w:val="20"/>
              </w:rPr>
              <w:t xml:space="preserve"> sau echivalent. Spectru de acțiune Insecte zburătoare (muște, țânțari, viespi) și târâtoare (gândaci, furnici). Acțiune rapidă: efect vizibil în 5–15 minute. Minim 4 – 6 ore de protecție în spațiu închis. Recipient metalic sub presiune, cu pulverizato. Volum 500-750 ml. Etichetat pictograme, H/P, indicații siguranță.</w:t>
            </w:r>
            <w:r>
              <w:rPr>
                <w:b/>
                <w:color w:val="000000"/>
                <w:sz w:val="22"/>
                <w:szCs w:val="22"/>
                <w:lang w:val="en-us"/>
              </w:rPr>
            </w:r>
          </w:p>
        </w:tc>
        <w:tc>
          <w:tcPr>
            <w:tcW w:w="950" w:type="dxa"/>
            <w:shd w:val="none"/>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20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 xml:space="preserve">16.Clătitor de rufe </w:t>
            </w:r>
            <w:r>
              <w:rPr>
                <w:color w:val="ff0000"/>
                <w:sz w:val="20"/>
                <w:szCs w:val="20"/>
              </w:rPr>
              <w:t xml:space="preserve">lichid, cu efect de înmuiere, parfumare și protejare a fibrelor textile – tip </w:t>
            </w:r>
            <w:r>
              <w:rPr>
                <w:b/>
                <w:bCs/>
                <w:color w:val="ff0000"/>
                <w:sz w:val="20"/>
                <w:szCs w:val="20"/>
              </w:rPr>
              <w:t>balsam de rufe</w:t>
            </w:r>
            <w:r>
              <w:rPr>
                <w:color w:val="ff0000"/>
                <w:sz w:val="20"/>
                <w:szCs w:val="20"/>
              </w:rPr>
              <w:t>. Lichid omogen, vâscos, fără impurități. Parfum plăcut, persistent, neiritant (sau fără parfum – opțional). Compatibil cu toate tipurile de mașini de spălat automate și semiautomate. Recipient din plastic cu capac sau dop dozator volum 1l. Denumire, cantitate, producător, data fabricației/expirării, instrucțiuni, avertismente</w:t>
            </w:r>
            <w:r>
              <w:rPr>
                <w:b/>
                <w:color w:val="000000"/>
                <w:sz w:val="22"/>
                <w:szCs w:val="22"/>
                <w:lang w:val="en-us"/>
              </w:rPr>
            </w:r>
          </w:p>
        </w:tc>
        <w:tc>
          <w:tcPr>
            <w:tcW w:w="950" w:type="dxa"/>
            <w:shd w:val="none"/>
            <w:tcBorders>
              <w:top w:val="nil" w:sz="0" w:space="0" w:color="000000" tmln="20, 20, 20, 0, 0"/>
              <w:left w:val="single" w:sz="8" w:space="0" w:color="000000" tmln="20, 20, 20, 0, 0"/>
              <w:bottom w:val="single" w:sz="4" w:space="0" w:color="000000" tmln="1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50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 xml:space="preserve">17.Praf de curățat abraziv, tip OV </w:t>
            </w:r>
            <w:r>
              <w:rPr>
                <w:color w:val="ff0000"/>
                <w:sz w:val="20"/>
                <w:szCs w:val="20"/>
              </w:rPr>
              <w:t>sau echivalent – pentru curățarea suprafețelor dure lavabile. Praf uscat, cu granulație fină – fără bulgări sau impurități vizibile. Substanțe abrazive fine (carbonat de calciu sau silicat), agenți de curățare. Alb sau ușor crem. Recipient de plastic rigid cu capac perforat sau flacon cu sistem dozator. Volum 400-500 gr.</w:t>
            </w:r>
            <w:r>
              <w:rPr>
                <w:b/>
                <w:color w:val="000000"/>
                <w:sz w:val="22"/>
                <w:szCs w:val="22"/>
                <w:lang w:val="en-us"/>
              </w:rPr>
            </w:r>
          </w:p>
        </w:tc>
        <w:tc>
          <w:tcPr>
            <w:tcW w:w="950"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2"/>
                <w:szCs w:val="22"/>
              </w:rPr>
            </w:pPr>
            <w:r>
              <w:rPr>
                <w:color w:val="000000"/>
                <w:sz w:val="20"/>
                <w:szCs w:val="20"/>
              </w:rPr>
              <w:t>buc</w:t>
            </w:r>
            <w:r>
              <w:rPr>
                <w:sz w:val="22"/>
                <w:szCs w:val="22"/>
              </w:rPr>
            </w:r>
          </w:p>
        </w:tc>
        <w:tc>
          <w:tcPr>
            <w:tcW w:w="83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200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color w:val="ff0000"/>
                <w:sz w:val="20"/>
                <w:szCs w:val="20"/>
              </w:rPr>
              <w:t>18.Săpun de mâini solid. Alb, crem sau culori pastelate uniforme. 90 – 120 g. Spumare ușoară spre medie, eficientă pentru igienă zilnică. Testat dermatologic, fără efect irritant. Hârtie cerată, folie plastic sau cutie de carton individual. Pe ambalaj Denumire produs, greutate, compoziție, producător, dată fabricație/expirare.</w:t>
            </w:r>
            <w:r>
              <w:rPr>
                <w:b/>
                <w:color w:val="000000"/>
                <w:sz w:val="22"/>
                <w:szCs w:val="22"/>
                <w:lang w:val="en-us"/>
              </w:rPr>
            </w:r>
          </w:p>
        </w:tc>
        <w:tc>
          <w:tcPr>
            <w:tcW w:w="950"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3000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b/>
                <w:color w:val="000000"/>
                <w:sz w:val="22"/>
                <w:szCs w:val="22"/>
                <w:lang w:val="en-us"/>
              </w:rPr>
            </w:pPr>
            <w:r>
              <w:rPr>
                <w:sz w:val="20"/>
                <w:szCs w:val="20"/>
              </w:rPr>
              <w:t xml:space="preserve">19.Hârtie igienică. Celuloza </w:t>
            </w:r>
            <w:r/>
            <w:bookmarkStart w:id="0" w:name="_GoBack"/>
            <w:r/>
            <w:bookmarkEnd w:id="0"/>
            <w:r/>
            <w:r>
              <w:rPr>
                <w:sz w:val="20"/>
                <w:szCs w:val="20"/>
              </w:rPr>
              <w:t>Minim 1 strat. Lungimea în rulou minim 60m. Eticheta să conțină: producător, număr lot, datafabricație/expirare, etc.</w:t>
            </w:r>
            <w:r>
              <w:rPr>
                <w:b/>
                <w:color w:val="000000"/>
                <w:sz w:val="22"/>
                <w:szCs w:val="22"/>
                <w:lang w:val="en-us"/>
              </w:rPr>
            </w:r>
          </w:p>
        </w:tc>
        <w:tc>
          <w:tcPr>
            <w:tcW w:w="950" w:type="dxa"/>
            <w:shd w:val="none"/>
            <w:tcBorders>
              <w:top w:val="single" w:sz="4" w:space="0" w:color="000000" tmln="1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3000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color w:val="000000"/>
                <w:sz w:val="22"/>
                <w:szCs w:val="22"/>
                <w:lang w:val="en-us"/>
              </w:rPr>
            </w:pPr>
            <w:r>
              <w:rPr>
                <w:sz w:val="20"/>
                <w:szCs w:val="20"/>
              </w:rPr>
              <w:t xml:space="preserve">20.Detergent aditiv pentru îndepărtarea petelor – </w:t>
            </w:r>
            <w:r>
              <w:rPr>
                <w:b/>
                <w:bCs/>
                <w:sz w:val="20"/>
                <w:szCs w:val="20"/>
              </w:rPr>
              <w:t xml:space="preserve">tip Vanish lichid 1L. </w:t>
            </w:r>
            <w:r>
              <w:rPr>
                <w:color w:val="ff0000"/>
                <w:sz w:val="20"/>
                <w:szCs w:val="20"/>
              </w:rPr>
              <w:t xml:space="preserve">Aditiv pentru rufe – pre-tratare și/sau utilizare împreună cu detergent. Îndepărtare pete de grăsime, vin, sânge, cerneală, noroi, iarbă etc. Flacon din plastic (HDPE), capac cu sistem dozator. Se acceptă doar </w:t>
            </w:r>
            <w:r>
              <w:rPr>
                <w:b/>
                <w:bCs/>
                <w:sz w:val="20"/>
                <w:szCs w:val="20"/>
              </w:rPr>
              <w:t>Vanish lichid.</w:t>
            </w:r>
            <w:r>
              <w:rPr>
                <w:color w:val="000000"/>
                <w:sz w:val="22"/>
                <w:szCs w:val="22"/>
                <w:lang w:val="en-us"/>
              </w:rPr>
            </w:r>
          </w:p>
        </w:tc>
        <w:tc>
          <w:tcPr>
            <w:tcW w:w="950" w:type="dxa"/>
            <w:shd w:val="solid" w:color="FFFFFF" tmshd="1677721856, 0, 16777215"/>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35</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39800000-0</w:t>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2"/>
                <w:szCs w:val="22"/>
              </w:rPr>
            </w:pPr>
            <w:r>
              <w:rPr>
                <w:sz w:val="20"/>
                <w:szCs w:val="20"/>
              </w:rPr>
              <w:t xml:space="preserve">21.Cremă detergentă </w:t>
            </w:r>
            <w:r>
              <w:rPr>
                <w:color w:val="ff0000"/>
                <w:sz w:val="20"/>
                <w:szCs w:val="20"/>
              </w:rPr>
              <w:t>pentru curățarea aragazului, suprafețelor de gătit și a grătarelor – ambalaj 1 litru. Cremă lichidă, vâscoasă, cu particule abrazive fine. Îndepărtează eficient grăsimi arse, murdărie persistentă și pete alimentare. Conține tenside anionice/nonionice, abrazivi fini, agenți degresanți, parfum. Suprafete compatibile Email, inox, ceramică, plite vitroceramice. Flacon din plastic (HDPE), cu capac tip flip-top sau dop dozator. Eticheta Denumire, instrucțiuni de utilizare, avertismente, compoziție, lot, dată expirare</w:t>
            </w:r>
            <w:r>
              <w:rPr>
                <w:sz w:val="22"/>
                <w:szCs w:val="22"/>
              </w:rPr>
            </w:r>
          </w:p>
        </w:tc>
        <w:tc>
          <w:tcPr>
            <w:tcW w:w="950" w:type="dxa"/>
            <w:shd w:val="solid" w:color="FFFFFF" tmshd="1677721856, 0, 16777215"/>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sz w:val="22"/>
                <w:szCs w:val="22"/>
                <w:lang w:val="en-us"/>
              </w:rPr>
            </w:pPr>
            <w:r>
              <w:rPr>
                <w:color w:val="000000"/>
                <w:sz w:val="20"/>
                <w:szCs w:val="20"/>
              </w:rPr>
              <w:t>buc</w:t>
            </w:r>
            <w:r>
              <w:rPr>
                <w:sz w:val="22"/>
                <w:szCs w:val="22"/>
                <w:lang w:val="en-us"/>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sz w:val="22"/>
                <w:szCs w:val="22"/>
              </w:rPr>
            </w:pPr>
            <w:r>
              <w:rPr>
                <w:sz w:val="20"/>
                <w:szCs w:val="20"/>
              </w:rPr>
              <w:t>40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szCs w:val="20"/>
              </w:rPr>
              <w:t>39800000-0</w:t>
            </w:r>
            <w:r>
              <w:rPr>
                <w:sz w:val="20"/>
              </w:rPr>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i/>
                <w:iCs/>
                <w:color w:val="000000"/>
                <w:sz w:val="22"/>
                <w:szCs w:val="22"/>
              </w:rPr>
            </w:pPr>
            <w:r>
              <w:rPr>
                <w:sz w:val="20"/>
                <w:szCs w:val="20"/>
              </w:rPr>
              <w:t xml:space="preserve">22.Șervețele de masă </w:t>
            </w:r>
            <w:r>
              <w:rPr>
                <w:color w:val="ff0000"/>
                <w:sz w:val="20"/>
                <w:szCs w:val="20"/>
              </w:rPr>
              <w:t>din hârtie, de unică folosință – alb/neutru, minim 2 straturi. Hârtie tissue, 100% celuloză sau celuloză reciclată de calitate superioară. Absoarbe lichidele în mod efficient. Nu se destrama usor la utilizare, nu ramin pe miinile umede. Pliate 20cm*20cm desfăcute 35cm*35cm +/-5cm Pachetul sa contina N100. Ambalaj transparent. Cantitatea necesara indicata în ambalaje.</w:t>
            </w:r>
            <w:r>
              <w:rPr>
                <w:i/>
                <w:iCs/>
                <w:color w:val="000000"/>
                <w:sz w:val="22"/>
                <w:szCs w:val="22"/>
              </w:rPr>
            </w:r>
          </w:p>
        </w:tc>
        <w:tc>
          <w:tcPr>
            <w:tcW w:w="950" w:type="dxa"/>
            <w:shd w:val="solid" w:color="FFFFFF" tmshd="1677721856, 0, 16777215"/>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color w:val="000000"/>
                <w:sz w:val="22"/>
                <w:szCs w:val="22"/>
              </w:rPr>
            </w:pPr>
            <w:r>
              <w:rPr>
                <w:color w:val="000000"/>
                <w:sz w:val="20"/>
                <w:szCs w:val="20"/>
              </w:rPr>
              <w:t>buc</w:t>
            </w:r>
            <w:r>
              <w:rPr>
                <w:color w:val="000000"/>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color w:val="000000"/>
                <w:sz w:val="22"/>
                <w:szCs w:val="22"/>
              </w:rPr>
            </w:pPr>
            <w:r>
              <w:rPr>
                <w:sz w:val="20"/>
                <w:szCs w:val="20"/>
              </w:rPr>
              <w:t>4000</w:t>
            </w:r>
            <w:r>
              <w:rPr>
                <w:color w:val="000000"/>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szCs w:val="20"/>
              </w:rPr>
              <w:t>39800000-0</w:t>
            </w:r>
            <w:r>
              <w:rPr>
                <w:sz w:val="20"/>
              </w:rPr>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i/>
                <w:iCs/>
                <w:color w:val="000000"/>
                <w:sz w:val="22"/>
                <w:szCs w:val="22"/>
              </w:rPr>
            </w:pPr>
            <w:r>
              <w:rPr>
                <w:sz w:val="20"/>
                <w:szCs w:val="20"/>
              </w:rPr>
              <w:t xml:space="preserve">23.Soluție lichidă anticalcar, </w:t>
            </w:r>
            <w:r>
              <w:rPr>
                <w:color w:val="ff0000"/>
                <w:sz w:val="20"/>
                <w:szCs w:val="20"/>
              </w:rPr>
              <w:t xml:space="preserve">destinată îndepărtării depunerilor de calcar, rugină și săpun – tip </w:t>
            </w:r>
            <w:r>
              <w:rPr>
                <w:b/>
                <w:bCs/>
                <w:color w:val="ff0000"/>
                <w:sz w:val="20"/>
                <w:szCs w:val="20"/>
              </w:rPr>
              <w:t>Remover 1L</w:t>
            </w:r>
            <w:r>
              <w:rPr>
                <w:color w:val="ff0000"/>
                <w:sz w:val="20"/>
                <w:szCs w:val="20"/>
              </w:rPr>
              <w:t xml:space="preserve"> sau echivalent profesional. Flacon din plastic (HDPE) Cu pulverizator. Aplicare: Chiuvete, robinete, baterii, gresie, faianță, vase WC, cabine duș, cazi etc. Timp de actiune 1-5 minute.</w:t>
            </w:r>
            <w:r>
              <w:rPr>
                <w:i/>
                <w:iCs/>
                <w:color w:val="000000"/>
                <w:sz w:val="22"/>
                <w:szCs w:val="22"/>
              </w:rPr>
            </w:r>
          </w:p>
        </w:tc>
        <w:tc>
          <w:tcPr>
            <w:tcW w:w="950" w:type="dxa"/>
            <w:shd w:val="solid" w:color="FFFFFF" tmshd="1677721856, 0, 16777215"/>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spacing/>
              <w:jc w:val="center"/>
              <w:rPr>
                <w:color w:val="000000"/>
                <w:sz w:val="22"/>
                <w:szCs w:val="22"/>
              </w:rPr>
            </w:pPr>
            <w:r>
              <w:rPr>
                <w:color w:val="000000"/>
                <w:sz w:val="20"/>
                <w:szCs w:val="20"/>
              </w:rPr>
              <w:t>buc</w:t>
            </w:r>
            <w:r>
              <w:rPr>
                <w:color w:val="000000"/>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spacing/>
              <w:jc w:val="center"/>
              <w:rPr>
                <w:color w:val="000000"/>
                <w:sz w:val="22"/>
                <w:szCs w:val="22"/>
              </w:rPr>
            </w:pPr>
            <w:r>
              <w:rPr>
                <w:sz w:val="20"/>
                <w:szCs w:val="20"/>
              </w:rPr>
              <w:t>200</w:t>
            </w:r>
            <w:r>
              <w:rPr>
                <w:color w:val="000000"/>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În decurs de 10  zile de la solicitarea beneficiarului</w:t>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szCs w:val="20"/>
              </w:rPr>
              <w:t>39800000-0</w:t>
            </w:r>
            <w:r>
              <w:rPr>
                <w:sz w:val="20"/>
              </w:rPr>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2"/>
                <w:szCs w:val="22"/>
              </w:rPr>
            </w:pPr>
            <w:r>
              <w:rPr>
                <w:sz w:val="20"/>
                <w:szCs w:val="20"/>
              </w:rPr>
              <w:t>24.Gel Test 400ml. Gel gelatinos pentru curatarea vaselor, cutie cu capac detasabil, culoarea, verde, albastru, rosu. Volum 400 ml. Se va accepta doar echivalentul TEST.</w:t>
            </w:r>
            <w:r>
              <w:rPr>
                <w:sz w:val="22"/>
                <w:szCs w:val="22"/>
              </w:rPr>
            </w:r>
          </w:p>
        </w:tc>
        <w:tc>
          <w:tcPr>
            <w:tcW w:w="950" w:type="dxa"/>
            <w:shd w:val="solid" w:color="FFFFFF" tmshd="1677721856, 0, 16777215"/>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2"/>
                <w:szCs w:val="22"/>
              </w:rPr>
            </w:pPr>
            <w:r>
              <w:rPr>
                <w:sz w:val="20"/>
                <w:szCs w:val="20"/>
              </w:rPr>
              <w:t>600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szCs w:val="20"/>
              </w:rPr>
              <w:t>În decurs de 10  zile de la solicitarea beneficiarului</w:t>
            </w:r>
            <w:r>
              <w:rPr>
                <w:sz w:val="20"/>
              </w:rPr>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szCs w:val="20"/>
              </w:rPr>
              <w:t>39800000-0</w:t>
            </w:r>
            <w:r>
              <w:rPr>
                <w:sz w:val="20"/>
              </w:rPr>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2"/>
                <w:szCs w:val="22"/>
              </w:rPr>
            </w:pPr>
            <w:r>
              <w:rPr>
                <w:sz w:val="20"/>
                <w:szCs w:val="20"/>
              </w:rPr>
              <w:t xml:space="preserve">25.Soluție igienizantă multifuncțională pentru baie și WC, tip </w:t>
            </w:r>
            <w:r>
              <w:rPr>
                <w:b/>
                <w:bCs/>
                <w:sz w:val="20"/>
                <w:szCs w:val="20"/>
              </w:rPr>
              <w:t>Prima 4 în 1 (alba)</w:t>
            </w:r>
            <w:r>
              <w:rPr>
                <w:sz w:val="20"/>
                <w:szCs w:val="20"/>
              </w:rPr>
              <w:t xml:space="preserve"> sau echivalent. </w:t>
            </w:r>
            <w:r>
              <w:rPr>
                <w:color w:val="ff0000"/>
                <w:sz w:val="20"/>
                <w:szCs w:val="20"/>
              </w:rPr>
              <w:t xml:space="preserve"> Ambalaj primar: PET/HDPE opac, etanș cu  aplicare usoara in WC. destinată îndepărtării depunerilor de calcar, rugină și săpun –  sau echivalent profesional. Se spumeaza ușor  Aplicare: Chiuvete, robinete, baterii, gresie, faianță, vase WC, cabine duș, cazi etc</w:t>
            </w:r>
            <w:r>
              <w:rPr>
                <w:sz w:val="22"/>
                <w:szCs w:val="22"/>
              </w:rPr>
            </w:r>
          </w:p>
        </w:tc>
        <w:tc>
          <w:tcPr>
            <w:tcW w:w="950" w:type="dxa"/>
            <w:shd w:val="solid" w:color="FFFFFF" tmshd="1677721856, 0, 16777215"/>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rPr>
                <w:sz w:val="22"/>
                <w:szCs w:val="22"/>
              </w:rPr>
            </w:pPr>
            <w:r>
              <w:rPr>
                <w:color w:val="000000"/>
                <w:sz w:val="20"/>
                <w:szCs w:val="20"/>
              </w:rPr>
              <w:t>buc</w:t>
            </w:r>
            <w:r>
              <w:rPr>
                <w:sz w:val="22"/>
                <w:szCs w:val="22"/>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2"/>
                <w:szCs w:val="22"/>
              </w:rPr>
            </w:pPr>
            <w:r>
              <w:rPr>
                <w:sz w:val="20"/>
                <w:szCs w:val="20"/>
              </w:rPr>
              <w:t>200</w:t>
            </w:r>
            <w:r>
              <w:rPr>
                <w:sz w:val="22"/>
                <w:szCs w:val="22"/>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szCs w:val="20"/>
              </w:rPr>
              <w:t>În decurs de 10  zile de la solicitarea beneficiarului</w:t>
            </w:r>
            <w:r>
              <w:rPr>
                <w:sz w:val="20"/>
              </w:rPr>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2"/>
                <w:szCs w:val="22"/>
              </w:rPr>
            </w:pPr>
            <w:r>
              <w:rPr>
                <w:sz w:val="20"/>
                <w:szCs w:val="20"/>
              </w:rPr>
              <w:t xml:space="preserve">26.Rezervă mop (40cm). </w:t>
            </w:r>
            <w:r>
              <w:rPr>
                <w:b/>
                <w:bCs/>
                <w:sz w:val="20"/>
                <w:szCs w:val="20"/>
              </w:rPr>
              <w:t>Rezervă mop plat</w:t>
            </w:r>
            <w:r>
              <w:rPr>
                <w:sz w:val="20"/>
                <w:szCs w:val="20"/>
              </w:rPr>
              <w:t>, lungime 40 cm, pentru sistem profesional de curățenie, destinată spălării suprafețelor dure (gresie, linoleum, parchet, marmură etc.). Sistem de prindere Cu buzunare laterale. Compatibile cu mopurile din dotate.</w:t>
            </w:r>
            <w:r>
              <w:rPr>
                <w:sz w:val="22"/>
                <w:szCs w:val="22"/>
              </w:rPr>
            </w:r>
          </w:p>
        </w:tc>
        <w:tc>
          <w:tcPr>
            <w:tcW w:w="950" w:type="dxa"/>
            <w:shd w:val="solid" w:color="FFFFFF" tmshd="1677721856, 0, 16777215"/>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rPr>
                <w:sz w:val="20"/>
                <w:szCs w:val="20"/>
                <w:lang w:val="en-us"/>
              </w:rPr>
            </w:pPr>
            <w:r>
              <w:rPr>
                <w:color w:val="000000"/>
                <w:sz w:val="20"/>
                <w:szCs w:val="20"/>
              </w:rPr>
              <w:t>buc</w:t>
            </w:r>
            <w:r>
              <w:rPr>
                <w:sz w:val="20"/>
                <w:szCs w:val="20"/>
                <w:lang w:val="en-us"/>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t>100</w:t>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2"/>
                <w:szCs w:val="22"/>
              </w:rPr>
            </w:pPr>
            <w:r>
              <w:rPr>
                <w:sz w:val="22"/>
                <w:szCs w:val="22"/>
              </w:rPr>
            </w:r>
          </w:p>
        </w:tc>
        <w:tc>
          <w:tcPr>
            <w:tcW w:w="950" w:type="dxa"/>
            <w:vAlign w:val="center"/>
            <w:shd w:val="solid" w:color="FFFFFF" tmshd="1677721856, 0, 16777215"/>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rPr>
                <w:sz w:val="20"/>
                <w:szCs w:val="20"/>
                <w:lang w:val="en-us"/>
              </w:rPr>
            </w:pPr>
            <w:r>
              <w:rPr>
                <w:sz w:val="20"/>
                <w:szCs w:val="20"/>
                <w:lang w:val="en-us"/>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1237" w:type="dxa"/>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2632" w:type="dxa"/>
            <w:gridSpan w:val="2"/>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2"/>
                <w:szCs w:val="22"/>
              </w:rPr>
            </w:pPr>
            <w:r>
              <w:rPr>
                <w:sz w:val="22"/>
                <w:szCs w:val="22"/>
              </w:rPr>
            </w:r>
          </w:p>
        </w:tc>
        <w:tc>
          <w:tcPr>
            <w:tcW w:w="950" w:type="dxa"/>
            <w:vAlign w:val="center"/>
            <w:shd w:val="solid" w:color="FFFFFF" tmshd="1677721856, 0, 16777215"/>
            <w:tcBorders>
              <w:top w:val="nil" w:sz="0" w:space="0" w:color="000000" tmln="20, 20, 20, 0, 0"/>
              <w:left w:val="single" w:sz="8" w:space="0" w:color="000000" tmln="20, 20, 20, 0, 0"/>
              <w:bottom w:val="single" w:sz="8" w:space="0" w:color="000000" tmln="20, 20, 20, 0, 0"/>
              <w:right w:val="single" w:sz="8" w:space="0" w:color="000000" tmln="20, 20, 20, 0, 0"/>
            </w:tcBorders>
            <w:tmTcPr id="1769031224" protected="0"/>
          </w:tcPr>
          <w:p>
            <w:pPr>
              <w:rPr>
                <w:sz w:val="20"/>
                <w:szCs w:val="20"/>
                <w:lang w:val="en-us"/>
              </w:rPr>
            </w:pPr>
            <w:r>
              <w:rPr>
                <w:sz w:val="20"/>
                <w:szCs w:val="20"/>
                <w:lang w:val="en-us"/>
              </w:rPr>
            </w:r>
          </w:p>
        </w:tc>
        <w:tc>
          <w:tcPr>
            <w:tcW w:w="831" w:type="dxa"/>
            <w:vAlign w:val="center"/>
            <w:shd w:val="none"/>
            <w:tcBorders>
              <w:top w:val="nil" w:sz="0" w:space="0" w:color="000000" tmln="2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017"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923"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024"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895" w:type="dxa"/>
            <w:vAlign w:val="center"/>
            <w:shd w:val="none"/>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c>
          <w:tcPr>
            <w:tcW w:w="1616"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3131" w:type="dxa"/>
            <w:gridSpan w:val="4"/>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szCs w:val="20"/>
              </w:rPr>
            </w:pPr>
            <w:r>
              <w:rPr>
                <w:sz w:val="20"/>
                <w:szCs w:val="20"/>
              </w:rPr>
            </w:r>
          </w:p>
        </w:tc>
        <w:tc>
          <w:tcPr>
            <w:tcW w:w="1303" w:type="dxa"/>
            <w:gridSpan w:val="3"/>
            <w:tcBorders>
              <w:top w:val="single" w:sz="4" w:space="0" w:color="000000" tmln="10, 20, 20, 0, 0"/>
              <w:left w:val="single" w:sz="4" w:space="0" w:color="000000" tmln="10, 20, 20, 0, 0"/>
              <w:bottom w:val="single" w:sz="4" w:space="0" w:color="000000" tmln="10, 20, 20, 0, 0"/>
              <w:right w:val="single" w:sz="4" w:space="0" w:color="000000" tmln="10, 20, 20, 0, 0"/>
            </w:tcBorders>
            <w:tmTcPr id="1769031224" protected="0"/>
          </w:tcPr>
          <w:p>
            <w:pPr>
              <w:rPr>
                <w:sz w:val="20"/>
              </w:rPr>
            </w:pPr>
            <w:r>
              <w:rPr>
                <w:sz w:val="20"/>
              </w:rPr>
            </w:r>
          </w:p>
        </w:tc>
      </w:tr>
      <w:tr>
        <w:trPr>
          <w:cantSplit w:val="0"/>
          <w:trHeight w:val="397" w:hRule="atLeast"/>
        </w:trPr>
        <w:tc>
          <w:tcPr>
            <w:tcW w:w="9563" w:type="dxa"/>
            <w:gridSpan w:val="10"/>
            <w:vAlign w:val="center"/>
            <w:shd w:val="none"/>
            <w:tcBorders>
              <w:top w:val="single" w:sz="4" w:space="0" w:color="000000" tmln="10, 20, 20, 0, 0"/>
            </w:tcBorders>
            <w:tmTcPr id="1769031224" protected="0"/>
          </w:tcPr>
          <w:p>
            <w:pPr>
              <w:tabs defTabSz="708">
                <w:tab w:val="left" w:pos="6120" w:leader="none"/>
              </w:tabs>
              <w:rPr>
                <w:sz w:val="20"/>
              </w:rPr>
            </w:pPr>
            <w:r>
              <w:rPr>
                <w:sz w:val="20"/>
              </w:rPr>
            </w:r>
          </w:p>
          <w:p>
            <w:pPr>
              <w:rPr>
                <w:sz w:val="20"/>
              </w:rPr>
            </w:pPr>
            <w:r>
              <w:rPr>
                <w:sz w:val="20"/>
              </w:rPr>
              <w:t>Semnat:_______________ Numele, Prenumele:_____________________________ În calitate de: ______________</w:t>
            </w:r>
          </w:p>
          <w:p>
            <w:pPr>
              <w:rPr>
                <w:sz w:val="20"/>
              </w:rPr>
            </w:pPr>
            <w:r>
              <w:rPr>
                <w:sz w:val="20"/>
              </w:rPr>
            </w:r>
          </w:p>
          <w:p>
            <w:pPr>
              <w:rPr>
                <w:iCs/>
                <w:sz w:val="20"/>
              </w:rPr>
            </w:pPr>
            <w:r>
              <w:rPr>
                <w:iCs/>
                <w:sz w:val="20"/>
              </w:rPr>
              <w:t>Ofertantul: ___________________             Adresa: ________________________________________________________</w:t>
            </w:r>
          </w:p>
        </w:tc>
        <w:tc>
          <w:tcPr>
            <w:tcW w:w="1693" w:type="dxa"/>
            <w:gridSpan w:val="3"/>
            <w:tcBorders>
              <w:top w:val="single" w:sz="4" w:space="0" w:color="000000" tmln="10, 20, 20, 0, 0"/>
            </w:tcBorders>
            <w:tmTcPr id="1769031224" protected="0"/>
          </w:tcPr>
          <w:p>
            <w:pPr>
              <w:tabs defTabSz="708">
                <w:tab w:val="left" w:pos="6120" w:leader="none"/>
              </w:tabs>
              <w:rPr>
                <w:sz w:val="20"/>
              </w:rPr>
            </w:pPr>
            <w:r>
              <w:rPr>
                <w:sz w:val="20"/>
              </w:rPr>
            </w:r>
          </w:p>
        </w:tc>
        <w:tc>
          <w:tcPr>
            <w:tcW w:w="3036" w:type="dxa"/>
            <w:gridSpan w:val="4"/>
            <w:tcBorders>
              <w:top w:val="single" w:sz="4" w:space="0" w:color="000000" tmln="10, 20, 20, 0, 0"/>
            </w:tcBorders>
            <w:tmTcPr id="1769031224" protected="0"/>
          </w:tcPr>
          <w:p>
            <w:pPr>
              <w:tabs defTabSz="708">
                <w:tab w:val="left" w:pos="6120" w:leader="none"/>
              </w:tabs>
              <w:rPr>
                <w:sz w:val="20"/>
              </w:rPr>
            </w:pPr>
            <w:r>
              <w:rPr>
                <w:sz w:val="20"/>
              </w:rPr>
            </w:r>
          </w:p>
        </w:tc>
        <w:tc>
          <w:tcPr>
            <w:tcW w:w="1267" w:type="dxa"/>
            <w:gridSpan w:val="2"/>
            <w:tcBorders>
              <w:top w:val="single" w:sz="4" w:space="0" w:color="000000" tmln="10, 20, 20, 0, 0"/>
            </w:tcBorders>
            <w:tmTcPr id="1769031224" protected="0"/>
          </w:tcPr>
          <w:p>
            <w:pPr>
              <w:tabs defTabSz="708">
                <w:tab w:val="left" w:pos="6120" w:leader="none"/>
              </w:tabs>
              <w:rPr>
                <w:sz w:val="20"/>
              </w:rPr>
            </w:pPr>
            <w:r>
              <w:rPr>
                <w:sz w:val="20"/>
              </w:rPr>
            </w:r>
          </w:p>
        </w:tc>
      </w:tr>
    </w:tbl>
    <w:p>
      <w:r/>
    </w:p>
    <w:p>
      <w:pPr>
        <w:pageBreakBefore/>
      </w:pPr>
      <w:r>
        <mc:AlternateContent>
          <mc:Choice Requires="wps">
            <w:drawing>
              <wp:anchor distT="0" distB="0" distL="114300" distR="114300" simplePos="0" relativeHeight="251658247" behindDoc="0" locked="0" layoutInCell="0" hidden="0" allowOverlap="1">
                <wp:simplePos x="0" y="0"/>
                <wp:positionH relativeFrom="page">
                  <wp:posOffset>651510</wp:posOffset>
                </wp:positionH>
                <wp:positionV relativeFrom="margin">
                  <wp:posOffset>0</wp:posOffset>
                </wp:positionV>
                <wp:extent cx="9911715" cy="5760085"/>
                <wp:effectExtent l="0" t="0" r="0" b="0"/>
                <wp:wrapSquare wrapText="bothSides"/>
                <wp:docPr id="7" name="Текстовое поле2"/>
                <wp:cNvGraphicFramePr/>
                <a:graphic xmlns:a="http://schemas.openxmlformats.org/drawingml/2006/main">
                  <a:graphicData uri="http://schemas.microsoft.com/office/word/2010/wordprocessingShape">
                    <wps:wsp>
                      <wps:cNvSpPr txBox="1">
                        <a:extLst>
                          <a:ext uri="smNativeData">
                            <sm:smNativeData xmlns:sm="smNativeData" val="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AggAAAAAAAAAAAAAAAAAAAAAAAAIEAAAAAAAAAQAAAAAAAAD5PAAAbyMAAAEAAACWAwAApQYAACgAAAAIAAAAAgAAAAEAAAA="/>
                          </a:ext>
                        </a:extLst>
                      </wps:cNvSpPr>
                      <wps:spPr>
                        <a:xfrm>
                          <a:off x="0" y="0"/>
                          <a:ext cx="9911715" cy="5760085"/>
                        </a:xfrm>
                        <a:prstGeom prst="rect">
                          <a:avLst/>
                        </a:prstGeom>
                        <a:noFill/>
                        <a:ln w="12700">
                          <a:noFill/>
                        </a:ln>
                      </wps:spPr>
                      <wps:linkedTxbx id="1" seq="1"/>
                      <wps:bodyPr spcFirstLastPara="1" vertOverflow="clip" horzOverflow="clip" wrap="none" lIns="0" tIns="0" rIns="6985" bIns="6985" upright="1">
                        <a:noAutofit/>
                      </wps:bodyPr>
                    </wps:wsp>
                  </a:graphicData>
                </a:graphic>
              </wp:anchor>
            </w:drawing>
          </mc:Choice>
          <mc:Fallback>
            <w:pict>
              <v:shapetype id="_x0000_t202" coordsize="21600,21600" o:spt="202" path="m,l,21600r21600,l21600,xe">
                <v:path gradientshapeok="t" o:connecttype="rect"/>
              </v:shapetype>
              <v:shape id="Текстовое поле2" o:spid="_x0000_s1026" type="#_x0000_t202" style="position:absolute;margin-left:51.30pt;margin-top:0.00pt;mso-position-horizontal-relative:page;mso-position-vertical-relative:margin;width:780.45pt;height:453.55pt;z-index:251658247;mso-wrap-distance-left:9.00pt;mso-wrap-distance-top:0.00pt;mso-wrap-distance-right:9.00pt;mso-wrap-distance-bottom:0.00pt;mso-wrap-style:none" o:allowincell="f" stroked="f" filled="f" v:ext="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BAggAAAAAAAAAAAAAAAAAAAAAAAAIEAAAAAAAAAQAAAAAAAAD5PAAAbyMAAAEAAACWAwAApQYAACgAAAAIAAAAAgAAAAEAAAA=" o:insetmode="custom">
                <w10:wrap type="square" anchorx="page" anchory="margin"/>
                <v:textbox inset="0.0pt,0.0pt,0.6pt,0.6pt" style="mso-next-textbox:#Текстовое поле3">
                  <w:txbxContent/>
                </v:textbox>
              </v:shape>
            </w:pict>
          </mc:Fallback>
        </mc:AlternateContent>
      </w:r>
    </w:p>
    <w:p>
      <w:pPr>
        <w:pageBreakBefore/>
      </w:pPr>
      <w:r>
        <mc:AlternateContent>
          <mc:Choice Requires="wps">
            <w:drawing>
              <wp:anchor distT="0" distB="0" distL="114300" distR="114300" simplePos="0" relativeHeight="251658246" behindDoc="0" locked="0" layoutInCell="0" hidden="0" allowOverlap="1">
                <wp:simplePos x="0" y="0"/>
                <wp:positionH relativeFrom="page">
                  <wp:posOffset>651510</wp:posOffset>
                </wp:positionH>
                <wp:positionV relativeFrom="margin">
                  <wp:posOffset>0</wp:posOffset>
                </wp:positionV>
                <wp:extent cx="9911715" cy="5965825"/>
                <wp:effectExtent l="0" t="0" r="0" b="0"/>
                <wp:wrapSquare wrapText="bothSides"/>
                <wp:docPr id="6" name="Текстовое поле3"/>
                <wp:cNvGraphicFramePr/>
                <a:graphic xmlns:a="http://schemas.openxmlformats.org/drawingml/2006/main">
                  <a:graphicData uri="http://schemas.microsoft.com/office/word/2010/wordprocessingShape">
                    <wps:wsp>
                      <wps:cNvSpPr txBox="1">
                        <a:extLst>
                          <a:ext uri="smNativeData">
                            <sm:smNativeData xmlns:sm="smNativeData" val="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IAAABAggAAAAAAAAAAAAAAAAAAAAAAAAIEAAAAAAAAAQAAAAAAAAD5PAAAsyQAAAIAAACWAwAApQYAACgAAAAIAAAAAgAAAAEAAAA="/>
                          </a:ext>
                        </a:extLst>
                      </wps:cNvSpPr>
                      <wps:spPr>
                        <a:xfrm>
                          <a:off x="0" y="0"/>
                          <a:ext cx="9911715" cy="5965825"/>
                        </a:xfrm>
                        <a:prstGeom prst="rect">
                          <a:avLst/>
                        </a:prstGeom>
                        <a:noFill/>
                        <a:ln w="12700">
                          <a:noFill/>
                        </a:ln>
                      </wps:spPr>
                      <wps:linkedTxbx id="1" seq="2"/>
                      <wps:bodyPr spcFirstLastPara="1" vertOverflow="clip" horzOverflow="clip" wrap="none" lIns="0" tIns="0" rIns="6985" bIns="6985" upright="1">
                        <a:noAutofit/>
                      </wps:bodyPr>
                    </wps:wsp>
                  </a:graphicData>
                </a:graphic>
              </wp:anchor>
            </w:drawing>
          </mc:Choice>
          <mc:Fallback>
            <w:pict>
              <v:shape id="Текстовое поле3" o:spid="_x0000_s1027" type="#_x0000_t202" style="position:absolute;margin-left:51.30pt;margin-top:0.00pt;mso-position-horizontal-relative:page;mso-position-vertical-relative:margin;width:780.45pt;height:469.75pt;z-index:251658246;mso-wrap-distance-left:9.00pt;mso-wrap-distance-top:0.00pt;mso-wrap-distance-right:9.00pt;mso-wrap-distance-bottom:0.00pt;mso-wrap-style:none" o:allowincell="f" stroked="f" filled="f" v:ext="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IAAABAggAAAAAAAAAAAAAAAAAAAAAAAAIEAAAAAAAAAQAAAAAAAAD5PAAAsyQAAAIAAACWAwAApQYAACgAAAAIAAAAAgAAAAEAAAA=" o:insetmode="custom">
                <w10:wrap type="square" anchorx="page" anchory="margin"/>
                <v:textbox inset="0.0pt,0.0pt,0.6pt,0.6pt" style="mso-next-textbox:#Текстовое поле4">
                  <w:txbxContent/>
                </v:textbox>
              </v:shape>
            </w:pict>
          </mc:Fallback>
        </mc:AlternateContent>
      </w:r>
    </w:p>
    <w:p>
      <w:pPr>
        <w:pageBreakBefore/>
      </w:pPr>
      <w:r>
        <mc:AlternateContent>
          <mc:Choice Requires="wps">
            <w:drawing>
              <wp:anchor distT="0" distB="0" distL="114300" distR="114300" simplePos="0" relativeHeight="251658245" behindDoc="0" locked="0" layoutInCell="0" hidden="0" allowOverlap="1">
                <wp:simplePos x="0" y="0"/>
                <wp:positionH relativeFrom="page">
                  <wp:posOffset>651510</wp:posOffset>
                </wp:positionH>
                <wp:positionV relativeFrom="margin">
                  <wp:posOffset>0</wp:posOffset>
                </wp:positionV>
                <wp:extent cx="9911715" cy="5965825"/>
                <wp:effectExtent l="0" t="0" r="0" b="0"/>
                <wp:wrapSquare wrapText="bothSides"/>
                <wp:docPr id="5" name="Текстовое поле4"/>
                <wp:cNvGraphicFramePr/>
                <a:graphic xmlns:a="http://schemas.openxmlformats.org/drawingml/2006/main">
                  <a:graphicData uri="http://schemas.microsoft.com/office/word/2010/wordprocessingShape">
                    <wps:wsp>
                      <wps:cNvSpPr txBox="1">
                        <a:extLst>
                          <a:ext uri="smNativeData">
                            <sm:smNativeData xmlns:sm="smNativeData" val="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BAggAAAAAAAAAAAAAAAAAAAAAAAAIEAAAAAAAAAQAAAAAAAAD5PAAAsyQAAAMAAACWAwAApQYAACgAAAAIAAAAAgAAAAEAAAA="/>
                          </a:ext>
                        </a:extLst>
                      </wps:cNvSpPr>
                      <wps:spPr>
                        <a:xfrm>
                          <a:off x="0" y="0"/>
                          <a:ext cx="9911715" cy="5965825"/>
                        </a:xfrm>
                        <a:prstGeom prst="rect">
                          <a:avLst/>
                        </a:prstGeom>
                        <a:noFill/>
                        <a:ln w="12700">
                          <a:noFill/>
                        </a:ln>
                      </wps:spPr>
                      <wps:linkedTxbx id="1" seq="3"/>
                      <wps:bodyPr spcFirstLastPara="1" vertOverflow="clip" horzOverflow="clip" wrap="none" lIns="0" tIns="0" rIns="6985" bIns="6985" upright="1">
                        <a:noAutofit/>
                      </wps:bodyPr>
                    </wps:wsp>
                  </a:graphicData>
                </a:graphic>
              </wp:anchor>
            </w:drawing>
          </mc:Choice>
          <mc:Fallback>
            <w:pict>
              <v:shape id="Текстовое поле4" o:spid="_x0000_s1028" type="#_x0000_t202" style="position:absolute;margin-left:51.30pt;margin-top:0.00pt;mso-position-horizontal-relative:page;mso-position-vertical-relative:margin;width:780.45pt;height:469.75pt;z-index:251658245;mso-wrap-distance-left:9.00pt;mso-wrap-distance-top:0.00pt;mso-wrap-distance-right:9.00pt;mso-wrap-distance-bottom:0.00pt;mso-wrap-style:none" o:allowincell="f" stroked="f" filled="f" v:ext="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BAggAAAAAAAAAAAAAAAAAAAAAAAAIEAAAAAAAAAQAAAAAAAAD5PAAAsyQAAAMAAACWAwAApQYAACgAAAAIAAAAAgAAAAEAAAA=" o:insetmode="custom">
                <w10:wrap type="square" anchorx="page" anchory="margin"/>
                <v:textbox inset="0.0pt,0.0pt,0.6pt,0.6pt" style="mso-next-textbox:#Текстовое поле5">
                  <w:txbxContent/>
                </v:textbox>
              </v:shape>
            </w:pict>
          </mc:Fallback>
        </mc:AlternateContent>
      </w:r>
    </w:p>
    <w:p>
      <w:pPr>
        <w:pageBreakBefore/>
      </w:pPr>
      <w:r>
        <mc:AlternateContent>
          <mc:Choice Requires="wps">
            <w:drawing>
              <wp:anchor distT="0" distB="0" distL="114300" distR="114300" simplePos="0" relativeHeight="251658244" behindDoc="0" locked="0" layoutInCell="0" hidden="0" allowOverlap="1">
                <wp:simplePos x="0" y="0"/>
                <wp:positionH relativeFrom="page">
                  <wp:posOffset>651510</wp:posOffset>
                </wp:positionH>
                <wp:positionV relativeFrom="margin">
                  <wp:posOffset>0</wp:posOffset>
                </wp:positionV>
                <wp:extent cx="9911715" cy="5965825"/>
                <wp:effectExtent l="0" t="0" r="0" b="0"/>
                <wp:wrapSquare wrapText="bothSides"/>
                <wp:docPr id="4" name="Текстовое поле5"/>
                <wp:cNvGraphicFramePr/>
                <a:graphic xmlns:a="http://schemas.openxmlformats.org/drawingml/2006/main">
                  <a:graphicData uri="http://schemas.microsoft.com/office/word/2010/wordprocessingShape">
                    <wps:wsp>
                      <wps:cNvSpPr txBox="1">
                        <a:extLst>
                          <a:ext uri="smNativeData">
                            <sm:smNativeData xmlns:sm="smNativeData" val="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QAAABAggAAAAAAAAAAAAAAAAAAAAAAAAIEAAAAAAAAAQAAAAAAAAD5PAAAsyQAAAQAAACWAwAApQYAACgAAAAIAAAAAgAAAAEAAAA="/>
                          </a:ext>
                        </a:extLst>
                      </wps:cNvSpPr>
                      <wps:spPr>
                        <a:xfrm>
                          <a:off x="0" y="0"/>
                          <a:ext cx="9911715" cy="5965825"/>
                        </a:xfrm>
                        <a:prstGeom prst="rect">
                          <a:avLst/>
                        </a:prstGeom>
                        <a:noFill/>
                        <a:ln w="12700">
                          <a:noFill/>
                        </a:ln>
                      </wps:spPr>
                      <wps:linkedTxbx id="1" seq="4"/>
                      <wps:bodyPr spcFirstLastPara="1" vertOverflow="clip" horzOverflow="clip" wrap="none" lIns="0" tIns="0" rIns="6985" bIns="6985" upright="1">
                        <a:noAutofit/>
                      </wps:bodyPr>
                    </wps:wsp>
                  </a:graphicData>
                </a:graphic>
              </wp:anchor>
            </w:drawing>
          </mc:Choice>
          <mc:Fallback>
            <w:pict>
              <v:shape id="Текстовое поле5" o:spid="_x0000_s1029" type="#_x0000_t202" style="position:absolute;margin-left:51.30pt;margin-top:0.00pt;mso-position-horizontal-relative:page;mso-position-vertical-relative:margin;width:780.45pt;height:469.75pt;z-index:251658244;mso-wrap-distance-left:9.00pt;mso-wrap-distance-top:0.00pt;mso-wrap-distance-right:9.00pt;mso-wrap-distance-bottom:0.00pt;mso-wrap-style:none" o:allowincell="f" stroked="f" filled="f" v:ext="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QAAABAggAAAAAAAAAAAAAAAAAAAAAAAAIEAAAAAAAAAQAAAAAAAAD5PAAAsyQAAAQAAACWAwAApQYAACgAAAAIAAAAAgAAAAEAAAA=" o:insetmode="custom">
                <w10:wrap type="square" anchorx="page" anchory="margin"/>
                <v:textbox inset="0.0pt,0.0pt,0.6pt,0.6pt" style="mso-next-textbox:#Текстовое поле6">
                  <w:txbxContent/>
                </v:textbox>
              </v:shape>
            </w:pict>
          </mc:Fallback>
        </mc:AlternateContent>
      </w:r>
    </w:p>
    <w:p>
      <w:pPr>
        <w:pageBreakBefore/>
      </w:pPr>
      <w:r>
        <mc:AlternateContent>
          <mc:Choice Requires="wps">
            <w:drawing>
              <wp:anchor distT="0" distB="0" distL="114300" distR="114300" simplePos="0" relativeHeight="251658243" behindDoc="0" locked="0" layoutInCell="0" hidden="0" allowOverlap="1">
                <wp:simplePos x="0" y="0"/>
                <wp:positionH relativeFrom="page">
                  <wp:posOffset>651510</wp:posOffset>
                </wp:positionH>
                <wp:positionV relativeFrom="margin">
                  <wp:posOffset>0</wp:posOffset>
                </wp:positionV>
                <wp:extent cx="9911715" cy="5965825"/>
                <wp:effectExtent l="0" t="0" r="0" b="0"/>
                <wp:wrapSquare wrapText="bothSides"/>
                <wp:docPr id="3" name="Текстовое поле6"/>
                <wp:cNvGraphicFramePr/>
                <a:graphic xmlns:a="http://schemas.openxmlformats.org/drawingml/2006/main">
                  <a:graphicData uri="http://schemas.microsoft.com/office/word/2010/wordprocessingShape">
                    <wps:wsp>
                      <wps:cNvSpPr txBox="1">
                        <a:extLst>
                          <a:ext uri="smNativeData">
                            <sm:smNativeData xmlns:sm="smNativeData" val="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UAAABAggAAAAAAAAAAAAAAAAAAAAAAAAIEAAAAAAAAAQAAAAAAAAD5PAAAsyQAAAUAAACWAwAApQYAACgAAAAIAAAAAgAAAAEAAAA="/>
                          </a:ext>
                        </a:extLst>
                      </wps:cNvSpPr>
                      <wps:spPr>
                        <a:xfrm>
                          <a:off x="0" y="0"/>
                          <a:ext cx="9911715" cy="5965825"/>
                        </a:xfrm>
                        <a:prstGeom prst="rect">
                          <a:avLst/>
                        </a:prstGeom>
                        <a:noFill/>
                        <a:ln w="12700">
                          <a:noFill/>
                        </a:ln>
                      </wps:spPr>
                      <wps:linkedTxbx id="1" seq="5"/>
                      <wps:bodyPr spcFirstLastPara="1" vertOverflow="clip" horzOverflow="clip" wrap="none" lIns="0" tIns="0" rIns="6985" bIns="6985" upright="1">
                        <a:noAutofit/>
                      </wps:bodyPr>
                    </wps:wsp>
                  </a:graphicData>
                </a:graphic>
              </wp:anchor>
            </w:drawing>
          </mc:Choice>
          <mc:Fallback>
            <w:pict>
              <v:shape id="Текстовое поле6" o:spid="_x0000_s1030" type="#_x0000_t202" style="position:absolute;margin-left:51.30pt;margin-top:0.00pt;mso-position-horizontal-relative:page;mso-position-vertical-relative:margin;width:780.45pt;height:469.75pt;z-index:251658243;mso-wrap-distance-left:9.00pt;mso-wrap-distance-top:0.00pt;mso-wrap-distance-right:9.00pt;mso-wrap-distance-bottom:0.00pt;mso-wrap-style:none" o:allowincell="f" stroked="f" filled="f" v:ext="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UAAABAggAAAAAAAAAAAAAAAAAAAAAAAAIEAAAAAAAAAQAAAAAAAAD5PAAAsyQAAAUAAACWAwAApQYAACgAAAAIAAAAAgAAAAEAAAA=" o:insetmode="custom">
                <w10:wrap type="square" anchorx="page" anchory="margin"/>
                <v:textbox inset="0.0pt,0.0pt,0.6pt,0.6pt" style="mso-next-textbox:#Текстовое поле7">
                  <w:txbxContent/>
                </v:textbox>
              </v:shape>
            </w:pict>
          </mc:Fallback>
        </mc:AlternateContent>
      </w:r>
    </w:p>
    <w:p>
      <w:pPr>
        <w:pageBreakBefore/>
      </w:pPr>
      <w:r>
        <mc:AlternateContent>
          <mc:Choice Requires="wps">
            <w:drawing>
              <wp:anchor distT="0" distB="0" distL="114300" distR="114300" simplePos="0" relativeHeight="251658242" behindDoc="0" locked="0" layoutInCell="0" hidden="0" allowOverlap="1">
                <wp:simplePos x="0" y="0"/>
                <wp:positionH relativeFrom="page">
                  <wp:posOffset>651510</wp:posOffset>
                </wp:positionH>
                <wp:positionV relativeFrom="margin">
                  <wp:posOffset>0</wp:posOffset>
                </wp:positionV>
                <wp:extent cx="9911715" cy="5965825"/>
                <wp:effectExtent l="0" t="0" r="0" b="0"/>
                <wp:wrapSquare wrapText="bothSides"/>
                <wp:docPr id="2" name="Текстовое поле7"/>
                <wp:cNvGraphicFramePr/>
                <a:graphic xmlns:a="http://schemas.openxmlformats.org/drawingml/2006/main">
                  <a:graphicData uri="http://schemas.microsoft.com/office/word/2010/wordprocessingShape">
                    <wps:wsp>
                      <wps:cNvSpPr txBox="1">
                        <a:extLst>
                          <a:ext uri="smNativeData">
                            <sm:smNativeData xmlns:sm="smNativeData" val="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YAAABAggAAAAAAAAAAAAAAAAAAAAAAAAIEAAAAAAAAAQAAAAAAAAD5PAAAsyQAAAYAAACWAwAApQYAACgAAAAIAAAAAgAAAAEAAAA="/>
                          </a:ext>
                        </a:extLst>
                      </wps:cNvSpPr>
                      <wps:spPr>
                        <a:xfrm>
                          <a:off x="0" y="0"/>
                          <a:ext cx="9911715" cy="5965825"/>
                        </a:xfrm>
                        <a:prstGeom prst="rect">
                          <a:avLst/>
                        </a:prstGeom>
                        <a:noFill/>
                        <a:ln w="12700">
                          <a:noFill/>
                        </a:ln>
                      </wps:spPr>
                      <wps:linkedTxbx id="1" seq="6"/>
                      <wps:bodyPr spcFirstLastPara="1" vertOverflow="clip" horzOverflow="clip" wrap="none" lIns="0" tIns="0" rIns="6985" bIns="6985" upright="1">
                        <a:noAutofit/>
                      </wps:bodyPr>
                    </wps:wsp>
                  </a:graphicData>
                </a:graphic>
              </wp:anchor>
            </w:drawing>
          </mc:Choice>
          <mc:Fallback>
            <w:pict>
              <v:shape id="Текстовое поле7" o:spid="_x0000_s1031" type="#_x0000_t202" style="position:absolute;margin-left:51.30pt;margin-top:0.00pt;mso-position-horizontal-relative:page;mso-position-vertical-relative:margin;width:780.45pt;height:469.75pt;z-index:251658242;mso-wrap-distance-left:9.00pt;mso-wrap-distance-top:0.00pt;mso-wrap-distance-right:9.00pt;mso-wrap-distance-bottom:0.00pt;mso-wrap-style:none" o:allowincell="f" stroked="f" filled="f" v:ext="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YAAABAggAAAAAAAAAAAAAAAAAAAAAAAAIEAAAAAAAAAQAAAAAAAAD5PAAAsyQAAAYAAACWAwAApQYAACgAAAAIAAAAAgAAAAEAAAA=" o:insetmode="custom">
                <w10:wrap type="square" anchorx="page" anchory="margin"/>
                <v:textbox inset="0.0pt,0.0pt,0.6pt,0.6pt" style="mso-next-textbox:#Текстовое поле8">
                  <w:txbxContent/>
                </v:textbox>
              </v:shape>
            </w:pict>
          </mc:Fallback>
        </mc:AlternateContent>
      </w:r>
    </w:p>
    <w:p>
      <w:pPr>
        <w:pageBreakBefore/>
      </w:pPr>
      <w:r>
        <mc:AlternateContent>
          <mc:Choice Requires="wps">
            <w:drawing>
              <wp:anchor distT="0" distB="0" distL="114300" distR="114300" simplePos="0" relativeHeight="251658241" behindDoc="0" locked="0" layoutInCell="0" hidden="0" allowOverlap="1">
                <wp:simplePos x="0" y="0"/>
                <wp:positionH relativeFrom="page">
                  <wp:posOffset>651510</wp:posOffset>
                </wp:positionH>
                <wp:positionV relativeFrom="margin">
                  <wp:posOffset>0</wp:posOffset>
                </wp:positionV>
                <wp:extent cx="9911715" cy="4348480"/>
                <wp:effectExtent l="0" t="0" r="0" b="0"/>
                <wp:wrapSquare wrapText="bothSides"/>
                <wp:docPr id="1" name="Текстовое поле8"/>
                <wp:cNvGraphicFramePr/>
                <a:graphic xmlns:a="http://schemas.openxmlformats.org/drawingml/2006/main">
                  <a:graphicData uri="http://schemas.microsoft.com/office/word/2010/wordprocessingShape">
                    <wps:wsp>
                      <wps:cNvSpPr txBox="1">
                        <a:extLst>
                          <a:ext uri="smNativeData">
                            <sm:smNativeData xmlns:sm="smNativeData" val="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cAAABIggAAAAAAAAAAAAAAAAAAAAAAAAIEAAAAAAAAAQAAAAAAAAD5PAAAwBoAAAcAAACWAwAApQYAACgAAAAIAAAAAgAAAAEAAAA="/>
                          </a:ext>
                        </a:extLst>
                      </wps:cNvSpPr>
                      <wps:spPr>
                        <a:xfrm>
                          <a:off x="0" y="0"/>
                          <a:ext cx="9911715" cy="4348480"/>
                        </a:xfrm>
                        <a:prstGeom prst="rect">
                          <a:avLst/>
                        </a:prstGeom>
                        <a:noFill/>
                        <a:ln w="12700">
                          <a:noFill/>
                        </a:ln>
                      </wps:spPr>
                      <wps:linkedTxbx id="1" seq="7"/>
                      <wps:bodyPr spcFirstLastPara="1" vertOverflow="clip" horzOverflow="clip" wrap="none" lIns="0" tIns="0" rIns="6985" bIns="6985" upright="1">
                        <a:noAutofit/>
                      </wps:bodyPr>
                    </wps:wsp>
                  </a:graphicData>
                </a:graphic>
              </wp:anchor>
            </w:drawing>
          </mc:Choice>
          <mc:Fallback>
            <w:pict>
              <v:shape id="Текстовое поле8" o:spid="_x0000_s1032" type="#_x0000_t202" style="position:absolute;margin-left:51.30pt;margin-top:0.00pt;mso-position-horizontal-relative:page;mso-position-vertical-relative:margin;width:780.45pt;height:342.40pt;z-index:251658241;mso-wrap-distance-left:9.00pt;mso-wrap-distance-top:0.00pt;mso-wrap-distance-right:9.00pt;mso-wrap-distance-bottom:0.00pt;mso-wrap-style:none" o:allowincell="f" stroked="f" filled="f" v:ext="SMDATA_14_OEZxaRMAAAAlAAAAEgAAAM0AAAAAAAAAAAAAAAALAAAACw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cAAABIggAAAAAAAAAAAAAAAAAAAAAAAAIEAAAAAAAAAQAAAAAAAAD5PAAAwBoAAAcAAACWAwAApQYAACgAAAAIAAAAAgAAAAEAAAA=" o:insetmode="custom">
                <w10:wrap type="square" anchorx="page" anchory="margin"/>
                <v:textbox inset="0.0pt,0.0pt,0.6pt,0.6pt">
                  <w:txbxContent/>
                </v:textbox>
              </v:shape>
            </w:pict>
          </mc:Fallback>
        </mc:AlternateContent>
      </w:r>
    </w:p>
    <w:sectPr>
      <w:footnotePr>
        <w:pos w:val="pageBottom"/>
        <w:numFmt w:val="decimal"/>
        <w:numStart w:val="1"/>
        <w:numRestart w:val="continuous"/>
      </w:footnotePr>
      <w:endnotePr>
        <w:pos w:val="docEnd"/>
        <w:numFmt w:val="lowerRoman"/>
        <w:numStart w:val="1"/>
        <w:numRestart w:val="continuous"/>
      </w:endnotePr>
      <w:type w:val="nextPage"/>
      <w:pgSz w:h="11906" w:w="16838" w:orient="landscape"/>
      <w:pgMar w:left="1134" w:top="1701" w:right="1134" w:bottom="850" w:header="0" w:footer="0"/>
      <w:paperSrc w:first="0" w:other="0"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Calibri">
    <w:panose1 w:val="020F0502020204030204"/>
    <w:charset w:val="cc"/>
    <w:family w:val="swiss"/>
    <w:pitch w:val="default"/>
  </w:font>
  <w:font w:name="Calibri Light">
    <w:panose1 w:val="020F030202020403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view w:val="print"/>
  <w:defaultTabStop w:val="708"/>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3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45"/>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71"/>
    <w:tmLastPosCaret>
      <w:tmLastPosPgfIdx w:val="0"/>
      <w:tmLastPosIdx w:val="3"/>
    </w:tmLastPosCaret>
    <w:tmLastPosAnchor>
      <w:tmLastPosPgfIdx w:val="0"/>
      <w:tmLastPosIdx w:val="0"/>
    </w:tmLastPosAnchor>
    <w:tmLastPosTblRect w:left="0" w:top="0" w:right="0" w:bottom="0"/>
  </w:tmLastPos>
  <w:tmAppRevision w:date="1769031224" w:val="106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ru-ru"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val="ro-ro"/>
    </w:rPr>
  </w:style>
  <w:style w:type="paragraph" w:styleId="para1">
    <w:name w:val="heading 2"/>
    <w:qFormat/>
    <w:basedOn w:val="para0"/>
    <w:next w:val="para0"/>
    <w:pPr>
      <w:spacing w:before="200"/>
      <w:keepNext/>
      <w:outlineLvl w:val="1"/>
      <w:keepLines/>
    </w:pPr>
    <w:rPr>
      <w:rFonts w:ascii="Calibri Light" w:hAnsi="Calibri Light" w:eastAsia="Calibri Light" w:cs="Calibri Light"/>
      <w:b/>
      <w:bCs/>
      <w:color w:val="5b9bd5"/>
      <w:sz w:val="26"/>
      <w:szCs w:val="26"/>
    </w:rPr>
  </w:style>
  <w:style w:type="character" w:styleId="char0" w:default="1">
    <w:name w:val="Default Paragraph Font"/>
  </w:style>
  <w:style w:type="character" w:styleId="char1" w:customStyle="1">
    <w:name w:val="Заголовок 2 Знак"/>
    <w:basedOn w:val="char0"/>
    <w:rPr>
      <w:rFonts w:ascii="Calibri Light" w:hAnsi="Calibri Light" w:eastAsia="Calibri Light" w:cs="Calibri Light"/>
      <w:b/>
      <w:bCs/>
      <w:color w:val="5b9bd5"/>
      <w:sz w:val="26"/>
      <w:szCs w:val="26"/>
      <w:lang w:val="ro-ro"/>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ru-ru"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val="ro-ro"/>
    </w:rPr>
  </w:style>
  <w:style w:type="paragraph" w:styleId="para1">
    <w:name w:val="heading 2"/>
    <w:qFormat/>
    <w:basedOn w:val="para0"/>
    <w:next w:val="para0"/>
    <w:pPr>
      <w:spacing w:before="200"/>
      <w:keepNext/>
      <w:outlineLvl w:val="1"/>
      <w:keepLines/>
    </w:pPr>
    <w:rPr>
      <w:rFonts w:ascii="Calibri Light" w:hAnsi="Calibri Light" w:eastAsia="Calibri Light" w:cs="Calibri Light"/>
      <w:b/>
      <w:bCs/>
      <w:color w:val="5b9bd5"/>
      <w:sz w:val="26"/>
      <w:szCs w:val="26"/>
    </w:rPr>
  </w:style>
  <w:style w:type="character" w:styleId="char0" w:default="1">
    <w:name w:val="Default Paragraph Font"/>
  </w:style>
  <w:style w:type="character" w:styleId="char1" w:customStyle="1">
    <w:name w:val="Заголовок 2 Знак"/>
    <w:basedOn w:val="char0"/>
    <w:rPr>
      <w:rFonts w:ascii="Calibri Light" w:hAnsi="Calibri Light" w:eastAsia="Calibri Light" w:cs="Calibri Light"/>
      <w:b/>
      <w:bCs/>
      <w:color w:val="5b9bd5"/>
      <w:sz w:val="26"/>
      <w:szCs w:val="26"/>
      <w:lang w:val="ro-ro"/>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Calibri Light"/>
        <a:cs typeface="Calibri Light"/>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
  <cp:revision>45</cp:revision>
  <dcterms:created xsi:type="dcterms:W3CDTF">2021-11-08T12:05:00Z</dcterms:created>
  <dcterms:modified xsi:type="dcterms:W3CDTF">2026-01-21T21:33:44Z</dcterms:modified>
</cp:coreProperties>
</file>