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45A32" w14:textId="77777777" w:rsidR="00725B5A" w:rsidRDefault="00725B5A" w:rsidP="00405669">
      <w:pPr>
        <w:jc w:val="right"/>
        <w:rPr>
          <w:rFonts w:ascii="Times New Roman" w:hAnsi="Times New Roman" w:cs="Times New Roman"/>
          <w:lang w:val="ro-RO"/>
        </w:rPr>
      </w:pPr>
    </w:p>
    <w:p w14:paraId="035C86C5" w14:textId="21B75390" w:rsidR="00405669" w:rsidRPr="00405669" w:rsidRDefault="00405669" w:rsidP="00405669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405669">
        <w:rPr>
          <w:rFonts w:ascii="Times New Roman" w:hAnsi="Times New Roman" w:cs="Times New Roman"/>
          <w:sz w:val="24"/>
          <w:szCs w:val="24"/>
          <w:lang w:val="ro-RO"/>
        </w:rPr>
        <w:t>Anexa nr. 1</w:t>
      </w:r>
    </w:p>
    <w:p w14:paraId="4FDDD953" w14:textId="11D9DD24" w:rsidR="00405669" w:rsidRPr="00405669" w:rsidRDefault="00405669" w:rsidP="00405669">
      <w:pPr>
        <w:jc w:val="center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05669">
        <w:rPr>
          <w:rFonts w:ascii="Times New Roman" w:hAnsi="Times New Roman" w:cs="Times New Roman"/>
          <w:i/>
          <w:iCs/>
          <w:sz w:val="28"/>
          <w:szCs w:val="28"/>
          <w:lang w:val="ro-RO"/>
        </w:rPr>
        <w:t>La Anunțul de participare inclusiv pentru Procedurile de preselecție/procedurile negociate</w:t>
      </w:r>
    </w:p>
    <w:p w14:paraId="7D073C22" w14:textId="77777777" w:rsidR="00405669" w:rsidRPr="00405669" w:rsidRDefault="00405669" w:rsidP="00405669">
      <w:pPr>
        <w:jc w:val="center"/>
        <w:rPr>
          <w:rFonts w:ascii="Times New Roman" w:hAnsi="Times New Roman" w:cs="Times New Roman"/>
          <w:lang w:val="ro-RO"/>
        </w:rPr>
      </w:pPr>
    </w:p>
    <w:p w14:paraId="0B9508A8" w14:textId="181864A8" w:rsidR="00725B5A" w:rsidRPr="00405669" w:rsidRDefault="00725B5A" w:rsidP="00405669">
      <w:pPr>
        <w:pStyle w:val="Titlu1"/>
        <w:numPr>
          <w:ilvl w:val="0"/>
          <w:numId w:val="10"/>
        </w:numPr>
        <w:rPr>
          <w:rFonts w:ascii="Times New Roman" w:hAnsi="Times New Roman" w:cs="Times New Roman"/>
          <w:lang w:val="ro-RO"/>
        </w:rPr>
      </w:pPr>
      <w:r w:rsidRPr="00405669">
        <w:rPr>
          <w:rFonts w:ascii="Times New Roman" w:hAnsi="Times New Roman" w:cs="Times New Roman"/>
          <w:lang w:val="ro-RO"/>
        </w:rPr>
        <w:t>Matricea de implementare și evaluare pe capitole ToR</w:t>
      </w:r>
    </w:p>
    <w:p w14:paraId="541EA6CD" w14:textId="49C3D113" w:rsidR="00405669" w:rsidRPr="00405669" w:rsidRDefault="00405669" w:rsidP="00405669">
      <w:pPr>
        <w:rPr>
          <w:rFonts w:ascii="Times New Roman" w:hAnsi="Times New Roman" w:cs="Times New Roman"/>
          <w:lang w:val="ro-RO"/>
        </w:rPr>
      </w:pPr>
      <w:r w:rsidRPr="00405669">
        <w:rPr>
          <w:rFonts w:ascii="Times New Roman" w:hAnsi="Times New Roman" w:cs="Times New Roman"/>
          <w:lang w:val="ro-RO"/>
        </w:rPr>
        <w:t>Operatorul economic va completa pe fiecare Capitol de mai jos, următoarele aspecte:</w:t>
      </w:r>
    </w:p>
    <w:p w14:paraId="36F1E69B" w14:textId="77777777" w:rsidR="00405669" w:rsidRPr="00405669" w:rsidRDefault="00405669" w:rsidP="00405669">
      <w:pPr>
        <w:ind w:firstLine="426"/>
        <w:rPr>
          <w:rFonts w:ascii="Times New Roman" w:hAnsi="Times New Roman" w:cs="Times New Roman"/>
          <w:lang w:val="ro-RO"/>
        </w:rPr>
      </w:pPr>
      <w:r w:rsidRPr="00405669">
        <w:rPr>
          <w:rFonts w:ascii="Times New Roman" w:hAnsi="Times New Roman" w:cs="Times New Roman"/>
          <w:lang w:val="ro-RO"/>
        </w:rPr>
        <w:t>-</w:t>
      </w:r>
      <w:r w:rsidRPr="00405669">
        <w:rPr>
          <w:rFonts w:ascii="Times New Roman" w:hAnsi="Times New Roman" w:cs="Times New Roman"/>
          <w:lang w:val="ro-RO"/>
        </w:rPr>
        <w:tab/>
        <w:t>Metodologie / abordare</w:t>
      </w:r>
      <w:r w:rsidRPr="00405669">
        <w:rPr>
          <w:rFonts w:ascii="Times New Roman" w:hAnsi="Times New Roman" w:cs="Times New Roman"/>
          <w:lang w:val="ro-RO"/>
        </w:rPr>
        <w:tab/>
      </w:r>
    </w:p>
    <w:p w14:paraId="7928A3DE" w14:textId="77777777" w:rsidR="00405669" w:rsidRPr="00405669" w:rsidRDefault="00405669" w:rsidP="00405669">
      <w:pPr>
        <w:ind w:firstLine="426"/>
        <w:rPr>
          <w:rFonts w:ascii="Times New Roman" w:hAnsi="Times New Roman" w:cs="Times New Roman"/>
          <w:lang w:val="ro-RO"/>
        </w:rPr>
      </w:pPr>
      <w:r w:rsidRPr="00405669">
        <w:rPr>
          <w:rFonts w:ascii="Times New Roman" w:hAnsi="Times New Roman" w:cs="Times New Roman"/>
          <w:lang w:val="ro-RO"/>
        </w:rPr>
        <w:t>-</w:t>
      </w:r>
      <w:r w:rsidRPr="00405669">
        <w:rPr>
          <w:rFonts w:ascii="Times New Roman" w:hAnsi="Times New Roman" w:cs="Times New Roman"/>
          <w:lang w:val="ro-RO"/>
        </w:rPr>
        <w:tab/>
        <w:t>Procese de lucru</w:t>
      </w:r>
      <w:r w:rsidRPr="00405669">
        <w:rPr>
          <w:rFonts w:ascii="Times New Roman" w:hAnsi="Times New Roman" w:cs="Times New Roman"/>
          <w:lang w:val="ro-RO"/>
        </w:rPr>
        <w:tab/>
      </w:r>
    </w:p>
    <w:p w14:paraId="27237A81" w14:textId="77777777" w:rsidR="00405669" w:rsidRPr="00405669" w:rsidRDefault="00405669" w:rsidP="00405669">
      <w:pPr>
        <w:ind w:firstLine="426"/>
        <w:rPr>
          <w:rFonts w:ascii="Times New Roman" w:hAnsi="Times New Roman" w:cs="Times New Roman"/>
          <w:lang w:val="ro-RO"/>
        </w:rPr>
      </w:pPr>
      <w:r w:rsidRPr="00405669">
        <w:rPr>
          <w:rFonts w:ascii="Times New Roman" w:hAnsi="Times New Roman" w:cs="Times New Roman"/>
          <w:lang w:val="ro-RO"/>
        </w:rPr>
        <w:t>-</w:t>
      </w:r>
      <w:r w:rsidRPr="00405669">
        <w:rPr>
          <w:rFonts w:ascii="Times New Roman" w:hAnsi="Times New Roman" w:cs="Times New Roman"/>
          <w:lang w:val="ro-RO"/>
        </w:rPr>
        <w:tab/>
        <w:t>Teste de realizat</w:t>
      </w:r>
      <w:r w:rsidRPr="00405669">
        <w:rPr>
          <w:rFonts w:ascii="Times New Roman" w:hAnsi="Times New Roman" w:cs="Times New Roman"/>
          <w:lang w:val="ro-RO"/>
        </w:rPr>
        <w:tab/>
      </w:r>
    </w:p>
    <w:p w14:paraId="171F6E46" w14:textId="77777777" w:rsidR="00405669" w:rsidRPr="00405669" w:rsidRDefault="00405669" w:rsidP="00405669">
      <w:pPr>
        <w:ind w:firstLine="426"/>
        <w:rPr>
          <w:rFonts w:ascii="Times New Roman" w:hAnsi="Times New Roman" w:cs="Times New Roman"/>
          <w:lang w:val="ro-RO"/>
        </w:rPr>
      </w:pPr>
      <w:r w:rsidRPr="00405669">
        <w:rPr>
          <w:rFonts w:ascii="Times New Roman" w:hAnsi="Times New Roman" w:cs="Times New Roman"/>
          <w:lang w:val="ro-RO"/>
        </w:rPr>
        <w:t>-</w:t>
      </w:r>
      <w:r w:rsidRPr="00405669">
        <w:rPr>
          <w:rFonts w:ascii="Times New Roman" w:hAnsi="Times New Roman" w:cs="Times New Roman"/>
          <w:lang w:val="ro-RO"/>
        </w:rPr>
        <w:tab/>
        <w:t>Responsabil (rol din echipă)</w:t>
      </w:r>
      <w:r w:rsidRPr="00405669">
        <w:rPr>
          <w:rFonts w:ascii="Times New Roman" w:hAnsi="Times New Roman" w:cs="Times New Roman"/>
          <w:lang w:val="ro-RO"/>
        </w:rPr>
        <w:tab/>
      </w:r>
    </w:p>
    <w:p w14:paraId="2BD62AE1" w14:textId="77777777" w:rsidR="00405669" w:rsidRPr="00405669" w:rsidRDefault="00405669" w:rsidP="00405669">
      <w:pPr>
        <w:ind w:firstLine="426"/>
        <w:rPr>
          <w:rFonts w:ascii="Times New Roman" w:hAnsi="Times New Roman" w:cs="Times New Roman"/>
          <w:lang w:val="ro-RO"/>
        </w:rPr>
      </w:pPr>
      <w:r w:rsidRPr="00405669">
        <w:rPr>
          <w:rFonts w:ascii="Times New Roman" w:hAnsi="Times New Roman" w:cs="Times New Roman"/>
          <w:lang w:val="ro-RO"/>
        </w:rPr>
        <w:t>-</w:t>
      </w:r>
      <w:r w:rsidRPr="00405669">
        <w:rPr>
          <w:rFonts w:ascii="Times New Roman" w:hAnsi="Times New Roman" w:cs="Times New Roman"/>
          <w:lang w:val="ro-RO"/>
        </w:rPr>
        <w:tab/>
        <w:t>Termen de realizare</w:t>
      </w:r>
      <w:r w:rsidRPr="00405669">
        <w:rPr>
          <w:rFonts w:ascii="Times New Roman" w:hAnsi="Times New Roman" w:cs="Times New Roman"/>
          <w:lang w:val="ro-RO"/>
        </w:rPr>
        <w:tab/>
      </w:r>
    </w:p>
    <w:p w14:paraId="5237BD19" w14:textId="77777777" w:rsidR="00405669" w:rsidRPr="00405669" w:rsidRDefault="00405669" w:rsidP="00405669">
      <w:pPr>
        <w:ind w:firstLine="426"/>
        <w:rPr>
          <w:rFonts w:ascii="Times New Roman" w:hAnsi="Times New Roman" w:cs="Times New Roman"/>
          <w:lang w:val="ro-RO"/>
        </w:rPr>
      </w:pPr>
      <w:r w:rsidRPr="00405669">
        <w:rPr>
          <w:rFonts w:ascii="Times New Roman" w:hAnsi="Times New Roman" w:cs="Times New Roman"/>
          <w:lang w:val="ro-RO"/>
        </w:rPr>
        <w:t>-</w:t>
      </w:r>
      <w:r w:rsidRPr="00405669">
        <w:rPr>
          <w:rFonts w:ascii="Times New Roman" w:hAnsi="Times New Roman" w:cs="Times New Roman"/>
          <w:lang w:val="ro-RO"/>
        </w:rPr>
        <w:tab/>
        <w:t>Livrabile</w:t>
      </w:r>
      <w:r w:rsidRPr="00405669">
        <w:rPr>
          <w:rFonts w:ascii="Times New Roman" w:hAnsi="Times New Roman" w:cs="Times New Roman"/>
          <w:lang w:val="ro-RO"/>
        </w:rPr>
        <w:tab/>
      </w:r>
    </w:p>
    <w:p w14:paraId="1FBC5DFA" w14:textId="3F5E4D3C" w:rsidR="00405669" w:rsidRPr="00405669" w:rsidRDefault="00405669" w:rsidP="00405669">
      <w:pPr>
        <w:ind w:firstLine="426"/>
        <w:rPr>
          <w:rFonts w:ascii="Times New Roman" w:hAnsi="Times New Roman" w:cs="Times New Roman"/>
          <w:lang w:val="ro-RO"/>
        </w:rPr>
      </w:pPr>
      <w:r w:rsidRPr="00405669">
        <w:rPr>
          <w:rFonts w:ascii="Times New Roman" w:hAnsi="Times New Roman" w:cs="Times New Roman"/>
          <w:lang w:val="ro-RO"/>
        </w:rPr>
        <w:t>-</w:t>
      </w:r>
      <w:r w:rsidRPr="00405669">
        <w:rPr>
          <w:rFonts w:ascii="Times New Roman" w:hAnsi="Times New Roman" w:cs="Times New Roman"/>
          <w:lang w:val="ro-RO"/>
        </w:rPr>
        <w:tab/>
        <w:t>Alte aspecte relevante</w:t>
      </w:r>
    </w:p>
    <w:p w14:paraId="0CD51459" w14:textId="77777777" w:rsidR="00405669" w:rsidRPr="00405669" w:rsidRDefault="00405669" w:rsidP="00405669">
      <w:pPr>
        <w:ind w:firstLine="426"/>
        <w:rPr>
          <w:rFonts w:ascii="Times New Roman" w:hAnsi="Times New Roman" w:cs="Times New Roman"/>
          <w:lang w:val="ro-RO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675"/>
        <w:gridCol w:w="2552"/>
        <w:gridCol w:w="5245"/>
        <w:gridCol w:w="6095"/>
      </w:tblGrid>
      <w:tr w:rsidR="00405669" w:rsidRPr="00405669" w14:paraId="6871A0CC" w14:textId="77777777" w:rsidTr="00405669">
        <w:trPr>
          <w:tblHeader/>
        </w:trPr>
        <w:tc>
          <w:tcPr>
            <w:tcW w:w="675" w:type="dxa"/>
            <w:shd w:val="clear" w:color="auto" w:fill="D9E2F3"/>
            <w:vAlign w:val="center"/>
          </w:tcPr>
          <w:p w14:paraId="6F79DC5C" w14:textId="77777777" w:rsidR="00405669" w:rsidRPr="00405669" w:rsidRDefault="00405669" w:rsidP="009D591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05669">
              <w:rPr>
                <w:rFonts w:ascii="Times New Roman" w:hAnsi="Times New Roman" w:cs="Times New Roman"/>
                <w:b/>
                <w:sz w:val="16"/>
                <w:lang w:val="ro-RO"/>
              </w:rPr>
              <w:t>Nr.</w:t>
            </w:r>
          </w:p>
        </w:tc>
        <w:tc>
          <w:tcPr>
            <w:tcW w:w="2552" w:type="dxa"/>
            <w:shd w:val="clear" w:color="auto" w:fill="D9E2F3"/>
            <w:vAlign w:val="center"/>
          </w:tcPr>
          <w:p w14:paraId="3107B2A1" w14:textId="77777777" w:rsidR="00405669" w:rsidRPr="00405669" w:rsidRDefault="00405669" w:rsidP="009D591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05669">
              <w:rPr>
                <w:rFonts w:ascii="Times New Roman" w:hAnsi="Times New Roman" w:cs="Times New Roman"/>
                <w:b/>
                <w:sz w:val="16"/>
                <w:lang w:val="ro-RO"/>
              </w:rPr>
              <w:t>Capitol / secțiune ToR</w:t>
            </w:r>
          </w:p>
        </w:tc>
        <w:tc>
          <w:tcPr>
            <w:tcW w:w="5245" w:type="dxa"/>
            <w:shd w:val="clear" w:color="auto" w:fill="D9E2F3"/>
            <w:vAlign w:val="center"/>
          </w:tcPr>
          <w:p w14:paraId="0F5C920C" w14:textId="77777777" w:rsidR="00405669" w:rsidRPr="00405669" w:rsidRDefault="00405669" w:rsidP="009D591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05669">
              <w:rPr>
                <w:rFonts w:ascii="Times New Roman" w:hAnsi="Times New Roman" w:cs="Times New Roman"/>
                <w:b/>
                <w:sz w:val="16"/>
                <w:lang w:val="ro-RO"/>
              </w:rPr>
              <w:t>Componente de implementat</w:t>
            </w:r>
          </w:p>
        </w:tc>
        <w:tc>
          <w:tcPr>
            <w:tcW w:w="6095" w:type="dxa"/>
            <w:shd w:val="clear" w:color="auto" w:fill="D9E2F3"/>
            <w:vAlign w:val="center"/>
          </w:tcPr>
          <w:p w14:paraId="6D5B9BBE" w14:textId="78F1E0BE" w:rsidR="00405669" w:rsidRPr="00405669" w:rsidRDefault="00405669" w:rsidP="009D591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05669">
              <w:rPr>
                <w:rFonts w:ascii="Times New Roman" w:hAnsi="Times New Roman" w:cs="Times New Roman"/>
                <w:b/>
                <w:sz w:val="16"/>
                <w:lang w:val="ro-RO"/>
              </w:rPr>
              <w:t>Spre completare de către ofertant</w:t>
            </w:r>
          </w:p>
        </w:tc>
      </w:tr>
      <w:tr w:rsidR="00405669" w:rsidRPr="00405669" w14:paraId="350DEB68" w14:textId="77777777" w:rsidTr="00405669">
        <w:tc>
          <w:tcPr>
            <w:tcW w:w="675" w:type="dxa"/>
            <w:vAlign w:val="center"/>
          </w:tcPr>
          <w:p w14:paraId="6A329E61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</w:t>
            </w:r>
          </w:p>
        </w:tc>
        <w:tc>
          <w:tcPr>
            <w:tcW w:w="2552" w:type="dxa"/>
            <w:vAlign w:val="center"/>
          </w:tcPr>
          <w:p w14:paraId="32F2DB2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3.1 — Arhitectura funcțională generală</w:t>
            </w:r>
          </w:p>
        </w:tc>
        <w:tc>
          <w:tcPr>
            <w:tcW w:w="5245" w:type="dxa"/>
            <w:vAlign w:val="center"/>
          </w:tcPr>
          <w:p w14:paraId="29CD96C6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Separare FO / BO / strat integrare / servicii comune / strat date / raportare</w:t>
            </w:r>
          </w:p>
          <w:p w14:paraId="4F1DE13A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Arhitectură funcțională,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aplicațională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, de integrare, de date, de securitate, de implementare</w:t>
            </w:r>
          </w:p>
        </w:tc>
        <w:tc>
          <w:tcPr>
            <w:tcW w:w="6095" w:type="dxa"/>
            <w:vAlign w:val="center"/>
          </w:tcPr>
          <w:p w14:paraId="315C43F5" w14:textId="4C8B683D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76C71EFC" w14:textId="77777777" w:rsidTr="00405669">
        <w:tc>
          <w:tcPr>
            <w:tcW w:w="675" w:type="dxa"/>
            <w:vAlign w:val="center"/>
          </w:tcPr>
          <w:p w14:paraId="720CB212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2</w:t>
            </w:r>
          </w:p>
        </w:tc>
        <w:tc>
          <w:tcPr>
            <w:tcW w:w="2552" w:type="dxa"/>
            <w:vAlign w:val="center"/>
          </w:tcPr>
          <w:p w14:paraId="6C184CB4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3.2 — Componenta Front Office</w:t>
            </w:r>
          </w:p>
        </w:tc>
        <w:tc>
          <w:tcPr>
            <w:tcW w:w="5245" w:type="dxa"/>
            <w:vAlign w:val="center"/>
          </w:tcPr>
          <w:p w14:paraId="7B439271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Interfață publică, Cabinet Personal Digital, Cabinet Instituțional AC</w:t>
            </w:r>
          </w:p>
          <w:p w14:paraId="6A55FF65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Spațiu OE câștigător, formulare electronice, urmărire dosare/termene, notificări</w:t>
            </w:r>
          </w:p>
        </w:tc>
        <w:tc>
          <w:tcPr>
            <w:tcW w:w="6095" w:type="dxa"/>
            <w:vAlign w:val="center"/>
          </w:tcPr>
          <w:p w14:paraId="5B6A08D0" w14:textId="70475E28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72000AEC" w14:textId="77777777" w:rsidTr="00405669">
        <w:tc>
          <w:tcPr>
            <w:tcW w:w="675" w:type="dxa"/>
            <w:vAlign w:val="center"/>
          </w:tcPr>
          <w:p w14:paraId="4FFCAEC5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3</w:t>
            </w:r>
          </w:p>
        </w:tc>
        <w:tc>
          <w:tcPr>
            <w:tcW w:w="2552" w:type="dxa"/>
            <w:vAlign w:val="center"/>
          </w:tcPr>
          <w:p w14:paraId="2BC993E9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3.3 — Componenta Back Office</w:t>
            </w:r>
          </w:p>
        </w:tc>
        <w:tc>
          <w:tcPr>
            <w:tcW w:w="5245" w:type="dxa"/>
            <w:vAlign w:val="center"/>
          </w:tcPr>
          <w:p w14:paraId="6F3C0B09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Documente intrare/ieșire, Registrul Contestațiilor, dosar electronic</w:t>
            </w:r>
          </w:p>
          <w:p w14:paraId="6D805DB7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Registrul Deciziilor, Agenda Ședințelor, complete CSC, conflicte de interese, documente procesuale</w:t>
            </w:r>
          </w:p>
        </w:tc>
        <w:tc>
          <w:tcPr>
            <w:tcW w:w="6095" w:type="dxa"/>
            <w:vAlign w:val="center"/>
          </w:tcPr>
          <w:p w14:paraId="709822A6" w14:textId="45531C99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011FFA16" w14:textId="77777777" w:rsidTr="00405669">
        <w:tc>
          <w:tcPr>
            <w:tcW w:w="675" w:type="dxa"/>
            <w:vAlign w:val="center"/>
          </w:tcPr>
          <w:p w14:paraId="06AFE93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4</w:t>
            </w:r>
          </w:p>
        </w:tc>
        <w:tc>
          <w:tcPr>
            <w:tcW w:w="2552" w:type="dxa"/>
            <w:vAlign w:val="center"/>
          </w:tcPr>
          <w:p w14:paraId="2593730C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3.4 — Interfața utilizator a sistemului</w:t>
            </w:r>
          </w:p>
        </w:tc>
        <w:tc>
          <w:tcPr>
            <w:tcW w:w="5245" w:type="dxa"/>
            <w:vAlign w:val="center"/>
          </w:tcPr>
          <w:p w14:paraId="24B15B71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Interfață unitară, ergonomică, conformă Modelului Unitar de Design (HG 677/2025)</w:t>
            </w:r>
          </w:p>
        </w:tc>
        <w:tc>
          <w:tcPr>
            <w:tcW w:w="6095" w:type="dxa"/>
            <w:vAlign w:val="center"/>
          </w:tcPr>
          <w:p w14:paraId="039EE8D5" w14:textId="42AFCF8B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19B29524" w14:textId="77777777" w:rsidTr="00405669">
        <w:tc>
          <w:tcPr>
            <w:tcW w:w="675" w:type="dxa"/>
            <w:vAlign w:val="center"/>
          </w:tcPr>
          <w:p w14:paraId="42C9BEF6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5</w:t>
            </w:r>
          </w:p>
        </w:tc>
        <w:tc>
          <w:tcPr>
            <w:tcW w:w="2552" w:type="dxa"/>
            <w:vAlign w:val="center"/>
          </w:tcPr>
          <w:p w14:paraId="50AFBA36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3.5 — Interoperabilitatea și integrarea</w:t>
            </w:r>
          </w:p>
        </w:tc>
        <w:tc>
          <w:tcPr>
            <w:tcW w:w="5245" w:type="dxa"/>
            <w:vAlign w:val="center"/>
          </w:tcPr>
          <w:p w14:paraId="00877C91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Integrare FOD/PDSE,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MPass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/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MSign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/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MConnect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/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MNotify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/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MLog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/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MPay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/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MDelivery</w:t>
            </w:r>
            <w:proofErr w:type="spellEnd"/>
          </w:p>
          <w:p w14:paraId="68C27D12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Integrare SIA RSAP/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MTender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, registre de stat</w:t>
            </w:r>
          </w:p>
        </w:tc>
        <w:tc>
          <w:tcPr>
            <w:tcW w:w="6095" w:type="dxa"/>
            <w:vAlign w:val="center"/>
          </w:tcPr>
          <w:p w14:paraId="5D886DB1" w14:textId="2C5EC798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19062ECE" w14:textId="77777777" w:rsidTr="00405669">
        <w:tc>
          <w:tcPr>
            <w:tcW w:w="675" w:type="dxa"/>
            <w:vAlign w:val="center"/>
          </w:tcPr>
          <w:p w14:paraId="73105786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6</w:t>
            </w:r>
          </w:p>
        </w:tc>
        <w:tc>
          <w:tcPr>
            <w:tcW w:w="2552" w:type="dxa"/>
            <w:vAlign w:val="center"/>
          </w:tcPr>
          <w:p w14:paraId="54FA9A87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4.1 — Portalul Public / module Front Office</w:t>
            </w:r>
          </w:p>
        </w:tc>
        <w:tc>
          <w:tcPr>
            <w:tcW w:w="5245" w:type="dxa"/>
            <w:vAlign w:val="center"/>
          </w:tcPr>
          <w:p w14:paraId="2D0707C8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Modul Ședințe, modul Contestații, modul Decizii ANSC, modul Rapoarte/Vizual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Analytics</w:t>
            </w:r>
            <w:proofErr w:type="spellEnd"/>
          </w:p>
        </w:tc>
        <w:tc>
          <w:tcPr>
            <w:tcW w:w="6095" w:type="dxa"/>
            <w:vAlign w:val="center"/>
          </w:tcPr>
          <w:p w14:paraId="01C25C3A" w14:textId="23859746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44C0D1C9" w14:textId="77777777" w:rsidTr="00405669">
        <w:tc>
          <w:tcPr>
            <w:tcW w:w="675" w:type="dxa"/>
            <w:vAlign w:val="center"/>
          </w:tcPr>
          <w:p w14:paraId="1D3E4372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7</w:t>
            </w:r>
          </w:p>
        </w:tc>
        <w:tc>
          <w:tcPr>
            <w:tcW w:w="2552" w:type="dxa"/>
            <w:vAlign w:val="center"/>
          </w:tcPr>
          <w:p w14:paraId="78AE1F2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Cap. 4.2 — Componenta </w:t>
            </w: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lastRenderedPageBreak/>
              <w:t>Back Office (documente, registre, module procesuale)</w:t>
            </w:r>
          </w:p>
        </w:tc>
        <w:tc>
          <w:tcPr>
            <w:tcW w:w="5245" w:type="dxa"/>
            <w:vAlign w:val="center"/>
          </w:tcPr>
          <w:p w14:paraId="4AED80CB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lastRenderedPageBreak/>
              <w:t xml:space="preserve">Documente intrare/ieșire, Registrul Contestațiilor, Registrul </w:t>
            </w: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lastRenderedPageBreak/>
              <w:t>Deciziilor, Agenda Ședințelor, modul documente procesuale, rapoarte</w:t>
            </w:r>
          </w:p>
        </w:tc>
        <w:tc>
          <w:tcPr>
            <w:tcW w:w="6095" w:type="dxa"/>
            <w:vAlign w:val="center"/>
          </w:tcPr>
          <w:p w14:paraId="1472C7FC" w14:textId="6352E945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52ACA880" w14:textId="77777777" w:rsidTr="00405669">
        <w:tc>
          <w:tcPr>
            <w:tcW w:w="675" w:type="dxa"/>
            <w:vAlign w:val="center"/>
          </w:tcPr>
          <w:p w14:paraId="343CE137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8</w:t>
            </w:r>
          </w:p>
        </w:tc>
        <w:tc>
          <w:tcPr>
            <w:tcW w:w="2552" w:type="dxa"/>
            <w:vAlign w:val="center"/>
          </w:tcPr>
          <w:p w14:paraId="1E98C29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4.3 — Procedura operațională de soluționare a contestației</w:t>
            </w:r>
          </w:p>
        </w:tc>
        <w:tc>
          <w:tcPr>
            <w:tcW w:w="5245" w:type="dxa"/>
            <w:vAlign w:val="center"/>
          </w:tcPr>
          <w:p w14:paraId="656ECD6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Digitalizare integrală a ciclului de viață al contestației (depunere → repartizare → examinare → decizie → comunicare → arhivare)</w:t>
            </w:r>
          </w:p>
        </w:tc>
        <w:tc>
          <w:tcPr>
            <w:tcW w:w="6095" w:type="dxa"/>
            <w:vAlign w:val="center"/>
          </w:tcPr>
          <w:p w14:paraId="66CA2C53" w14:textId="27CC8ED5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457B57B5" w14:textId="77777777" w:rsidTr="00405669">
        <w:tc>
          <w:tcPr>
            <w:tcW w:w="675" w:type="dxa"/>
            <w:vAlign w:val="center"/>
          </w:tcPr>
          <w:p w14:paraId="44C90FE4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9</w:t>
            </w:r>
          </w:p>
        </w:tc>
        <w:tc>
          <w:tcPr>
            <w:tcW w:w="2552" w:type="dxa"/>
            <w:vAlign w:val="center"/>
          </w:tcPr>
          <w:p w14:paraId="70736C0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4.4 — Nomenclatoare de referință</w:t>
            </w:r>
          </w:p>
        </w:tc>
        <w:tc>
          <w:tcPr>
            <w:tcW w:w="5245" w:type="dxa"/>
            <w:vAlign w:val="center"/>
          </w:tcPr>
          <w:p w14:paraId="170520D7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Nomenclatoare, clasificatoare, registre de referință SIMED</w:t>
            </w:r>
          </w:p>
        </w:tc>
        <w:tc>
          <w:tcPr>
            <w:tcW w:w="6095" w:type="dxa"/>
            <w:vAlign w:val="center"/>
          </w:tcPr>
          <w:p w14:paraId="3AC9A429" w14:textId="21A1D4FE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7EEE4B21" w14:textId="77777777" w:rsidTr="00405669">
        <w:tc>
          <w:tcPr>
            <w:tcW w:w="675" w:type="dxa"/>
            <w:vAlign w:val="center"/>
          </w:tcPr>
          <w:p w14:paraId="27E0933F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10</w:t>
            </w:r>
          </w:p>
        </w:tc>
        <w:tc>
          <w:tcPr>
            <w:tcW w:w="2552" w:type="dxa"/>
            <w:vAlign w:val="center"/>
          </w:tcPr>
          <w:p w14:paraId="6D7D9F37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5.1 — Licențiere și proprietate intelectuală (cod ToR: LPI 001-022)</w:t>
            </w:r>
          </w:p>
        </w:tc>
        <w:tc>
          <w:tcPr>
            <w:tcW w:w="5245" w:type="dxa"/>
            <w:vAlign w:val="center"/>
          </w:tcPr>
          <w:p w14:paraId="0751FE30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Licențe perpetue ANSC, drepturi patrimoniale asupra codului</w:t>
            </w:r>
          </w:p>
          <w:p w14:paraId="6F913EF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Registru componente software, SBOM</w:t>
            </w:r>
          </w:p>
        </w:tc>
        <w:tc>
          <w:tcPr>
            <w:tcW w:w="6095" w:type="dxa"/>
            <w:vAlign w:val="center"/>
          </w:tcPr>
          <w:p w14:paraId="23CADB73" w14:textId="0F3548CF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1DE988AB" w14:textId="77777777" w:rsidTr="00405669">
        <w:tc>
          <w:tcPr>
            <w:tcW w:w="675" w:type="dxa"/>
            <w:vAlign w:val="center"/>
          </w:tcPr>
          <w:p w14:paraId="16C53DDB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11</w:t>
            </w:r>
          </w:p>
        </w:tc>
        <w:tc>
          <w:tcPr>
            <w:tcW w:w="2552" w:type="dxa"/>
            <w:vAlign w:val="center"/>
          </w:tcPr>
          <w:p w14:paraId="27E2C09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5.2 — Arhitectura sistemului IT (cod ToR: ARH 001-051)</w:t>
            </w:r>
          </w:p>
        </w:tc>
        <w:tc>
          <w:tcPr>
            <w:tcW w:w="5245" w:type="dxa"/>
            <w:vAlign w:val="center"/>
          </w:tcPr>
          <w:p w14:paraId="410440D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Standarde deschise (HTTPS, REST, JSON,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OpenAPI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3.1)</w:t>
            </w:r>
          </w:p>
          <w:p w14:paraId="5B396BD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Arhitectură modulară orientată servicii</w:t>
            </w:r>
          </w:p>
        </w:tc>
        <w:tc>
          <w:tcPr>
            <w:tcW w:w="6095" w:type="dxa"/>
            <w:vAlign w:val="center"/>
          </w:tcPr>
          <w:p w14:paraId="6DDAA68E" w14:textId="1E39351D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4E3F9885" w14:textId="77777777" w:rsidTr="00405669">
        <w:tc>
          <w:tcPr>
            <w:tcW w:w="675" w:type="dxa"/>
            <w:vAlign w:val="center"/>
          </w:tcPr>
          <w:p w14:paraId="232CB77A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12</w:t>
            </w:r>
          </w:p>
        </w:tc>
        <w:tc>
          <w:tcPr>
            <w:tcW w:w="2552" w:type="dxa"/>
            <w:vAlign w:val="center"/>
          </w:tcPr>
          <w:p w14:paraId="0587955F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5.3 — Stiva tehnologică guvernamentală (cod ToR: TS 001-057)</w:t>
            </w:r>
          </w:p>
        </w:tc>
        <w:tc>
          <w:tcPr>
            <w:tcW w:w="5245" w:type="dxa"/>
            <w:vAlign w:val="center"/>
          </w:tcPr>
          <w:p w14:paraId="3D7A0D04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Conformitate cu Stiva Tehnologică Guvernamentală la data inițierii/semnării</w:t>
            </w:r>
          </w:p>
        </w:tc>
        <w:tc>
          <w:tcPr>
            <w:tcW w:w="6095" w:type="dxa"/>
            <w:vAlign w:val="center"/>
          </w:tcPr>
          <w:p w14:paraId="0E523271" w14:textId="690B41B5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1DB9504D" w14:textId="77777777" w:rsidTr="00405669">
        <w:tc>
          <w:tcPr>
            <w:tcW w:w="675" w:type="dxa"/>
            <w:vAlign w:val="center"/>
          </w:tcPr>
          <w:p w14:paraId="78CB1219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13</w:t>
            </w:r>
          </w:p>
        </w:tc>
        <w:tc>
          <w:tcPr>
            <w:tcW w:w="2552" w:type="dxa"/>
            <w:vAlign w:val="center"/>
          </w:tcPr>
          <w:p w14:paraId="21824145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5.4 — SGBD și administrarea datelor (cod ToR: SGBD 001-043)</w:t>
            </w:r>
          </w:p>
        </w:tc>
        <w:tc>
          <w:tcPr>
            <w:tcW w:w="5245" w:type="dxa"/>
            <w:vAlign w:val="center"/>
          </w:tcPr>
          <w:p w14:paraId="1D0EB508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SGBD relațional matur, compatibil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MCloud</w:t>
            </w:r>
            <w:proofErr w:type="spellEnd"/>
          </w:p>
          <w:p w14:paraId="5843B9E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Dicționar de date, reguli de validare</w:t>
            </w:r>
          </w:p>
        </w:tc>
        <w:tc>
          <w:tcPr>
            <w:tcW w:w="6095" w:type="dxa"/>
            <w:vAlign w:val="center"/>
          </w:tcPr>
          <w:p w14:paraId="393F2C55" w14:textId="6BD7F770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080BD9CE" w14:textId="77777777" w:rsidTr="00405669">
        <w:tc>
          <w:tcPr>
            <w:tcW w:w="675" w:type="dxa"/>
            <w:vAlign w:val="center"/>
          </w:tcPr>
          <w:p w14:paraId="694A52C4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14</w:t>
            </w:r>
          </w:p>
        </w:tc>
        <w:tc>
          <w:tcPr>
            <w:tcW w:w="2552" w:type="dxa"/>
            <w:vAlign w:val="center"/>
          </w:tcPr>
          <w:p w14:paraId="63561D44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Cap. 5.5 — Infrastructura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MCloud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, virtualizare, containerizare (cod ToR: CLOUD 001-037)</w:t>
            </w:r>
          </w:p>
        </w:tc>
        <w:tc>
          <w:tcPr>
            <w:tcW w:w="5245" w:type="dxa"/>
            <w:vAlign w:val="center"/>
          </w:tcPr>
          <w:p w14:paraId="79ADA167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Găzduire/operare în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MCloud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(STISC)</w:t>
            </w:r>
          </w:p>
          <w:p w14:paraId="1515D53F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Abordare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cloud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-native / container-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first</w:t>
            </w:r>
            <w:proofErr w:type="spellEnd"/>
          </w:p>
        </w:tc>
        <w:tc>
          <w:tcPr>
            <w:tcW w:w="6095" w:type="dxa"/>
            <w:vAlign w:val="center"/>
          </w:tcPr>
          <w:p w14:paraId="01A289DD" w14:textId="22466CFF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1F3C1C3A" w14:textId="77777777" w:rsidTr="00405669">
        <w:tc>
          <w:tcPr>
            <w:tcW w:w="675" w:type="dxa"/>
            <w:vAlign w:val="center"/>
          </w:tcPr>
          <w:p w14:paraId="49AF7759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15</w:t>
            </w:r>
          </w:p>
        </w:tc>
        <w:tc>
          <w:tcPr>
            <w:tcW w:w="2552" w:type="dxa"/>
            <w:vAlign w:val="center"/>
          </w:tcPr>
          <w:p w14:paraId="6B825E0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Cap. 5.6 —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DevSecOps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, CI/CD (cod ToR: DEVOPS 001-064)</w:t>
            </w:r>
          </w:p>
        </w:tc>
        <w:tc>
          <w:tcPr>
            <w:tcW w:w="5245" w:type="dxa"/>
            <w:vAlign w:val="center"/>
          </w:tcPr>
          <w:p w14:paraId="035F3F4B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Pipeline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CI/CD complet (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build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, teste, SBOM, scanare,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deploy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)</w:t>
            </w:r>
          </w:p>
          <w:p w14:paraId="780BCBA0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Git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, trasabilitate completă</w:t>
            </w:r>
          </w:p>
        </w:tc>
        <w:tc>
          <w:tcPr>
            <w:tcW w:w="6095" w:type="dxa"/>
            <w:vAlign w:val="center"/>
          </w:tcPr>
          <w:p w14:paraId="778FBFD8" w14:textId="59346E16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49427F12" w14:textId="77777777" w:rsidTr="00405669">
        <w:tc>
          <w:tcPr>
            <w:tcW w:w="675" w:type="dxa"/>
            <w:vAlign w:val="center"/>
          </w:tcPr>
          <w:p w14:paraId="6013A167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16</w:t>
            </w:r>
          </w:p>
        </w:tc>
        <w:tc>
          <w:tcPr>
            <w:tcW w:w="2552" w:type="dxa"/>
            <w:vAlign w:val="center"/>
          </w:tcPr>
          <w:p w14:paraId="6C23DF6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5.7 — Interoperabilitatea sistemului (cod ToR: INT 001-050)</w:t>
            </w:r>
          </w:p>
        </w:tc>
        <w:tc>
          <w:tcPr>
            <w:tcW w:w="5245" w:type="dxa"/>
            <w:vAlign w:val="center"/>
          </w:tcPr>
          <w:p w14:paraId="373F7832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Proiectare API-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first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, contracte API aprobate anterior implementării</w:t>
            </w:r>
          </w:p>
        </w:tc>
        <w:tc>
          <w:tcPr>
            <w:tcW w:w="6095" w:type="dxa"/>
            <w:vAlign w:val="center"/>
          </w:tcPr>
          <w:p w14:paraId="18F2EC1C" w14:textId="7CE1F2A0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450E7765" w14:textId="77777777" w:rsidTr="00405669">
        <w:tc>
          <w:tcPr>
            <w:tcW w:w="675" w:type="dxa"/>
            <w:vAlign w:val="center"/>
          </w:tcPr>
          <w:p w14:paraId="17119ED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17</w:t>
            </w:r>
          </w:p>
        </w:tc>
        <w:tc>
          <w:tcPr>
            <w:tcW w:w="2552" w:type="dxa"/>
            <w:vAlign w:val="center"/>
          </w:tcPr>
          <w:p w14:paraId="1A06B5F5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Cap. 5.8 — Performanța și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scalabilitatea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(cod ToR: PSR 001-013)</w:t>
            </w:r>
          </w:p>
        </w:tc>
        <w:tc>
          <w:tcPr>
            <w:tcW w:w="5245" w:type="dxa"/>
            <w:vAlign w:val="center"/>
          </w:tcPr>
          <w:p w14:paraId="0E7F3F6A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Timp de răspuns ≤3s standard, praguri P90/P99 diferențiate pe tip operațiune</w:t>
            </w:r>
          </w:p>
        </w:tc>
        <w:tc>
          <w:tcPr>
            <w:tcW w:w="6095" w:type="dxa"/>
            <w:vAlign w:val="center"/>
          </w:tcPr>
          <w:p w14:paraId="42B07CF4" w14:textId="6CABEE8D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378BF296" w14:textId="77777777" w:rsidTr="00405669">
        <w:tc>
          <w:tcPr>
            <w:tcW w:w="675" w:type="dxa"/>
            <w:vAlign w:val="center"/>
          </w:tcPr>
          <w:p w14:paraId="57072C5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18</w:t>
            </w:r>
          </w:p>
        </w:tc>
        <w:tc>
          <w:tcPr>
            <w:tcW w:w="2552" w:type="dxa"/>
            <w:vAlign w:val="center"/>
          </w:tcPr>
          <w:p w14:paraId="493DE159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5.9 — Flexibilitatea sistemului (cod ToR: FLEX 001-015)</w:t>
            </w:r>
          </w:p>
        </w:tc>
        <w:tc>
          <w:tcPr>
            <w:tcW w:w="5245" w:type="dxa"/>
            <w:vAlign w:val="center"/>
          </w:tcPr>
          <w:p w14:paraId="65FAECF2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Configurare fluxuri/formulare/reguli fără modificare cod sursă</w:t>
            </w:r>
          </w:p>
        </w:tc>
        <w:tc>
          <w:tcPr>
            <w:tcW w:w="6095" w:type="dxa"/>
            <w:vAlign w:val="center"/>
          </w:tcPr>
          <w:p w14:paraId="6660E30B" w14:textId="531C4F89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03BAB5FF" w14:textId="77777777" w:rsidTr="00405669">
        <w:tc>
          <w:tcPr>
            <w:tcW w:w="675" w:type="dxa"/>
            <w:vAlign w:val="center"/>
          </w:tcPr>
          <w:p w14:paraId="0EE643BB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19</w:t>
            </w:r>
          </w:p>
        </w:tc>
        <w:tc>
          <w:tcPr>
            <w:tcW w:w="2552" w:type="dxa"/>
            <w:vAlign w:val="center"/>
          </w:tcPr>
          <w:p w14:paraId="32C10B3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5.10 — Interfața utilizator și ergonomia (cod ToR: UI 001-021)</w:t>
            </w:r>
          </w:p>
        </w:tc>
        <w:tc>
          <w:tcPr>
            <w:tcW w:w="5245" w:type="dxa"/>
            <w:vAlign w:val="center"/>
          </w:tcPr>
          <w:p w14:paraId="32D906B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WCAG 2.1 nivel A,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responsive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, i18n (RO/EN/RU)</w:t>
            </w:r>
          </w:p>
          <w:p w14:paraId="4AE469DC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Căutare full-text avansată</w:t>
            </w:r>
          </w:p>
        </w:tc>
        <w:tc>
          <w:tcPr>
            <w:tcW w:w="6095" w:type="dxa"/>
            <w:vAlign w:val="center"/>
          </w:tcPr>
          <w:p w14:paraId="37BDF7A9" w14:textId="779A7DCE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479364C3" w14:textId="77777777" w:rsidTr="00405669">
        <w:tc>
          <w:tcPr>
            <w:tcW w:w="675" w:type="dxa"/>
            <w:vAlign w:val="center"/>
          </w:tcPr>
          <w:p w14:paraId="2CE4B561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lastRenderedPageBreak/>
              <w:t>20</w:t>
            </w:r>
          </w:p>
        </w:tc>
        <w:tc>
          <w:tcPr>
            <w:tcW w:w="2552" w:type="dxa"/>
            <w:vAlign w:val="center"/>
          </w:tcPr>
          <w:p w14:paraId="5D0F177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5.11 — Facilitățile de întreținere (cod ToR: MR 001-013)</w:t>
            </w:r>
          </w:p>
        </w:tc>
        <w:tc>
          <w:tcPr>
            <w:tcW w:w="5245" w:type="dxa"/>
            <w:vAlign w:val="center"/>
          </w:tcPr>
          <w:p w14:paraId="2704FAAB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Monitorizare unificată,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alerting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,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heartbeat</w:t>
            </w:r>
            <w:proofErr w:type="spellEnd"/>
          </w:p>
          <w:p w14:paraId="051126F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Jurnalizare tehnică granulară</w:t>
            </w:r>
          </w:p>
        </w:tc>
        <w:tc>
          <w:tcPr>
            <w:tcW w:w="6095" w:type="dxa"/>
            <w:vAlign w:val="center"/>
          </w:tcPr>
          <w:p w14:paraId="7E0FEDEC" w14:textId="1A3B2661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645AA8BE" w14:textId="77777777" w:rsidTr="00405669">
        <w:tc>
          <w:tcPr>
            <w:tcW w:w="675" w:type="dxa"/>
            <w:vAlign w:val="center"/>
          </w:tcPr>
          <w:p w14:paraId="7C8D5E6F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21</w:t>
            </w:r>
          </w:p>
        </w:tc>
        <w:tc>
          <w:tcPr>
            <w:tcW w:w="2552" w:type="dxa"/>
            <w:vAlign w:val="center"/>
          </w:tcPr>
          <w:p w14:paraId="566CC11C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5.12 — Securitatea și protecția sistemului (cod ToR: SEC 001-038)</w:t>
            </w:r>
          </w:p>
        </w:tc>
        <w:tc>
          <w:tcPr>
            <w:tcW w:w="5245" w:type="dxa"/>
            <w:vAlign w:val="center"/>
          </w:tcPr>
          <w:p w14:paraId="25392185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Secure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by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Design/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Default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, jurnalizare paralelă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MLog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, audit, backup, continuitate</w:t>
            </w:r>
          </w:p>
        </w:tc>
        <w:tc>
          <w:tcPr>
            <w:tcW w:w="6095" w:type="dxa"/>
            <w:vAlign w:val="center"/>
          </w:tcPr>
          <w:p w14:paraId="1BC7B6B2" w14:textId="290069AB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0B367CE0" w14:textId="77777777" w:rsidTr="00405669">
        <w:tc>
          <w:tcPr>
            <w:tcW w:w="675" w:type="dxa"/>
            <w:vAlign w:val="center"/>
          </w:tcPr>
          <w:p w14:paraId="05086AA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22</w:t>
            </w:r>
          </w:p>
        </w:tc>
        <w:tc>
          <w:tcPr>
            <w:tcW w:w="2552" w:type="dxa"/>
            <w:vAlign w:val="center"/>
          </w:tcPr>
          <w:p w14:paraId="2EF126AC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6.1 — Planul de implementare pe etape (Tabelul 7.1 ToR, Etapele 1-6)</w:t>
            </w:r>
          </w:p>
        </w:tc>
        <w:tc>
          <w:tcPr>
            <w:tcW w:w="5245" w:type="dxa"/>
            <w:vAlign w:val="center"/>
          </w:tcPr>
          <w:p w14:paraId="74655452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Etapa 1 Pregătire (1 lună)</w:t>
            </w:r>
          </w:p>
          <w:p w14:paraId="6E60C4B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Etapa 2 Proiectare &amp; Dezvoltare (6 luni)</w:t>
            </w:r>
          </w:p>
          <w:p w14:paraId="1166EB0F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Etapa 3 Migrare date (2 luni)</w:t>
            </w:r>
          </w:p>
          <w:p w14:paraId="345464CF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Etapa 4 Formare utilizatori (1 lună)</w:t>
            </w:r>
          </w:p>
          <w:p w14:paraId="24AC222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Etapa 5 Stabilizare/acceptanță/livrare finală (2 luni)</w:t>
            </w:r>
          </w:p>
          <w:p w14:paraId="7AA81566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Etapa 6 Asistență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postimplementare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/garanție (12 luni)</w:t>
            </w:r>
          </w:p>
        </w:tc>
        <w:tc>
          <w:tcPr>
            <w:tcW w:w="6095" w:type="dxa"/>
            <w:vAlign w:val="center"/>
          </w:tcPr>
          <w:p w14:paraId="1D49F054" w14:textId="7B5C3079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60492C1F" w14:textId="77777777" w:rsidTr="00405669">
        <w:tc>
          <w:tcPr>
            <w:tcW w:w="675" w:type="dxa"/>
            <w:vAlign w:val="center"/>
          </w:tcPr>
          <w:p w14:paraId="446149A8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23</w:t>
            </w:r>
          </w:p>
        </w:tc>
        <w:tc>
          <w:tcPr>
            <w:tcW w:w="2552" w:type="dxa"/>
            <w:vAlign w:val="center"/>
          </w:tcPr>
          <w:p w14:paraId="63539948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6.2 — Managementul proiectului (cod ToR: MG 001-012)</w:t>
            </w:r>
          </w:p>
        </w:tc>
        <w:tc>
          <w:tcPr>
            <w:tcW w:w="5245" w:type="dxa"/>
            <w:vAlign w:val="center"/>
          </w:tcPr>
          <w:p w14:paraId="192C4489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Inițiere, planuri, sprinturi, registre (riscuri/livrabile/modificări)</w:t>
            </w:r>
          </w:p>
          <w:p w14:paraId="524E0C64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Rapoarte bisăptămânale</w:t>
            </w:r>
          </w:p>
        </w:tc>
        <w:tc>
          <w:tcPr>
            <w:tcW w:w="6095" w:type="dxa"/>
            <w:vAlign w:val="center"/>
          </w:tcPr>
          <w:p w14:paraId="173E4341" w14:textId="575FE2A1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7BF96670" w14:textId="77777777" w:rsidTr="00405669">
        <w:tc>
          <w:tcPr>
            <w:tcW w:w="675" w:type="dxa"/>
            <w:vAlign w:val="center"/>
          </w:tcPr>
          <w:p w14:paraId="722E83CA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24</w:t>
            </w:r>
          </w:p>
        </w:tc>
        <w:tc>
          <w:tcPr>
            <w:tcW w:w="2552" w:type="dxa"/>
            <w:vAlign w:val="center"/>
          </w:tcPr>
          <w:p w14:paraId="7D82D71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6.3 — Dezvoltarea sistemului IT (cod ToR: DEV 001-007)</w:t>
            </w:r>
          </w:p>
        </w:tc>
        <w:tc>
          <w:tcPr>
            <w:tcW w:w="5245" w:type="dxa"/>
            <w:vAlign w:val="center"/>
          </w:tcPr>
          <w:p w14:paraId="1F8361C2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Analiză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Waterfall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inițială → Product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Backlog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→ dezvoltare Agile iterativă</w:t>
            </w:r>
          </w:p>
        </w:tc>
        <w:tc>
          <w:tcPr>
            <w:tcW w:w="6095" w:type="dxa"/>
            <w:vAlign w:val="center"/>
          </w:tcPr>
          <w:p w14:paraId="0E4A0A73" w14:textId="073A2425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732B7ECC" w14:textId="77777777" w:rsidTr="00405669">
        <w:tc>
          <w:tcPr>
            <w:tcW w:w="675" w:type="dxa"/>
            <w:vAlign w:val="center"/>
          </w:tcPr>
          <w:p w14:paraId="29DBBE8A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25</w:t>
            </w:r>
          </w:p>
        </w:tc>
        <w:tc>
          <w:tcPr>
            <w:tcW w:w="2552" w:type="dxa"/>
            <w:vAlign w:val="center"/>
          </w:tcPr>
          <w:p w14:paraId="6E2984A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Cap. 6.4 — Implementarea sistemului IT /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Deployment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(cod ToR: DEP 001-012)</w:t>
            </w:r>
          </w:p>
        </w:tc>
        <w:tc>
          <w:tcPr>
            <w:tcW w:w="5245" w:type="dxa"/>
            <w:vAlign w:val="center"/>
          </w:tcPr>
          <w:p w14:paraId="49D3EB2A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Instalare pe servere dedicate/medii virtualizate</w:t>
            </w:r>
          </w:p>
          <w:p w14:paraId="61F19015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Suport containerizare completă</w:t>
            </w:r>
          </w:p>
        </w:tc>
        <w:tc>
          <w:tcPr>
            <w:tcW w:w="6095" w:type="dxa"/>
            <w:vAlign w:val="center"/>
          </w:tcPr>
          <w:p w14:paraId="0B317011" w14:textId="56808F4E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75F32C43" w14:textId="77777777" w:rsidTr="00405669">
        <w:tc>
          <w:tcPr>
            <w:tcW w:w="675" w:type="dxa"/>
            <w:vAlign w:val="center"/>
          </w:tcPr>
          <w:p w14:paraId="66AC559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26</w:t>
            </w:r>
          </w:p>
        </w:tc>
        <w:tc>
          <w:tcPr>
            <w:tcW w:w="2552" w:type="dxa"/>
            <w:vAlign w:val="center"/>
          </w:tcPr>
          <w:p w14:paraId="7C5D4B76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6.5 — Migrarea și popularea datelor (cod ToR: MIG 001-010)</w:t>
            </w:r>
          </w:p>
        </w:tc>
        <w:tc>
          <w:tcPr>
            <w:tcW w:w="5245" w:type="dxa"/>
            <w:vAlign w:val="center"/>
          </w:tcPr>
          <w:p w14:paraId="2224EF7F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Migrare arhivă ELO (contestații, decizii, avize, înscrisuri, semnături,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loguri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)</w:t>
            </w:r>
          </w:p>
        </w:tc>
        <w:tc>
          <w:tcPr>
            <w:tcW w:w="6095" w:type="dxa"/>
            <w:vAlign w:val="center"/>
          </w:tcPr>
          <w:p w14:paraId="7E0497E6" w14:textId="4CC839A0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7143681A" w14:textId="77777777" w:rsidTr="00405669">
        <w:tc>
          <w:tcPr>
            <w:tcW w:w="675" w:type="dxa"/>
            <w:vAlign w:val="center"/>
          </w:tcPr>
          <w:p w14:paraId="0CF604AC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27</w:t>
            </w:r>
          </w:p>
        </w:tc>
        <w:tc>
          <w:tcPr>
            <w:tcW w:w="2552" w:type="dxa"/>
            <w:vAlign w:val="center"/>
          </w:tcPr>
          <w:p w14:paraId="551DF78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6.6 — Instruirea utilizatorilor (cod ToR: UTD 001-011)</w:t>
            </w:r>
          </w:p>
        </w:tc>
        <w:tc>
          <w:tcPr>
            <w:tcW w:w="5245" w:type="dxa"/>
            <w:vAlign w:val="center"/>
          </w:tcPr>
          <w:p w14:paraId="79AEB77B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Mediu de instruire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preconfigurat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, materiale în limba română</w:t>
            </w:r>
          </w:p>
          <w:p w14:paraId="3EC1F307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Programe pe categorii (FO/BO/administratori)</w:t>
            </w:r>
          </w:p>
        </w:tc>
        <w:tc>
          <w:tcPr>
            <w:tcW w:w="6095" w:type="dxa"/>
            <w:vAlign w:val="center"/>
          </w:tcPr>
          <w:p w14:paraId="31952B6F" w14:textId="13A5331E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417791B6" w14:textId="77777777" w:rsidTr="00405669">
        <w:tc>
          <w:tcPr>
            <w:tcW w:w="675" w:type="dxa"/>
            <w:vAlign w:val="center"/>
          </w:tcPr>
          <w:p w14:paraId="41FDA3AF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28</w:t>
            </w:r>
          </w:p>
        </w:tc>
        <w:tc>
          <w:tcPr>
            <w:tcW w:w="2552" w:type="dxa"/>
            <w:vAlign w:val="center"/>
          </w:tcPr>
          <w:p w14:paraId="3A7D3C54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6.7 — Testarea acceptării utilizatorilor (cod ToR: UAT 01-07)</w:t>
            </w:r>
          </w:p>
        </w:tc>
        <w:tc>
          <w:tcPr>
            <w:tcW w:w="5245" w:type="dxa"/>
            <w:vAlign w:val="center"/>
          </w:tcPr>
          <w:p w14:paraId="71802E7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Validare completă module + performanță + securitate + recuperare incident</w:t>
            </w:r>
          </w:p>
        </w:tc>
        <w:tc>
          <w:tcPr>
            <w:tcW w:w="6095" w:type="dxa"/>
            <w:vAlign w:val="center"/>
          </w:tcPr>
          <w:p w14:paraId="5D8478A7" w14:textId="2FEDF023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51E65DE1" w14:textId="77777777" w:rsidTr="00405669">
        <w:tc>
          <w:tcPr>
            <w:tcW w:w="675" w:type="dxa"/>
            <w:vAlign w:val="center"/>
          </w:tcPr>
          <w:p w14:paraId="231DD6B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29</w:t>
            </w:r>
          </w:p>
        </w:tc>
        <w:tc>
          <w:tcPr>
            <w:tcW w:w="2552" w:type="dxa"/>
            <w:vAlign w:val="center"/>
          </w:tcPr>
          <w:p w14:paraId="4AC253DD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Cap. 6.8 — Punerea în funcțiune /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Go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-live (cod ToR: COM 01-04)</w:t>
            </w:r>
          </w:p>
        </w:tc>
        <w:tc>
          <w:tcPr>
            <w:tcW w:w="5245" w:type="dxa"/>
            <w:vAlign w:val="center"/>
          </w:tcPr>
          <w:p w14:paraId="1C182007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Strategie punere în funcțiune (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rollout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gradual/pilot/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parallel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run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/big bang)</w:t>
            </w:r>
          </w:p>
          <w:p w14:paraId="64915EB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Cut-over,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rollback</w:t>
            </w:r>
            <w:proofErr w:type="spellEnd"/>
          </w:p>
        </w:tc>
        <w:tc>
          <w:tcPr>
            <w:tcW w:w="6095" w:type="dxa"/>
            <w:vAlign w:val="center"/>
          </w:tcPr>
          <w:p w14:paraId="37EC93B0" w14:textId="43CECD13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35705C24" w14:textId="77777777" w:rsidTr="00405669">
        <w:tc>
          <w:tcPr>
            <w:tcW w:w="675" w:type="dxa"/>
            <w:vAlign w:val="center"/>
          </w:tcPr>
          <w:p w14:paraId="0DAC5316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30</w:t>
            </w:r>
          </w:p>
        </w:tc>
        <w:tc>
          <w:tcPr>
            <w:tcW w:w="2552" w:type="dxa"/>
            <w:vAlign w:val="center"/>
          </w:tcPr>
          <w:p w14:paraId="26FC3E5F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6.9 — Stabilizarea sistemului IT (cod ToR: STAB 01-06)</w:t>
            </w:r>
          </w:p>
        </w:tc>
        <w:tc>
          <w:tcPr>
            <w:tcW w:w="5245" w:type="dxa"/>
            <w:vAlign w:val="center"/>
          </w:tcPr>
          <w:p w14:paraId="35F1920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Verificare funcționare în producție</w:t>
            </w:r>
          </w:p>
          <w:p w14:paraId="0F7B4C38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Remediere defecte reziduale, optimizare performanță</w:t>
            </w:r>
          </w:p>
        </w:tc>
        <w:tc>
          <w:tcPr>
            <w:tcW w:w="6095" w:type="dxa"/>
            <w:vAlign w:val="center"/>
          </w:tcPr>
          <w:p w14:paraId="0827ACA1" w14:textId="1BD639D9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2DD85849" w14:textId="77777777" w:rsidTr="00405669">
        <w:tc>
          <w:tcPr>
            <w:tcW w:w="675" w:type="dxa"/>
            <w:vAlign w:val="center"/>
          </w:tcPr>
          <w:p w14:paraId="328BAC6B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31</w:t>
            </w:r>
          </w:p>
        </w:tc>
        <w:tc>
          <w:tcPr>
            <w:tcW w:w="2552" w:type="dxa"/>
            <w:vAlign w:val="center"/>
          </w:tcPr>
          <w:p w14:paraId="33624875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Cap. 7.1 — Asistență tehnică în perioada de garanție (cod ToR: PIR — </w:t>
            </w: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lastRenderedPageBreak/>
              <w:t>secțiunea Garanție)</w:t>
            </w:r>
          </w:p>
        </w:tc>
        <w:tc>
          <w:tcPr>
            <w:tcW w:w="5245" w:type="dxa"/>
            <w:vAlign w:val="center"/>
          </w:tcPr>
          <w:p w14:paraId="5C82843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lastRenderedPageBreak/>
              <w:t>Suport nivel 2-3, gestionare incidente/probleme</w:t>
            </w:r>
          </w:p>
        </w:tc>
        <w:tc>
          <w:tcPr>
            <w:tcW w:w="6095" w:type="dxa"/>
            <w:vAlign w:val="center"/>
          </w:tcPr>
          <w:p w14:paraId="16166E40" w14:textId="0B122329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62293692" w14:textId="77777777" w:rsidTr="00405669">
        <w:tc>
          <w:tcPr>
            <w:tcW w:w="675" w:type="dxa"/>
            <w:vAlign w:val="center"/>
          </w:tcPr>
          <w:p w14:paraId="5FBFC38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32</w:t>
            </w:r>
          </w:p>
        </w:tc>
        <w:tc>
          <w:tcPr>
            <w:tcW w:w="2552" w:type="dxa"/>
            <w:vAlign w:val="center"/>
          </w:tcPr>
          <w:p w14:paraId="5ABE1306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7.2 — Nivelul serviciilor / SLA (cod ToR: PIR — secțiunea SLA)</w:t>
            </w:r>
          </w:p>
        </w:tc>
        <w:tc>
          <w:tcPr>
            <w:tcW w:w="5245" w:type="dxa"/>
            <w:vAlign w:val="center"/>
          </w:tcPr>
          <w:p w14:paraId="48ECB15C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Indicatori disponibilitate, timp răspuns/remediere incident</w:t>
            </w:r>
          </w:p>
        </w:tc>
        <w:tc>
          <w:tcPr>
            <w:tcW w:w="6095" w:type="dxa"/>
            <w:vAlign w:val="center"/>
          </w:tcPr>
          <w:p w14:paraId="3B5CEAA4" w14:textId="00873B90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046AFC56" w14:textId="77777777" w:rsidTr="00405669">
        <w:tc>
          <w:tcPr>
            <w:tcW w:w="675" w:type="dxa"/>
            <w:vAlign w:val="center"/>
          </w:tcPr>
          <w:p w14:paraId="621F62F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33</w:t>
            </w:r>
          </w:p>
        </w:tc>
        <w:tc>
          <w:tcPr>
            <w:tcW w:w="2552" w:type="dxa"/>
            <w:vAlign w:val="center"/>
          </w:tcPr>
          <w:p w14:paraId="69258FF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7.3 — Gestionarea modificărilor (cod ToR: secțiunea Gestionarea modificărilor)</w:t>
            </w:r>
          </w:p>
        </w:tc>
        <w:tc>
          <w:tcPr>
            <w:tcW w:w="5245" w:type="dxa"/>
            <w:vAlign w:val="center"/>
          </w:tcPr>
          <w:p w14:paraId="611049C6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Procedură </w:t>
            </w:r>
            <w:proofErr w:type="spellStart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change</w:t>
            </w:r>
            <w:proofErr w:type="spellEnd"/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 xml:space="preserve"> management pentru cereri de modificare post-livrare</w:t>
            </w:r>
          </w:p>
        </w:tc>
        <w:tc>
          <w:tcPr>
            <w:tcW w:w="6095" w:type="dxa"/>
            <w:vAlign w:val="center"/>
          </w:tcPr>
          <w:p w14:paraId="48EB0B5E" w14:textId="08E4472E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2DA07652" w14:textId="77777777" w:rsidTr="00405669">
        <w:tc>
          <w:tcPr>
            <w:tcW w:w="675" w:type="dxa"/>
            <w:vAlign w:val="center"/>
          </w:tcPr>
          <w:p w14:paraId="175F1F80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34</w:t>
            </w:r>
          </w:p>
        </w:tc>
        <w:tc>
          <w:tcPr>
            <w:tcW w:w="2552" w:type="dxa"/>
            <w:vAlign w:val="center"/>
          </w:tcPr>
          <w:p w14:paraId="37482414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7.4 — Încheierea contractului (cod ToR: PIR 024-029)</w:t>
            </w:r>
          </w:p>
        </w:tc>
        <w:tc>
          <w:tcPr>
            <w:tcW w:w="5245" w:type="dxa"/>
            <w:vAlign w:val="center"/>
          </w:tcPr>
          <w:p w14:paraId="659CDE0B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Predare cod sursă complet, documentație finală</w:t>
            </w:r>
          </w:p>
          <w:p w14:paraId="4DFF3079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Export înregistrări (incidente, modificări)</w:t>
            </w:r>
          </w:p>
        </w:tc>
        <w:tc>
          <w:tcPr>
            <w:tcW w:w="6095" w:type="dxa"/>
            <w:vAlign w:val="center"/>
          </w:tcPr>
          <w:p w14:paraId="51F3820D" w14:textId="019D8398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05669" w:rsidRPr="00405669" w14:paraId="4FBA321A" w14:textId="77777777" w:rsidTr="00405669">
        <w:tc>
          <w:tcPr>
            <w:tcW w:w="675" w:type="dxa"/>
            <w:vAlign w:val="center"/>
          </w:tcPr>
          <w:p w14:paraId="7FE7EDFE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35</w:t>
            </w:r>
          </w:p>
        </w:tc>
        <w:tc>
          <w:tcPr>
            <w:tcW w:w="2552" w:type="dxa"/>
            <w:vAlign w:val="center"/>
          </w:tcPr>
          <w:p w14:paraId="7FA2310A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Cap. 8 — Livrabilele sistemului informațional (cod ToR: DEL 001-014)</w:t>
            </w:r>
          </w:p>
        </w:tc>
        <w:tc>
          <w:tcPr>
            <w:tcW w:w="5245" w:type="dxa"/>
            <w:vAlign w:val="center"/>
          </w:tcPr>
          <w:p w14:paraId="0C4051EF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Livrabile management proiect, cod sursă, documentație tehnică/funcțională</w:t>
            </w:r>
          </w:p>
          <w:p w14:paraId="1A93F6B3" w14:textId="77777777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szCs w:val="20"/>
                <w:lang w:val="ro-RO"/>
              </w:rPr>
            </w:pPr>
            <w:r w:rsidRPr="00405669">
              <w:rPr>
                <w:rFonts w:ascii="Times New Roman" w:hAnsi="Times New Roman" w:cs="Times New Roman"/>
                <w:szCs w:val="20"/>
                <w:lang w:val="ro-RO"/>
              </w:rPr>
              <w:t>Ghiduri, SLA, planuri testare/instruire/migrare</w:t>
            </w:r>
          </w:p>
        </w:tc>
        <w:tc>
          <w:tcPr>
            <w:tcW w:w="6095" w:type="dxa"/>
            <w:vAlign w:val="center"/>
          </w:tcPr>
          <w:p w14:paraId="396BDF55" w14:textId="71E28D16" w:rsidR="00405669" w:rsidRPr="00405669" w:rsidRDefault="00405669" w:rsidP="009D591B">
            <w:pPr>
              <w:spacing w:after="20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0FC467D9" w14:textId="77777777" w:rsidR="005A0114" w:rsidRDefault="005A0114" w:rsidP="005A0114">
      <w:pPr>
        <w:tabs>
          <w:tab w:val="left" w:pos="3848"/>
        </w:tabs>
        <w:rPr>
          <w:rFonts w:ascii="Times New Roman" w:hAnsi="Times New Roman" w:cs="Times New Roman"/>
          <w:szCs w:val="20"/>
          <w:lang w:val="ro-RO"/>
        </w:rPr>
      </w:pPr>
    </w:p>
    <w:p w14:paraId="56AD67E1" w14:textId="49DA276D" w:rsidR="00DD51E2" w:rsidRDefault="005A0114" w:rsidP="005A0114">
      <w:pPr>
        <w:tabs>
          <w:tab w:val="left" w:pos="2638"/>
        </w:tabs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szCs w:val="20"/>
          <w:lang w:val="ro-RO"/>
        </w:rPr>
        <w:tab/>
      </w:r>
    </w:p>
    <w:sectPr w:rsidR="00DD51E2" w:rsidSect="00DD51E2">
      <w:headerReference w:type="default" r:id="rId8"/>
      <w:footerReference w:type="default" r:id="rId9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606E2" w14:textId="77777777" w:rsidR="00073093" w:rsidRDefault="00073093">
      <w:pPr>
        <w:spacing w:after="0" w:line="240" w:lineRule="auto"/>
      </w:pPr>
      <w:r>
        <w:separator/>
      </w:r>
    </w:p>
  </w:endnote>
  <w:endnote w:type="continuationSeparator" w:id="0">
    <w:p w14:paraId="22C64BAE" w14:textId="77777777" w:rsidR="00073093" w:rsidRDefault="00073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7545349"/>
      <w:docPartObj>
        <w:docPartGallery w:val="Page Numbers (Bottom of Page)"/>
        <w:docPartUnique/>
      </w:docPartObj>
    </w:sdtPr>
    <w:sdtContent>
      <w:p w14:paraId="19799791" w14:textId="1CAEB8B7" w:rsidR="00725B5A" w:rsidRDefault="00725B5A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14C7A0DD" w14:textId="1B294645" w:rsidR="00246CF3" w:rsidRDefault="00246CF3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BA58D" w14:textId="77777777" w:rsidR="00073093" w:rsidRDefault="00073093">
      <w:pPr>
        <w:spacing w:after="0" w:line="240" w:lineRule="auto"/>
      </w:pPr>
      <w:r>
        <w:separator/>
      </w:r>
    </w:p>
  </w:footnote>
  <w:footnote w:type="continuationSeparator" w:id="0">
    <w:p w14:paraId="2FBD7E59" w14:textId="77777777" w:rsidR="00073093" w:rsidRDefault="000730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9A398" w14:textId="77777777" w:rsidR="00246CF3" w:rsidRDefault="00441EC1">
    <w:pPr>
      <w:pStyle w:val="Antet"/>
      <w:jc w:val="right"/>
    </w:pPr>
    <w:r>
      <w:rPr>
        <w:i/>
        <w:sz w:val="16"/>
      </w:rPr>
      <w:t>ANSC — SIMED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432A0598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3545ADD"/>
    <w:multiLevelType w:val="hybridMultilevel"/>
    <w:tmpl w:val="053C383E"/>
    <w:lvl w:ilvl="0" w:tplc="E1AAD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904466">
    <w:abstractNumId w:val="8"/>
  </w:num>
  <w:num w:numId="2" w16cid:durableId="2093769009">
    <w:abstractNumId w:val="6"/>
  </w:num>
  <w:num w:numId="3" w16cid:durableId="457187258">
    <w:abstractNumId w:val="5"/>
  </w:num>
  <w:num w:numId="4" w16cid:durableId="187261377">
    <w:abstractNumId w:val="4"/>
  </w:num>
  <w:num w:numId="5" w16cid:durableId="509413875">
    <w:abstractNumId w:val="7"/>
  </w:num>
  <w:num w:numId="6" w16cid:durableId="24643655">
    <w:abstractNumId w:val="3"/>
  </w:num>
  <w:num w:numId="7" w16cid:durableId="1757045446">
    <w:abstractNumId w:val="2"/>
  </w:num>
  <w:num w:numId="8" w16cid:durableId="1046569346">
    <w:abstractNumId w:val="1"/>
  </w:num>
  <w:num w:numId="9" w16cid:durableId="513303939">
    <w:abstractNumId w:val="0"/>
  </w:num>
  <w:num w:numId="10" w16cid:durableId="20215407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0114"/>
    <w:rsid w:val="0006063C"/>
    <w:rsid w:val="00073093"/>
    <w:rsid w:val="0015074B"/>
    <w:rsid w:val="00246CF3"/>
    <w:rsid w:val="0029639D"/>
    <w:rsid w:val="00326F90"/>
    <w:rsid w:val="0034060E"/>
    <w:rsid w:val="00405669"/>
    <w:rsid w:val="00441EC1"/>
    <w:rsid w:val="00467116"/>
    <w:rsid w:val="005A0114"/>
    <w:rsid w:val="00725B5A"/>
    <w:rsid w:val="009D6B6A"/>
    <w:rsid w:val="00AA1D8D"/>
    <w:rsid w:val="00AD7963"/>
    <w:rsid w:val="00B213F8"/>
    <w:rsid w:val="00B47730"/>
    <w:rsid w:val="00C474CD"/>
    <w:rsid w:val="00CB0664"/>
    <w:rsid w:val="00D64DEB"/>
    <w:rsid w:val="00DD51E2"/>
    <w:rsid w:val="00E15ECF"/>
    <w:rsid w:val="00FB734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FECDC23A-0F09-4DB6-B430-BF281866D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 w:line="252" w:lineRule="auto"/>
    </w:pPr>
    <w:rPr>
      <w:rFonts w:ascii="Arial" w:hAnsi="Arial"/>
      <w:sz w:val="20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16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before="160" w:after="8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924</Words>
  <Characters>5267</Characters>
  <Application>Microsoft Office Word</Application>
  <DocSecurity>0</DocSecurity>
  <Lines>43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6179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Verdes Viorica</dc:creator>
  <cp:keywords/>
  <dc:description>generated by python-docx</dc:description>
  <cp:lastModifiedBy>Victoria COJOCARU</cp:lastModifiedBy>
  <cp:revision>4</cp:revision>
  <dcterms:created xsi:type="dcterms:W3CDTF">2026-08-18T12:58:00Z</dcterms:created>
  <dcterms:modified xsi:type="dcterms:W3CDTF">2026-08-18T13:24:00Z</dcterms:modified>
  <cp:category/>
</cp:coreProperties>
</file>