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before="181" w:beforeLines="50" w:after="181" w:afterLines="50"/>
        <w:textAlignment w:val="auto"/>
        <w:rPr>
          <w:rFonts w:hint="default" w:ascii="Times New Roman" w:hAnsi="Times New Roman" w:cs="Times New Roman"/>
          <w:b/>
          <w:bCs/>
          <w:color w:val="0000FF"/>
          <w:sz w:val="24"/>
          <w:szCs w:val="24"/>
        </w:rPr>
      </w:pPr>
      <w:r>
        <w:rPr>
          <w:rFonts w:hint="default" w:ascii="Times New Roman" w:hAnsi="Times New Roman" w:cs="Times New Roman"/>
          <w:b/>
          <w:bCs/>
          <w:color w:val="0000FF"/>
          <w:sz w:val="24"/>
          <w:szCs w:val="24"/>
        </w:rPr>
        <w:t>Specificații tehnice</w:t>
      </w:r>
    </w:p>
    <w:p>
      <w:pPr>
        <w:keepNext w:val="0"/>
        <w:keepLines w:val="0"/>
        <w:pageBreakBefore w:val="0"/>
        <w:widowControl/>
        <w:kinsoku/>
        <w:wordWrap/>
        <w:overflowPunct/>
        <w:topLinePunct w:val="0"/>
        <w:autoSpaceDE/>
        <w:autoSpaceDN/>
        <w:bidi w:val="0"/>
        <w:adjustRightInd/>
        <w:snapToGrid/>
        <w:spacing w:before="181" w:beforeLines="50" w:after="181" w:afterLines="50"/>
        <w:jc w:val="center"/>
        <w:textAlignment w:val="auto"/>
        <w:rPr>
          <w:rFonts w:hint="default" w:ascii="Times New Roman" w:hAnsi="Times New Roman" w:cs="Times New Roman"/>
          <w:i/>
          <w:iCs/>
        </w:rPr>
      </w:pPr>
      <w:r>
        <w:rPr>
          <w:rFonts w:hint="default" w:ascii="Times New Roman" w:hAnsi="Times New Roman" w:cs="Times New Roman"/>
          <w:i/>
          <w:iCs/>
        </w:rPr>
        <w:t>[Acest tabel va fi completat de către ofertant în coloanele 2, 3, 4, 6, 7, iar de către autoritatea contractantă – în coloanele 1, 5,]</w:t>
      </w:r>
    </w:p>
    <w:tbl>
      <w:tblPr>
        <w:tblStyle w:val="6"/>
        <w:tblW w:w="0" w:type="auto"/>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70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r>
              <w:rPr>
                <w:rFonts w:hint="default" w:ascii="Times New Roman" w:hAnsi="Times New Roman" w:cs="Times New Roman"/>
                <w:vertAlign w:val="baseline"/>
              </w:rPr>
              <w:t xml:space="preserve">Numărul procedurii de achiziție </w:t>
            </w:r>
            <w:r>
              <w:rPr>
                <w:rFonts w:hint="default" w:ascii="Times New Roman" w:hAnsi="Times New Roman" w:cs="Times New Roman"/>
                <w:u w:val="single"/>
                <w:vertAlign w:val="baseline"/>
              </w:rPr>
              <w:t xml:space="preserve">               </w:t>
            </w:r>
            <w:r>
              <w:rPr>
                <w:rFonts w:hint="default" w:ascii="Times New Roman" w:hAnsi="Times New Roman" w:cs="Times New Roman"/>
                <w:vertAlign w:val="baseline"/>
              </w:rPr>
              <w:t xml:space="preserve"> din </w:t>
            </w:r>
            <w:r>
              <w:rPr>
                <w:rFonts w:hint="default" w:ascii="Times New Roman" w:hAnsi="Times New Roman" w:cs="Times New Roman"/>
                <w:u w:val="single"/>
                <w:vertAlign w:val="baseline"/>
              </w:rPr>
              <w:t xml:space="preserve">           </w:t>
            </w:r>
            <w:r>
              <w:rPr>
                <w:rFonts w:hint="default" w:ascii="Times New Roman" w:hAnsi="Times New Roman" w:cs="Times New Roman"/>
                <w:u w:val="none"/>
                <w:vertAlign w:val="baseline"/>
              </w:rPr>
              <w:t xml:space="preserve"> </w:t>
            </w:r>
            <w:r>
              <w:rPr>
                <w:rFonts w:hint="default" w:ascii="Times New Roman" w:hAnsi="Times New Roman" w:cs="Times New Roman"/>
                <w:i/>
                <w:iCs/>
                <w:color w:val="FF0000"/>
                <w:u w:val="none"/>
                <w:vertAlign w:val="baseline"/>
              </w:rPr>
              <w:t>(operatorul economic va specifica MTender ID-ul procedurii și data publicării și va elimina textul din paranteze)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705" w:type="dxa"/>
            <w:vAlign w:val="center"/>
          </w:tcPr>
          <w:p>
            <w:pPr>
              <w:keepNext w:val="0"/>
              <w:keepLines w:val="0"/>
              <w:pageBreakBefore w:val="0"/>
              <w:widowControl/>
              <w:kinsoku/>
              <w:wordWrap/>
              <w:overflowPunct/>
              <w:topLinePunct w:val="0"/>
              <w:autoSpaceDE/>
              <w:autoSpaceDN/>
              <w:bidi w:val="0"/>
              <w:adjustRightInd/>
              <w:snapToGrid/>
              <w:spacing w:line="264" w:lineRule="auto"/>
              <w:ind w:left="1800" w:hanging="1800" w:hangingChars="900"/>
              <w:jc w:val="both"/>
              <w:textAlignment w:val="auto"/>
              <w:rPr>
                <w:rFonts w:hint="default" w:ascii="Times New Roman" w:hAnsi="Times New Roman" w:cs="Times New Roman"/>
                <w:vertAlign w:val="baseline"/>
              </w:rPr>
            </w:pPr>
            <w:r>
              <w:rPr>
                <w:rFonts w:hint="default" w:ascii="Times New Roman" w:hAnsi="Times New Roman" w:cs="Times New Roman"/>
                <w:vertAlign w:val="baseline"/>
              </w:rPr>
              <w:t xml:space="preserve">Obiectul achiziției: </w:t>
            </w:r>
            <w:r>
              <w:rPr>
                <w:rFonts w:hint="default" w:ascii="Times New Roman" w:hAnsi="Times New Roman"/>
                <w:u w:val="single"/>
                <w:vertAlign w:val="baseline"/>
              </w:rPr>
              <w:t>Servicii de proiectare - Consolidarea elementelor portante a podului rulant KM-20/5 din sala de mașini, inclusiv verificarea documentației de proiect și exercitarea supravegherii de autor</w:t>
            </w:r>
          </w:p>
        </w:tc>
      </w:tr>
    </w:tbl>
    <w:p>
      <w:pPr>
        <w:rPr>
          <w:rFonts w:hint="default" w:ascii="Times New Roman" w:hAnsi="Times New Roman" w:cs="Times New Roman"/>
        </w:rPr>
      </w:pPr>
    </w:p>
    <w:tbl>
      <w:tblPr>
        <w:tblStyle w:val="6"/>
        <w:tblW w:w="0" w:type="auto"/>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4"/>
        <w:gridCol w:w="3830"/>
        <w:gridCol w:w="1550"/>
        <w:gridCol w:w="1550"/>
        <w:gridCol w:w="1417"/>
        <w:gridCol w:w="2733"/>
        <w:gridCol w:w="2684"/>
        <w:gridCol w:w="1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eastAsia="zh-CN" w:bidi="ar-SA"/>
              </w:rPr>
            </w:pPr>
            <w:r>
              <w:rPr>
                <w:rFonts w:hint="default" w:ascii="Times New Roman" w:hAnsi="Times New Roman" w:cs="Times New Roman"/>
                <w:b/>
                <w:sz w:val="20"/>
                <w:szCs w:val="20"/>
              </w:rPr>
              <w:t>Nr. crt.</w:t>
            </w:r>
          </w:p>
        </w:tc>
        <w:tc>
          <w:tcPr>
            <w:tcW w:w="383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eastAsia="Times New Roman" w:cs="Times New Roman"/>
                <w:b/>
                <w:sz w:val="20"/>
                <w:szCs w:val="20"/>
                <w:lang w:val="ro-RO" w:eastAsia="en-US" w:bidi="ar-SA"/>
              </w:rPr>
            </w:pPr>
            <w:r>
              <w:rPr>
                <w:rFonts w:hint="default" w:ascii="Times New Roman" w:hAnsi="Times New Roman" w:cs="Times New Roman"/>
                <w:b/>
                <w:sz w:val="20"/>
                <w:szCs w:val="20"/>
              </w:rPr>
              <w:t>Denumirea bunurilor/serviciilor</w:t>
            </w:r>
          </w:p>
        </w:tc>
        <w:tc>
          <w:tcPr>
            <w:tcW w:w="155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Denumirea serviciului</w:t>
            </w:r>
          </w:p>
        </w:tc>
        <w:tc>
          <w:tcPr>
            <w:tcW w:w="155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Ţara de origine</w:t>
            </w:r>
          </w:p>
        </w:tc>
        <w:tc>
          <w:tcPr>
            <w:tcW w:w="141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Producătorul</w:t>
            </w:r>
          </w:p>
        </w:tc>
        <w:tc>
          <w:tcPr>
            <w:tcW w:w="2733"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b/>
                <w:sz w:val="20"/>
                <w:szCs w:val="20"/>
              </w:rPr>
              <w:t>Specificarea tehnică deplină solicitată de către autoritatea contractantă</w:t>
            </w:r>
          </w:p>
        </w:tc>
        <w:tc>
          <w:tcPr>
            <w:tcW w:w="268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Specificarea tehnică deplină propusă de către ofertant</w:t>
            </w:r>
          </w:p>
        </w:tc>
        <w:tc>
          <w:tcPr>
            <w:tcW w:w="138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Standarde de referinţă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blHeader/>
        </w:trPr>
        <w:tc>
          <w:tcPr>
            <w:tcW w:w="5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0</w:t>
            </w:r>
          </w:p>
        </w:tc>
        <w:tc>
          <w:tcPr>
            <w:tcW w:w="383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1</w:t>
            </w:r>
          </w:p>
        </w:tc>
        <w:tc>
          <w:tcPr>
            <w:tcW w:w="155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2</w:t>
            </w:r>
          </w:p>
        </w:tc>
        <w:tc>
          <w:tcPr>
            <w:tcW w:w="155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3</w:t>
            </w:r>
          </w:p>
        </w:tc>
        <w:tc>
          <w:tcPr>
            <w:tcW w:w="141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4</w:t>
            </w:r>
          </w:p>
        </w:tc>
        <w:tc>
          <w:tcPr>
            <w:tcW w:w="2733"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5</w:t>
            </w:r>
          </w:p>
        </w:tc>
        <w:tc>
          <w:tcPr>
            <w:tcW w:w="268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6</w:t>
            </w:r>
          </w:p>
        </w:tc>
        <w:tc>
          <w:tcPr>
            <w:tcW w:w="138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blHeader/>
        </w:trPr>
        <w:tc>
          <w:tcPr>
            <w:tcW w:w="15705" w:type="dxa"/>
            <w:gridSpan w:val="8"/>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sz w:val="20"/>
                <w:szCs w:val="20"/>
              </w:rPr>
            </w:pPr>
            <w:r>
              <w:rPr>
                <w:rFonts w:hint="default" w:ascii="Times New Roman" w:hAnsi="Times New Roman" w:cs="Times New Roman"/>
                <w:b/>
                <w:color w:val="000000" w:themeColor="text1"/>
                <w:sz w:val="20"/>
                <w:szCs w:val="20"/>
                <w14:textFill>
                  <w14:solidFill>
                    <w14:schemeClr w14:val="tx1"/>
                  </w14:solidFill>
                </w14:textFill>
              </w:rPr>
              <w:t>Lot 1. Elaborarea documentației de proiect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sz w:val="20"/>
                <w:szCs w:val="20"/>
                <w:vertAlign w:val="baseline"/>
              </w:rPr>
            </w:pPr>
          </w:p>
        </w:tc>
        <w:tc>
          <w:tcPr>
            <w:tcW w:w="3830" w:type="dxa"/>
            <w:vAlign w:val="center"/>
          </w:tcPr>
          <w:p>
            <w:pPr>
              <w:widowControl w:val="0"/>
              <w:spacing w:after="0" w:line="23" w:lineRule="atLeast"/>
              <w:jc w:val="both"/>
              <w:rPr>
                <w:rFonts w:hint="default" w:ascii="Times New Roman" w:hAnsi="Times New Roman" w:cs="Times New Roman"/>
                <w:b w:val="0"/>
                <w:bCs/>
                <w:sz w:val="20"/>
                <w:szCs w:val="20"/>
                <w:lang w:eastAsia="ro-RO"/>
              </w:rPr>
            </w:pPr>
            <w:r>
              <w:rPr>
                <w:rFonts w:hint="default" w:ascii="Times New Roman" w:hAnsi="Times New Roman" w:cs="Times New Roman"/>
              </w:rPr>
              <w:t>Elaborarea documentației de proiect (faza de proiectare - proiect de execuție a lucrărilor „PEL”; proiect de organizare a șantierului „POS”), având la bază Raportul de expertiză tehnică nr. 625-04-24/T și documentele normative în vigoare</w:t>
            </w:r>
          </w:p>
        </w:tc>
        <w:tc>
          <w:tcPr>
            <w:tcW w:w="15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5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41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2733" w:type="dxa"/>
            <w:vAlign w:val="center"/>
          </w:tcPr>
          <w:p>
            <w:pPr>
              <w:widowControl w:val="0"/>
              <w:spacing w:after="0" w:line="23" w:lineRule="atLeast"/>
              <w:jc w:val="center"/>
              <w:rPr>
                <w:rFonts w:hint="default" w:ascii="Times New Roman" w:hAnsi="Times New Roman"/>
                <w:b w:val="0"/>
                <w:bCs/>
                <w:sz w:val="20"/>
                <w:szCs w:val="20"/>
                <w:lang w:val="en-US" w:eastAsia="ro-RO"/>
              </w:rPr>
            </w:pPr>
            <w:r>
              <w:rPr>
                <w:rFonts w:hint="default" w:ascii="Times New Roman" w:hAnsi="Times New Roman" w:eastAsia="SimSun" w:cs="Times New Roman"/>
                <w:i w:val="0"/>
                <w:iCs w:val="0"/>
                <w:color w:val="000000"/>
                <w:kern w:val="0"/>
                <w:sz w:val="20"/>
                <w:szCs w:val="20"/>
                <w:u w:val="none"/>
                <w:lang w:eastAsia="ro-RO" w:bidi="ar"/>
              </w:rPr>
              <w:t>Conform Caietului de sarcini</w:t>
            </w:r>
          </w:p>
        </w:tc>
        <w:tc>
          <w:tcPr>
            <w:tcW w:w="268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sz w:val="20"/>
                <w:szCs w:val="20"/>
                <w:vertAlign w:val="baseline"/>
              </w:rPr>
            </w:pPr>
          </w:p>
        </w:tc>
        <w:tc>
          <w:tcPr>
            <w:tcW w:w="3830" w:type="dxa"/>
            <w:vAlign w:val="center"/>
          </w:tcPr>
          <w:p>
            <w:pPr>
              <w:widowControl w:val="0"/>
              <w:spacing w:after="0" w:line="23" w:lineRule="atLeast"/>
              <w:jc w:val="both"/>
              <w:rPr>
                <w:rFonts w:hint="default" w:ascii="Times New Roman" w:hAnsi="Times New Roman" w:eastAsia="SimSun" w:cs="Times New Roman"/>
                <w:i w:val="0"/>
                <w:iCs w:val="0"/>
                <w:color w:val="000000"/>
                <w:kern w:val="0"/>
                <w:sz w:val="20"/>
                <w:szCs w:val="20"/>
                <w:u w:val="none"/>
                <w:lang w:eastAsia="zh-CN"/>
              </w:rPr>
            </w:pPr>
            <w:r>
              <w:rPr>
                <w:rFonts w:hint="default" w:ascii="Times New Roman" w:hAnsi="Times New Roman" w:cs="Times New Roman"/>
              </w:rPr>
              <w:t>Verificarea documentației de proiect elaborate, conform documentelor normative naționale</w:t>
            </w:r>
          </w:p>
        </w:tc>
        <w:tc>
          <w:tcPr>
            <w:tcW w:w="15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5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41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2733" w:type="dxa"/>
            <w:vAlign w:val="center"/>
          </w:tcPr>
          <w:p>
            <w:pPr>
              <w:widowControl w:val="0"/>
              <w:spacing w:after="0" w:line="23" w:lineRule="atLeast"/>
              <w:jc w:val="center"/>
              <w:rPr>
                <w:rFonts w:hint="default" w:ascii="Times New Roman" w:hAnsi="Times New Roman" w:eastAsia="SimSun" w:cs="Times New Roman"/>
                <w:i w:val="0"/>
                <w:iCs w:val="0"/>
                <w:color w:val="000000"/>
                <w:kern w:val="0"/>
                <w:sz w:val="20"/>
                <w:szCs w:val="20"/>
                <w:u w:val="none"/>
                <w:lang w:eastAsia="ro-RO" w:bidi="ar"/>
              </w:rPr>
            </w:pPr>
            <w:r>
              <w:rPr>
                <w:rFonts w:hint="default" w:ascii="Times New Roman" w:hAnsi="Times New Roman" w:eastAsia="SimSun" w:cs="Times New Roman"/>
                <w:i w:val="0"/>
                <w:iCs w:val="0"/>
                <w:color w:val="000000"/>
                <w:kern w:val="0"/>
                <w:sz w:val="20"/>
                <w:szCs w:val="20"/>
                <w:u w:val="none"/>
                <w:lang w:eastAsia="ro-RO" w:bidi="ar"/>
              </w:rPr>
              <w:t>Conform Caietului de sarcini</w:t>
            </w:r>
          </w:p>
        </w:tc>
        <w:tc>
          <w:tcPr>
            <w:tcW w:w="268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5705" w:type="dxa"/>
            <w:gridSpan w:val="8"/>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sz w:val="20"/>
                <w:szCs w:val="20"/>
                <w:highlight w:val="lightGray"/>
                <w:shd w:val="clear" w:color="FFFFFF" w:fill="D9D9D9"/>
                <w:vertAlign w:val="baseline"/>
              </w:rPr>
            </w:pPr>
            <w:r>
              <w:rPr>
                <w:rFonts w:hint="default" w:ascii="Times New Roman" w:hAnsi="Times New Roman"/>
                <w:b/>
                <w:bCs/>
                <w:sz w:val="20"/>
                <w:szCs w:val="20"/>
                <w:highlight w:val="lightGray"/>
                <w:shd w:val="clear" w:color="FFFFFF" w:fill="D9D9D9"/>
                <w:vertAlign w:val="baseline"/>
              </w:rPr>
              <w:t>Lot 2. Supraveghere de autor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54"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sz w:val="20"/>
                <w:szCs w:val="20"/>
                <w:vertAlign w:val="baseline"/>
              </w:rPr>
            </w:pPr>
          </w:p>
        </w:tc>
        <w:tc>
          <w:tcPr>
            <w:tcW w:w="3830" w:type="dxa"/>
            <w:vAlign w:val="center"/>
          </w:tcPr>
          <w:p>
            <w:pPr>
              <w:widowControl w:val="0"/>
              <w:spacing w:after="0" w:line="23" w:lineRule="atLeast"/>
              <w:jc w:val="both"/>
              <w:rPr>
                <w:rFonts w:hint="default" w:ascii="Times New Roman" w:hAnsi="Times New Roman" w:eastAsia="SimSun"/>
                <w:i w:val="0"/>
                <w:iCs w:val="0"/>
                <w:color w:val="000000"/>
                <w:kern w:val="0"/>
                <w:sz w:val="20"/>
                <w:szCs w:val="20"/>
                <w:u w:val="none"/>
                <w:lang w:eastAsia="zh-CN"/>
              </w:rPr>
            </w:pPr>
            <w:r>
              <w:rPr>
                <w:rFonts w:hint="default" w:ascii="Times New Roman" w:hAnsi="Times New Roman" w:eastAsia="SimSun"/>
                <w:i w:val="0"/>
                <w:iCs w:val="0"/>
                <w:color w:val="000000"/>
                <w:kern w:val="0"/>
                <w:sz w:val="20"/>
                <w:szCs w:val="20"/>
                <w:u w:val="none"/>
                <w:lang w:eastAsia="zh-CN"/>
              </w:rPr>
              <w:t>Monitorizarea aplicării prevederilor documentației de proiect în procesul de execuție a lucrărilor de construcții, în baza contractului de supraveghere de autor</w:t>
            </w:r>
          </w:p>
        </w:tc>
        <w:tc>
          <w:tcPr>
            <w:tcW w:w="15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5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41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2733" w:type="dxa"/>
            <w:vAlign w:val="center"/>
          </w:tcPr>
          <w:p>
            <w:pPr>
              <w:widowControl w:val="0"/>
              <w:spacing w:after="0" w:line="23" w:lineRule="atLeast"/>
              <w:jc w:val="center"/>
              <w:rPr>
                <w:rFonts w:hint="default" w:ascii="Times New Roman" w:hAnsi="Times New Roman" w:eastAsia="SimSun" w:cs="Times New Roman"/>
                <w:i w:val="0"/>
                <w:iCs w:val="0"/>
                <w:color w:val="000000"/>
                <w:kern w:val="0"/>
                <w:sz w:val="20"/>
                <w:szCs w:val="20"/>
                <w:u w:val="none"/>
                <w:lang w:eastAsia="ro-RO" w:bidi="ar"/>
              </w:rPr>
            </w:pPr>
            <w:r>
              <w:rPr>
                <w:rFonts w:hint="default" w:ascii="Times New Roman" w:hAnsi="Times New Roman" w:eastAsia="SimSun" w:cs="Times New Roman"/>
                <w:i w:val="0"/>
                <w:iCs w:val="0"/>
                <w:color w:val="000000"/>
                <w:kern w:val="0"/>
                <w:sz w:val="20"/>
                <w:szCs w:val="20"/>
                <w:u w:val="none"/>
                <w:lang w:eastAsia="ro-RO" w:bidi="ar"/>
              </w:rPr>
              <w:t>Conform Caietului de sarcini</w:t>
            </w:r>
          </w:p>
        </w:tc>
        <w:tc>
          <w:tcPr>
            <w:tcW w:w="268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r>
    </w:tbl>
    <w:p>
      <w:pPr>
        <w:rPr>
          <w:rFonts w:hint="default" w:ascii="Times New Roman" w:hAnsi="Times New Roman" w:cs="Times New Roman"/>
        </w:rPr>
      </w:pPr>
    </w:p>
    <w:p>
      <w:pPr>
        <w:tabs>
          <w:tab w:val="left" w:pos="6120"/>
        </w:tabs>
        <w:rPr>
          <w:rFonts w:hint="default" w:ascii="Times New Roman" w:hAnsi="Times New Roman" w:cs="Times New Roman"/>
          <w:b/>
          <w:bCs/>
          <w:sz w:val="20"/>
          <w:szCs w:val="20"/>
        </w:rPr>
      </w:pPr>
      <w:r>
        <w:rPr>
          <w:rFonts w:hint="default" w:ascii="Times New Roman" w:hAnsi="Times New Roman" w:cs="Times New Roman"/>
          <w:b/>
          <w:bCs/>
          <w:sz w:val="20"/>
          <w:szCs w:val="20"/>
        </w:rPr>
        <w:t>*Notă: Ofertantul trebuie să completeze coloana 6 cu specificația tehnică desfășurată, adică să indice toți parametrii tehnici detaliat.</w:t>
      </w:r>
    </w:p>
    <w:p>
      <w:pPr>
        <w:rPr>
          <w:rFonts w:hint="default" w:ascii="Times New Roman" w:hAnsi="Times New Roman" w:cs="Times New Roman"/>
        </w:rPr>
      </w:pPr>
    </w:p>
    <w:p>
      <w:pPr>
        <w:spacing w:line="360" w:lineRule="auto"/>
        <w:rPr>
          <w:rFonts w:hint="default" w:ascii="Times New Roman" w:hAnsi="Times New Roman" w:cs="Times New Roman"/>
          <w:u w:val="single"/>
        </w:rPr>
      </w:pPr>
      <w:r>
        <w:rPr>
          <w:rFonts w:hint="default" w:ascii="Times New Roman" w:hAnsi="Times New Roman" w:cs="Times New Roman"/>
        </w:rPr>
        <w:t xml:space="preserve">Semnat: </w:t>
      </w:r>
      <w:r>
        <w:rPr>
          <w:rFonts w:hint="default" w:ascii="Times New Roman" w:hAnsi="Times New Roman" w:cs="Times New Roman"/>
          <w:u w:val="single"/>
        </w:rPr>
        <w:t xml:space="preserve">              </w:t>
      </w:r>
      <w:r>
        <w:rPr>
          <w:rFonts w:hint="default" w:ascii="Times New Roman" w:hAnsi="Times New Roman" w:cs="Times New Roman"/>
        </w:rPr>
        <w:t xml:space="preserve"> Numele, Prenumele: </w:t>
      </w:r>
      <w:r>
        <w:rPr>
          <w:rFonts w:hint="default" w:ascii="Times New Roman" w:hAnsi="Times New Roman" w:cs="Times New Roman"/>
          <w:u w:val="single"/>
        </w:rPr>
        <w:t xml:space="preserve">                             </w:t>
      </w:r>
      <w:r>
        <w:rPr>
          <w:rFonts w:hint="default" w:ascii="Times New Roman" w:hAnsi="Times New Roman" w:cs="Times New Roman"/>
        </w:rPr>
        <w:t xml:space="preserve"> În calitate de: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single"/>
        </w:rPr>
      </w:pPr>
      <w:r>
        <w:rPr>
          <w:rFonts w:hint="default" w:ascii="Times New Roman" w:hAnsi="Times New Roman" w:cs="Times New Roman"/>
          <w:u w:val="none"/>
        </w:rPr>
        <w:t xml:space="preserve">Ofertantul: </w:t>
      </w:r>
      <w:r>
        <w:rPr>
          <w:rFonts w:hint="default" w:ascii="Times New Roman" w:hAnsi="Times New Roman" w:cs="Times New Roman"/>
          <w:u w:val="single"/>
        </w:rPr>
        <w:t xml:space="preserve">                        </w:t>
      </w:r>
      <w:r>
        <w:rPr>
          <w:rFonts w:hint="default" w:ascii="Times New Roman" w:hAnsi="Times New Roman" w:cs="Times New Roman"/>
          <w:u w:val="none"/>
        </w:rPr>
        <w:t xml:space="preserve"> Adresa: </w:t>
      </w:r>
      <w:r>
        <w:rPr>
          <w:rFonts w:hint="default" w:ascii="Times New Roman" w:hAnsi="Times New Roman" w:cs="Times New Roman"/>
          <w:u w:val="single"/>
        </w:rPr>
        <w:t xml:space="preserve">                        </w:t>
      </w:r>
      <w:r>
        <w:rPr>
          <w:rFonts w:hint="default" w:ascii="Times New Roman" w:hAnsi="Times New Roman" w:cs="Times New Roman"/>
          <w:u w:val="single"/>
        </w:rPr>
        <w:br w:type="page"/>
      </w:r>
    </w:p>
    <w:p>
      <w:pPr>
        <w:keepNext w:val="0"/>
        <w:keepLines w:val="0"/>
        <w:pageBreakBefore w:val="0"/>
        <w:widowControl/>
        <w:kinsoku/>
        <w:wordWrap/>
        <w:overflowPunct/>
        <w:topLinePunct w:val="0"/>
        <w:autoSpaceDE/>
        <w:autoSpaceDN/>
        <w:bidi w:val="0"/>
        <w:adjustRightInd/>
        <w:snapToGrid/>
        <w:spacing w:before="181" w:beforeLines="50" w:after="181" w:afterLines="50"/>
        <w:textAlignment w:val="auto"/>
        <w:rPr>
          <w:rFonts w:hint="default" w:ascii="Times New Roman" w:hAnsi="Times New Roman" w:cs="Times New Roman"/>
          <w:b/>
          <w:bCs/>
          <w:color w:val="0000FF"/>
          <w:sz w:val="24"/>
          <w:szCs w:val="24"/>
        </w:rPr>
      </w:pPr>
      <w:r>
        <w:rPr>
          <w:rFonts w:hint="default" w:ascii="Times New Roman" w:hAnsi="Times New Roman" w:cs="Times New Roman"/>
          <w:b/>
          <w:bCs/>
          <w:color w:val="0000FF"/>
          <w:sz w:val="24"/>
          <w:szCs w:val="24"/>
        </w:rPr>
        <w:t>Specificații de preț</w:t>
      </w:r>
    </w:p>
    <w:p>
      <w:pPr>
        <w:keepNext w:val="0"/>
        <w:keepLines w:val="0"/>
        <w:pageBreakBefore w:val="0"/>
        <w:widowControl/>
        <w:kinsoku/>
        <w:wordWrap/>
        <w:overflowPunct/>
        <w:topLinePunct w:val="0"/>
        <w:autoSpaceDE/>
        <w:autoSpaceDN/>
        <w:bidi w:val="0"/>
        <w:adjustRightInd/>
        <w:snapToGrid/>
        <w:spacing w:before="181" w:beforeLines="50" w:after="181" w:afterLines="50"/>
        <w:jc w:val="center"/>
        <w:textAlignment w:val="auto"/>
        <w:rPr>
          <w:rFonts w:hint="default" w:ascii="Times New Roman" w:hAnsi="Times New Roman" w:cs="Times New Roman"/>
          <w:i/>
          <w:iCs/>
        </w:rPr>
      </w:pPr>
      <w:r>
        <w:rPr>
          <w:rFonts w:hint="default" w:ascii="Times New Roman" w:hAnsi="Times New Roman"/>
          <w:i/>
          <w:iCs/>
        </w:rPr>
        <w:t>[Acest tabel va fi completat de către ofertant în coloanele 5,6,7,8 și 11 la necesitate, iar de către autoritatea contractantă – în coloanele 1,2,3,4,9,10]</w:t>
      </w:r>
    </w:p>
    <w:tbl>
      <w:tblPr>
        <w:tblStyle w:val="6"/>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2" w:hRule="atLeast"/>
        </w:trPr>
        <w:tc>
          <w:tcPr>
            <w:tcW w:w="156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r>
              <w:rPr>
                <w:rFonts w:hint="default" w:ascii="Times New Roman" w:hAnsi="Times New Roman" w:cs="Times New Roman"/>
                <w:vertAlign w:val="baseline"/>
              </w:rPr>
              <w:t xml:space="preserve">Numărul procedurii de achiziție </w:t>
            </w:r>
            <w:r>
              <w:rPr>
                <w:rFonts w:hint="default" w:ascii="Times New Roman" w:hAnsi="Times New Roman" w:cs="Times New Roman"/>
                <w:u w:val="single"/>
                <w:vertAlign w:val="baseline"/>
              </w:rPr>
              <w:t xml:space="preserve">               </w:t>
            </w:r>
            <w:r>
              <w:rPr>
                <w:rFonts w:hint="default" w:ascii="Times New Roman" w:hAnsi="Times New Roman" w:cs="Times New Roman"/>
                <w:vertAlign w:val="baseline"/>
              </w:rPr>
              <w:t xml:space="preserve"> din </w:t>
            </w:r>
            <w:r>
              <w:rPr>
                <w:rFonts w:hint="default" w:ascii="Times New Roman" w:hAnsi="Times New Roman" w:cs="Times New Roman"/>
                <w:u w:val="single"/>
                <w:vertAlign w:val="baseline"/>
              </w:rPr>
              <w:t xml:space="preserve">          </w:t>
            </w:r>
            <w:r>
              <w:rPr>
                <w:rFonts w:hint="default" w:ascii="Times New Roman" w:hAnsi="Times New Roman" w:cs="Times New Roman"/>
                <w:u w:val="none"/>
                <w:vertAlign w:val="baseline"/>
              </w:rPr>
              <w:t xml:space="preserve"> </w:t>
            </w:r>
            <w:r>
              <w:rPr>
                <w:rFonts w:hint="default" w:ascii="Times New Roman" w:hAnsi="Times New Roman"/>
                <w:i/>
                <w:iCs/>
                <w:color w:val="FF0000"/>
                <w:u w:val="none"/>
                <w:vertAlign w:val="baseline"/>
              </w:rPr>
              <w:t>(operatorul economic va specifica MTender ID-ul procedurii și data publicării și va elimina textul din paranteze)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698" w:type="dxa"/>
            <w:vAlign w:val="center"/>
          </w:tcPr>
          <w:p>
            <w:pPr>
              <w:keepNext w:val="0"/>
              <w:keepLines w:val="0"/>
              <w:pageBreakBefore w:val="0"/>
              <w:widowControl/>
              <w:kinsoku/>
              <w:wordWrap/>
              <w:overflowPunct/>
              <w:topLinePunct w:val="0"/>
              <w:autoSpaceDE/>
              <w:autoSpaceDN/>
              <w:bidi w:val="0"/>
              <w:adjustRightInd/>
              <w:snapToGrid/>
              <w:spacing w:line="264" w:lineRule="auto"/>
              <w:ind w:left="1700" w:hanging="1700" w:hangingChars="850"/>
              <w:jc w:val="both"/>
              <w:textAlignment w:val="auto"/>
              <w:rPr>
                <w:rFonts w:hint="default" w:ascii="Times New Roman" w:hAnsi="Times New Roman" w:cs="Times New Roman"/>
                <w:vertAlign w:val="baseline"/>
              </w:rPr>
            </w:pPr>
            <w:r>
              <w:rPr>
                <w:rFonts w:hint="default" w:ascii="Times New Roman" w:hAnsi="Times New Roman" w:cs="Times New Roman"/>
                <w:vertAlign w:val="baseline"/>
              </w:rPr>
              <w:t xml:space="preserve">Obiectul achiziției: </w:t>
            </w:r>
            <w:r>
              <w:rPr>
                <w:rFonts w:hint="default" w:ascii="Times New Roman" w:hAnsi="Times New Roman"/>
                <w:u w:val="single"/>
                <w:vertAlign w:val="baseline"/>
              </w:rPr>
              <w:t>Servicii de proiectare - Consolidarea elementelor portante a podului rulant KM-20/5 din sala de mașini, inclusiv verificarea documentației de proiect și exercitarea supravegherii de autor</w:t>
            </w:r>
          </w:p>
        </w:tc>
      </w:tr>
    </w:tbl>
    <w:p>
      <w:pPr>
        <w:rPr>
          <w:rFonts w:hint="default" w:ascii="Times New Roman" w:hAnsi="Times New Roman" w:cs="Times New Roman"/>
        </w:rPr>
      </w:pPr>
    </w:p>
    <w:tbl>
      <w:tblPr>
        <w:tblStyle w:val="6"/>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821"/>
        <w:gridCol w:w="2196"/>
        <w:gridCol w:w="1200"/>
        <w:gridCol w:w="975"/>
        <w:gridCol w:w="1290"/>
        <w:gridCol w:w="1365"/>
        <w:gridCol w:w="1275"/>
        <w:gridCol w:w="1125"/>
        <w:gridCol w:w="2749"/>
        <w:gridCol w:w="1200"/>
        <w:gridCol w:w="9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trPr>
        <w:tc>
          <w:tcPr>
            <w:tcW w:w="53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Nr. lot</w:t>
            </w:r>
          </w:p>
        </w:tc>
        <w:tc>
          <w:tcPr>
            <w:tcW w:w="82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eastAsia="Times New Roman" w:cs="Times New Roman"/>
                <w:b/>
                <w:sz w:val="20"/>
                <w:szCs w:val="24"/>
                <w:u w:val="none"/>
                <w:lang w:eastAsia="en-US" w:bidi="ar-SA"/>
              </w:rPr>
            </w:pPr>
            <w:r>
              <w:rPr>
                <w:rFonts w:hint="default" w:ascii="Times New Roman" w:hAnsi="Times New Roman" w:cs="Times New Roman"/>
                <w:b/>
                <w:sz w:val="20"/>
                <w:u w:val="none"/>
              </w:rPr>
              <w:t>Cod CPV</w:t>
            </w:r>
          </w:p>
        </w:tc>
        <w:tc>
          <w:tcPr>
            <w:tcW w:w="219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Denumirea bunurilor/serviciilor</w:t>
            </w:r>
          </w:p>
        </w:tc>
        <w:tc>
          <w:tcPr>
            <w:tcW w:w="120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Unitatea de măsură</w:t>
            </w:r>
          </w:p>
        </w:tc>
        <w:tc>
          <w:tcPr>
            <w:tcW w:w="97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u w:val="none"/>
              </w:rPr>
            </w:pPr>
            <w:r>
              <w:rPr>
                <w:rFonts w:hint="default" w:ascii="Times New Roman" w:hAnsi="Times New Roman" w:cs="Times New Roman"/>
                <w:b/>
                <w:sz w:val="20"/>
                <w:u w:val="none"/>
              </w:rPr>
              <w:t>Canti-</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tatea</w:t>
            </w:r>
          </w:p>
        </w:tc>
        <w:tc>
          <w:tcPr>
            <w:tcW w:w="129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Preţ unitar (fără TVA)</w:t>
            </w:r>
          </w:p>
        </w:tc>
        <w:tc>
          <w:tcPr>
            <w:tcW w:w="136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Preţ unitar (cu TVA)</w:t>
            </w:r>
          </w:p>
        </w:tc>
        <w:tc>
          <w:tcPr>
            <w:tcW w:w="127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u w:val="none"/>
              </w:rPr>
            </w:pPr>
            <w:r>
              <w:rPr>
                <w:rFonts w:hint="default" w:ascii="Times New Roman" w:hAnsi="Times New Roman" w:cs="Times New Roman"/>
                <w:b/>
                <w:sz w:val="20"/>
                <w:u w:val="none"/>
              </w:rPr>
              <w:t>Suma</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fără TVA</w:t>
            </w:r>
          </w:p>
        </w:tc>
        <w:tc>
          <w:tcPr>
            <w:tcW w:w="112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u w:val="none"/>
              </w:rPr>
            </w:pPr>
            <w:r>
              <w:rPr>
                <w:rFonts w:hint="default" w:ascii="Times New Roman" w:hAnsi="Times New Roman" w:cs="Times New Roman"/>
                <w:b/>
                <w:sz w:val="20"/>
                <w:u w:val="none"/>
              </w:rPr>
              <w:t>Suma</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cu TVA</w:t>
            </w:r>
          </w:p>
        </w:tc>
        <w:tc>
          <w:tcPr>
            <w:tcW w:w="2749"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szCs w:val="28"/>
                <w:u w:val="none"/>
              </w:rPr>
            </w:pPr>
            <w:r>
              <w:rPr>
                <w:rFonts w:hint="default" w:ascii="Times New Roman" w:hAnsi="Times New Roman" w:cs="Times New Roman"/>
                <w:b/>
                <w:sz w:val="20"/>
                <w:szCs w:val="28"/>
                <w:u w:val="none"/>
              </w:rPr>
              <w:t>Termenul de</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szCs w:val="28"/>
                <w:u w:val="none"/>
              </w:rPr>
              <w:t>livrare/prestare</w:t>
            </w:r>
          </w:p>
        </w:tc>
        <w:tc>
          <w:tcPr>
            <w:tcW w:w="120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8"/>
                <w:u w:val="none"/>
                <w:lang w:eastAsia="zh-CN" w:bidi="ar-SA"/>
              </w:rPr>
            </w:pPr>
            <w:r>
              <w:rPr>
                <w:rFonts w:hint="default" w:ascii="Times New Roman" w:hAnsi="Times New Roman" w:cs="Times New Roman"/>
                <w:b/>
                <w:sz w:val="20"/>
                <w:szCs w:val="28"/>
                <w:u w:val="none"/>
              </w:rPr>
              <w:t>Clasificație bugetară (IBAN)</w:t>
            </w:r>
          </w:p>
        </w:tc>
        <w:tc>
          <w:tcPr>
            <w:tcW w:w="97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szCs w:val="28"/>
                <w:u w:val="none"/>
              </w:rPr>
            </w:pPr>
            <w:r>
              <w:rPr>
                <w:rFonts w:hint="default" w:ascii="Times New Roman" w:hAnsi="Times New Roman" w:cs="Times New Roman"/>
                <w:b/>
                <w:sz w:val="20"/>
                <w:szCs w:val="28"/>
                <w:u w:val="none"/>
              </w:rPr>
              <w:t>Discount</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8"/>
                <w:u w:val="none"/>
                <w:lang w:eastAsia="zh-CN" w:bidi="ar-SA"/>
              </w:rPr>
            </w:pPr>
            <w:r>
              <w:rPr>
                <w:rFonts w:hint="default" w:ascii="Times New Roman" w:hAnsi="Times New Roman" w:cs="Times New Roman"/>
                <w:b/>
                <w:sz w:val="20"/>
                <w:szCs w:val="28"/>
                <w:u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3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0</w:t>
            </w:r>
          </w:p>
        </w:tc>
        <w:tc>
          <w:tcPr>
            <w:tcW w:w="82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1</w:t>
            </w:r>
          </w:p>
        </w:tc>
        <w:tc>
          <w:tcPr>
            <w:tcW w:w="219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2</w:t>
            </w:r>
          </w:p>
        </w:tc>
        <w:tc>
          <w:tcPr>
            <w:tcW w:w="120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3</w:t>
            </w:r>
          </w:p>
        </w:tc>
        <w:tc>
          <w:tcPr>
            <w:tcW w:w="97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4</w:t>
            </w:r>
          </w:p>
        </w:tc>
        <w:tc>
          <w:tcPr>
            <w:tcW w:w="129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5</w:t>
            </w:r>
          </w:p>
        </w:tc>
        <w:tc>
          <w:tcPr>
            <w:tcW w:w="136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6</w:t>
            </w:r>
          </w:p>
        </w:tc>
        <w:tc>
          <w:tcPr>
            <w:tcW w:w="127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7</w:t>
            </w:r>
          </w:p>
        </w:tc>
        <w:tc>
          <w:tcPr>
            <w:tcW w:w="112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8</w:t>
            </w:r>
          </w:p>
        </w:tc>
        <w:tc>
          <w:tcPr>
            <w:tcW w:w="2749"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9</w:t>
            </w:r>
          </w:p>
        </w:tc>
        <w:tc>
          <w:tcPr>
            <w:tcW w:w="120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10</w:t>
            </w:r>
          </w:p>
        </w:tc>
        <w:tc>
          <w:tcPr>
            <w:tcW w:w="97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02" w:type="dxa"/>
            <w:gridSpan w:val="12"/>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sz w:val="20"/>
                <w:u w:val="none"/>
              </w:rPr>
            </w:pPr>
            <w:r>
              <w:rPr>
                <w:rFonts w:hint="default" w:ascii="Times New Roman" w:hAnsi="Times New Roman" w:cs="Times New Roman"/>
                <w:b/>
                <w:color w:val="000000" w:themeColor="text1"/>
                <w:sz w:val="20"/>
                <w:szCs w:val="20"/>
                <w14:textFill>
                  <w14:solidFill>
                    <w14:schemeClr w14:val="tx1"/>
                  </w14:solidFill>
                </w14:textFill>
              </w:rPr>
              <w:t>Lot 1. Elaborarea documentației de proiect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trPr>
        <w:tc>
          <w:tcPr>
            <w:tcW w:w="532"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821" w:type="dxa"/>
            <w:vMerge w:val="restart"/>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right="113"/>
              <w:jc w:val="center"/>
              <w:textAlignment w:val="auto"/>
              <w:rPr>
                <w:rFonts w:hint="default" w:ascii="Times New Roman" w:hAnsi="Times New Roman" w:cs="Times New Roman"/>
                <w:color w:val="000000" w:themeColor="text1"/>
                <w:sz w:val="15"/>
                <w:szCs w:val="15"/>
                <w:lang w:eastAsia="en-US"/>
                <w14:textFill>
                  <w14:solidFill>
                    <w14:schemeClr w14:val="tx1"/>
                  </w14:solidFill>
                </w14:textFill>
              </w:rPr>
            </w:pPr>
            <w:r>
              <w:rPr>
                <w:rFonts w:hint="default" w:ascii="Times New Roman" w:hAnsi="Times New Roman" w:cs="Times New Roman"/>
                <w:iCs/>
                <w:color w:val="000000" w:themeColor="text1"/>
                <w:sz w:val="20"/>
                <w:szCs w:val="20"/>
                <w:highlight w:val="none"/>
                <w14:textFill>
                  <w14:solidFill>
                    <w14:schemeClr w14:val="tx1"/>
                  </w14:solidFill>
                </w14:textFill>
              </w:rPr>
              <w:t>71327000-6</w:t>
            </w:r>
          </w:p>
        </w:tc>
        <w:tc>
          <w:tcPr>
            <w:tcW w:w="2196" w:type="dxa"/>
            <w:vAlign w:val="center"/>
          </w:tcPr>
          <w:p>
            <w:pPr>
              <w:widowControl w:val="0"/>
              <w:spacing w:after="0" w:line="23" w:lineRule="atLeast"/>
              <w:jc w:val="both"/>
              <w:rPr>
                <w:rFonts w:hint="default" w:ascii="Times New Roman" w:hAnsi="Times New Roman" w:cs="Times New Roman"/>
                <w:i w:val="0"/>
                <w:iCs w:val="0"/>
                <w:sz w:val="20"/>
                <w:szCs w:val="20"/>
                <w:lang w:eastAsia="ro-RO"/>
              </w:rPr>
            </w:pPr>
            <w:r>
              <w:rPr>
                <w:rFonts w:hint="default" w:ascii="Times New Roman" w:hAnsi="Times New Roman" w:cs="Times New Roman"/>
              </w:rPr>
              <w:t>Elaborarea documentației de proiect (faza de proiectare - proiect de execuție a lucrărilor „PEL”; proiect de organizare a șantierului „POS”), având la bază Raportul de expertiză tehnică nr. 625-04-24/T și documentele normative în vigoare</w:t>
            </w:r>
          </w:p>
        </w:tc>
        <w:tc>
          <w:tcPr>
            <w:tcW w:w="1200" w:type="dxa"/>
            <w:vAlign w:val="center"/>
          </w:tcPr>
          <w:p>
            <w:pPr>
              <w:keepNext w:val="0"/>
              <w:keepLines w:val="0"/>
              <w:pageBreakBefore w:val="0"/>
              <w:widowControl/>
              <w:tabs>
                <w:tab w:val="left" w:pos="720"/>
              </w:tabs>
              <w:kinsoku/>
              <w:wordWrap/>
              <w:overflowPunct/>
              <w:topLinePunct w:val="0"/>
              <w:autoSpaceDE/>
              <w:autoSpaceDN/>
              <w:bidi w:val="0"/>
              <w:snapToGrid/>
              <w:spacing w:after="0" w:line="240" w:lineRule="auto"/>
              <w:jc w:val="center"/>
              <w:textAlignment w:val="auto"/>
              <w:rPr>
                <w:rFonts w:hint="default" w:ascii="Times New Roman" w:hAnsi="Times New Roman" w:cs="Times New Roman" w:eastAsiaTheme="minorEastAsia"/>
                <w:sz w:val="20"/>
                <w:szCs w:val="20"/>
                <w:lang w:eastAsia="en-US" w:bidi="ar-SA"/>
              </w:rPr>
            </w:pPr>
            <w:r>
              <w:rPr>
                <w:rFonts w:hint="default" w:ascii="Times New Roman" w:hAnsi="Times New Roman" w:eastAsia="SimSun" w:cs="Times New Roman"/>
                <w:i w:val="0"/>
                <w:iCs w:val="0"/>
                <w:color w:val="000000"/>
                <w:kern w:val="0"/>
                <w:sz w:val="20"/>
                <w:szCs w:val="20"/>
                <w:u w:val="none"/>
                <w:lang w:eastAsia="zh-CN" w:bidi="ar"/>
              </w:rPr>
              <w:t>-</w:t>
            </w:r>
          </w:p>
        </w:tc>
        <w:tc>
          <w:tcPr>
            <w:tcW w:w="975" w:type="dxa"/>
            <w:vAlign w:val="center"/>
          </w:tcPr>
          <w:p>
            <w:pPr>
              <w:keepNext w:val="0"/>
              <w:keepLines w:val="0"/>
              <w:pageBreakBefore w:val="0"/>
              <w:widowControl/>
              <w:tabs>
                <w:tab w:val="left" w:pos="720"/>
              </w:tabs>
              <w:kinsoku/>
              <w:wordWrap/>
              <w:overflowPunct/>
              <w:topLinePunct w:val="0"/>
              <w:autoSpaceDE/>
              <w:autoSpaceDN/>
              <w:bidi w:val="0"/>
              <w:adjustRightInd w:val="0"/>
              <w:snapToGrid/>
              <w:spacing w:after="0" w:line="240" w:lineRule="auto"/>
              <w:jc w:val="center"/>
              <w:textAlignment w:val="auto"/>
              <w:rPr>
                <w:rFonts w:hint="default" w:ascii="Times New Roman" w:hAnsi="Times New Roman" w:cs="Times New Roman"/>
                <w:b w:val="0"/>
                <w:bCs/>
                <w:sz w:val="20"/>
                <w:szCs w:val="20"/>
                <w:lang w:eastAsia="en-US"/>
              </w:rPr>
            </w:pPr>
            <w:r>
              <w:rPr>
                <w:rFonts w:hint="default" w:ascii="Times New Roman" w:hAnsi="Times New Roman" w:eastAsia="SimSun" w:cs="Times New Roman"/>
                <w:i w:val="0"/>
                <w:iCs w:val="0"/>
                <w:color w:val="000000"/>
                <w:kern w:val="0"/>
                <w:sz w:val="20"/>
                <w:szCs w:val="20"/>
                <w:u w:val="none"/>
                <w:lang w:eastAsia="zh-CN" w:bidi="ar"/>
              </w:rPr>
              <w:t>s</w:t>
            </w:r>
            <w:r>
              <w:rPr>
                <w:rFonts w:hint="default" w:ascii="Times New Roman" w:hAnsi="Times New Roman" w:eastAsia="SimSun" w:cs="Times New Roman"/>
                <w:i w:val="0"/>
                <w:iCs w:val="0"/>
                <w:color w:val="000000"/>
                <w:kern w:val="0"/>
                <w:sz w:val="20"/>
                <w:szCs w:val="20"/>
                <w:u w:val="none"/>
                <w:lang w:eastAsia="zh-CN" w:bidi="ar"/>
              </w:rPr>
              <w:t>ervicii</w:t>
            </w:r>
          </w:p>
        </w:tc>
        <w:tc>
          <w:tcPr>
            <w:tcW w:w="129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27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12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2749" w:type="dxa"/>
            <w:vMerge w:val="restart"/>
            <w:shd w:val="clear" w:color="auto" w:fill="auto"/>
            <w:vAlign w:val="center"/>
          </w:tcPr>
          <w:p>
            <w:pPr>
              <w:keepNext w:val="0"/>
              <w:keepLines w:val="0"/>
              <w:pageBreakBefore w:val="0"/>
              <w:widowControl/>
              <w:numPr>
                <w:numId w:val="0"/>
              </w:numPr>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eastAsia="zh-CN" w:bidi="ar-SA"/>
              </w:rPr>
            </w:pPr>
            <w:r>
              <w:rPr>
                <w:rFonts w:hint="default" w:ascii="Times New Roman" w:hAnsi="Times New Roman"/>
                <w:u w:val="single"/>
                <w:vertAlign w:val="baseline"/>
                <w:lang w:eastAsia="zh-CN"/>
              </w:rPr>
              <w:t>O</w:t>
            </w:r>
            <w:r>
              <w:rPr>
                <w:rFonts w:hint="default" w:ascii="Times New Roman" w:hAnsi="Times New Roman" w:eastAsiaTheme="minorEastAsia"/>
                <w:u w:val="single"/>
                <w:vertAlign w:val="baseline"/>
                <w:lang w:val="en-US" w:eastAsia="zh-CN"/>
              </w:rPr>
              <w:t>peratorul economic desemnat câștigător se obligă să livreze documentația de proiect, elaborată și verificată, în termen de 45 (patruzeci și cinci) zile de la semnarea contractului. Odată cu coordonarea documentației de proiect de către Entitatea contractantă, Operatorul economic o va livra Entității contractante în 3 exemplare pe suport de hârtie (copertate) și electronic, în format PDF.</w:t>
            </w:r>
          </w:p>
        </w:tc>
        <w:tc>
          <w:tcPr>
            <w:tcW w:w="1200" w:type="dxa"/>
            <w:vMerge w:val="restart"/>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s="Times New Roman" w:eastAsiaTheme="minorEastAsia"/>
                <w:u w:val="none"/>
                <w:vertAlign w:val="baseline"/>
                <w:lang w:val="en-US" w:eastAsia="zh-CN" w:bidi="ar-SA"/>
              </w:rPr>
            </w:pPr>
            <w:r>
              <w:rPr>
                <w:rFonts w:hint="default" w:ascii="Times New Roman" w:hAnsi="Times New Roman"/>
                <w:sz w:val="20"/>
                <w:szCs w:val="20"/>
                <w:u w:val="none"/>
              </w:rPr>
              <w:t>MD21ML022510000000004015</w:t>
            </w:r>
          </w:p>
        </w:tc>
        <w:tc>
          <w:tcPr>
            <w:tcW w:w="97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trPr>
        <w:tc>
          <w:tcPr>
            <w:tcW w:w="532"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821" w:type="dxa"/>
            <w:vMerge w:val="continue"/>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right="113"/>
              <w:jc w:val="center"/>
              <w:textAlignment w:val="auto"/>
              <w:rPr>
                <w:rFonts w:hint="default" w:ascii="Times New Roman" w:hAnsi="Times New Roman" w:cs="Times New Roman"/>
                <w:iCs/>
                <w:color w:val="000000" w:themeColor="text1"/>
                <w:sz w:val="20"/>
                <w:szCs w:val="20"/>
                <w:highlight w:val="none"/>
                <w14:textFill>
                  <w14:solidFill>
                    <w14:schemeClr w14:val="tx1"/>
                  </w14:solidFill>
                </w14:textFill>
              </w:rPr>
            </w:pPr>
          </w:p>
        </w:tc>
        <w:tc>
          <w:tcPr>
            <w:tcW w:w="2196" w:type="dxa"/>
            <w:vAlign w:val="center"/>
          </w:tcPr>
          <w:p>
            <w:pPr>
              <w:widowControl w:val="0"/>
              <w:spacing w:after="0" w:line="23" w:lineRule="atLeast"/>
              <w:jc w:val="both"/>
              <w:rPr>
                <w:rFonts w:hint="default" w:ascii="Times New Roman" w:hAnsi="Times New Roman" w:eastAsia="SimSun"/>
                <w:i w:val="0"/>
                <w:iCs w:val="0"/>
                <w:color w:val="000000"/>
                <w:kern w:val="0"/>
                <w:sz w:val="20"/>
                <w:szCs w:val="20"/>
                <w:u w:val="none"/>
                <w:lang w:eastAsia="zh-CN"/>
              </w:rPr>
            </w:pPr>
            <w:r>
              <w:rPr>
                <w:rFonts w:hint="default" w:ascii="Times New Roman" w:hAnsi="Times New Roman" w:cs="Times New Roman"/>
              </w:rPr>
              <w:t>Verificarea documentației de proiect elaborate, conform documentelor normative naționale</w:t>
            </w:r>
          </w:p>
        </w:tc>
        <w:tc>
          <w:tcPr>
            <w:tcW w:w="1200" w:type="dxa"/>
            <w:vAlign w:val="center"/>
          </w:tcPr>
          <w:p>
            <w:pPr>
              <w:keepNext w:val="0"/>
              <w:keepLines w:val="0"/>
              <w:pageBreakBefore w:val="0"/>
              <w:widowControl/>
              <w:tabs>
                <w:tab w:val="left" w:pos="720"/>
              </w:tabs>
              <w:kinsoku/>
              <w:wordWrap/>
              <w:overflowPunct/>
              <w:topLinePunct w:val="0"/>
              <w:autoSpaceDE/>
              <w:autoSpaceDN/>
              <w:bidi w:val="0"/>
              <w:snapToGrid/>
              <w:spacing w:after="0" w:line="240" w:lineRule="auto"/>
              <w:jc w:val="center"/>
              <w:textAlignment w:val="auto"/>
              <w:rPr>
                <w:rFonts w:hint="default" w:ascii="Times New Roman" w:hAnsi="Times New Roman" w:eastAsia="SimSun" w:cs="Times New Roman"/>
                <w:i w:val="0"/>
                <w:iCs w:val="0"/>
                <w:color w:val="000000"/>
                <w:kern w:val="0"/>
                <w:sz w:val="20"/>
                <w:szCs w:val="20"/>
                <w:u w:val="none"/>
                <w:lang w:eastAsia="zh-CN" w:bidi="ar"/>
              </w:rPr>
            </w:pPr>
            <w:r>
              <w:rPr>
                <w:rFonts w:hint="default" w:ascii="Times New Roman" w:hAnsi="Times New Roman" w:eastAsia="SimSun" w:cs="Times New Roman"/>
                <w:i w:val="0"/>
                <w:iCs w:val="0"/>
                <w:color w:val="000000"/>
                <w:kern w:val="0"/>
                <w:sz w:val="20"/>
                <w:szCs w:val="20"/>
                <w:u w:val="none"/>
                <w:lang w:eastAsia="zh-CN" w:bidi="ar"/>
              </w:rPr>
              <w:t>-</w:t>
            </w:r>
          </w:p>
        </w:tc>
        <w:tc>
          <w:tcPr>
            <w:tcW w:w="975" w:type="dxa"/>
            <w:vAlign w:val="center"/>
          </w:tcPr>
          <w:p>
            <w:pPr>
              <w:keepNext w:val="0"/>
              <w:keepLines w:val="0"/>
              <w:pageBreakBefore w:val="0"/>
              <w:widowControl/>
              <w:tabs>
                <w:tab w:val="left" w:pos="720"/>
              </w:tabs>
              <w:kinsoku/>
              <w:wordWrap/>
              <w:overflowPunct/>
              <w:topLinePunct w:val="0"/>
              <w:autoSpaceDE/>
              <w:autoSpaceDN/>
              <w:bidi w:val="0"/>
              <w:adjustRightInd w:val="0"/>
              <w:snapToGrid/>
              <w:spacing w:after="0" w:line="240" w:lineRule="auto"/>
              <w:jc w:val="center"/>
              <w:textAlignment w:val="auto"/>
              <w:rPr>
                <w:rFonts w:hint="default" w:ascii="Times New Roman" w:hAnsi="Times New Roman" w:eastAsia="SimSun" w:cs="Times New Roman"/>
                <w:i w:val="0"/>
                <w:iCs w:val="0"/>
                <w:color w:val="000000"/>
                <w:kern w:val="0"/>
                <w:sz w:val="20"/>
                <w:szCs w:val="20"/>
                <w:u w:val="none"/>
                <w:lang w:eastAsia="zh-CN" w:bidi="ar"/>
              </w:rPr>
            </w:pPr>
            <w:r>
              <w:rPr>
                <w:rFonts w:hint="default" w:ascii="Times New Roman" w:hAnsi="Times New Roman" w:eastAsia="SimSun" w:cs="Times New Roman"/>
                <w:i w:val="0"/>
                <w:iCs w:val="0"/>
                <w:color w:val="000000"/>
                <w:kern w:val="0"/>
                <w:sz w:val="20"/>
                <w:szCs w:val="20"/>
                <w:u w:val="none"/>
                <w:lang w:eastAsia="zh-CN" w:bidi="ar"/>
              </w:rPr>
              <w:t>servicii</w:t>
            </w:r>
          </w:p>
        </w:tc>
        <w:tc>
          <w:tcPr>
            <w:tcW w:w="129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27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12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2749" w:type="dxa"/>
            <w:vMerge w:val="continue"/>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00" w:type="dxa"/>
            <w:vMerge w:val="continue"/>
            <w:tcBorders/>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sz w:val="20"/>
                <w:szCs w:val="20"/>
                <w:u w:val="none"/>
              </w:rPr>
            </w:pPr>
          </w:p>
        </w:tc>
        <w:tc>
          <w:tcPr>
            <w:tcW w:w="97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trPr>
        <w:tc>
          <w:tcPr>
            <w:tcW w:w="15702" w:type="dxa"/>
            <w:gridSpan w:val="12"/>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u w:val="none"/>
                <w:vertAlign w:val="baseline"/>
              </w:rPr>
            </w:pPr>
            <w:r>
              <w:rPr>
                <w:rFonts w:hint="default" w:ascii="Times New Roman" w:hAnsi="Times New Roman"/>
                <w:b/>
                <w:bCs/>
                <w:sz w:val="20"/>
                <w:szCs w:val="20"/>
                <w:highlight w:val="lightGray"/>
                <w:shd w:val="clear" w:color="FFFFFF" w:fill="D9D9D9"/>
                <w:vertAlign w:val="baseline"/>
              </w:rPr>
              <w:t>Lot 2. Supraveghere de autor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trPr>
        <w:tc>
          <w:tcPr>
            <w:tcW w:w="532"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821"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right="113"/>
              <w:jc w:val="center"/>
              <w:textAlignment w:val="auto"/>
              <w:rPr>
                <w:rFonts w:hint="default" w:ascii="Times New Roman" w:hAnsi="Times New Roman" w:cs="Times New Roman"/>
                <w:iCs/>
                <w:color w:val="000000" w:themeColor="text1"/>
                <w:sz w:val="20"/>
                <w:szCs w:val="20"/>
                <w:highlight w:val="none"/>
                <w14:textFill>
                  <w14:solidFill>
                    <w14:schemeClr w14:val="tx1"/>
                  </w14:solidFill>
                </w14:textFill>
              </w:rPr>
            </w:pPr>
            <w:r>
              <w:rPr>
                <w:rFonts w:hint="default" w:ascii="Times New Roman" w:hAnsi="Times New Roman" w:cs="Times New Roman"/>
                <w:iCs/>
                <w:color w:val="000000" w:themeColor="text1"/>
                <w:sz w:val="20"/>
                <w:szCs w:val="20"/>
                <w:highlight w:val="none"/>
                <w14:textFill>
                  <w14:solidFill>
                    <w14:schemeClr w14:val="tx1"/>
                  </w14:solidFill>
                </w14:textFill>
              </w:rPr>
              <w:t>71327000-6</w:t>
            </w:r>
          </w:p>
        </w:tc>
        <w:tc>
          <w:tcPr>
            <w:tcW w:w="2196" w:type="dxa"/>
            <w:vAlign w:val="center"/>
          </w:tcPr>
          <w:p>
            <w:pPr>
              <w:keepNext w:val="0"/>
              <w:keepLines w:val="0"/>
              <w:widowControl/>
              <w:suppressLineNumbers w:val="0"/>
              <w:ind w:left="0" w:leftChars="0" w:firstLine="0" w:firstLineChars="0"/>
              <w:jc w:val="both"/>
              <w:textAlignment w:val="center"/>
              <w:rPr>
                <w:rFonts w:hint="default" w:ascii="Times New Roman" w:hAnsi="Times New Roman" w:eastAsia="SimSun"/>
                <w:i w:val="0"/>
                <w:iCs w:val="0"/>
                <w:color w:val="000000"/>
                <w:kern w:val="0"/>
                <w:sz w:val="20"/>
                <w:szCs w:val="20"/>
                <w:u w:val="none"/>
                <w:lang w:eastAsia="zh-CN"/>
              </w:rPr>
            </w:pPr>
            <w:r>
              <w:rPr>
                <w:rFonts w:hint="default" w:ascii="Times New Roman" w:hAnsi="Times New Roman" w:eastAsia="SimSun"/>
                <w:i w:val="0"/>
                <w:iCs w:val="0"/>
                <w:color w:val="000000"/>
                <w:kern w:val="0"/>
                <w:sz w:val="20"/>
                <w:szCs w:val="20"/>
                <w:u w:val="none"/>
                <w:lang w:eastAsia="zh-CN"/>
              </w:rPr>
              <w:t>Monitorizarea aplicării prevederilor documentației de proiect în procesul de execuție a lucrărilor de construcții, în baza contractului de supraveghere de autor</w:t>
            </w:r>
          </w:p>
        </w:tc>
        <w:tc>
          <w:tcPr>
            <w:tcW w:w="1200" w:type="dxa"/>
            <w:vAlign w:val="center"/>
          </w:tcPr>
          <w:p>
            <w:pPr>
              <w:keepNext w:val="0"/>
              <w:keepLines w:val="0"/>
              <w:pageBreakBefore w:val="0"/>
              <w:widowControl/>
              <w:tabs>
                <w:tab w:val="left" w:pos="720"/>
              </w:tabs>
              <w:kinsoku/>
              <w:wordWrap/>
              <w:overflowPunct/>
              <w:topLinePunct w:val="0"/>
              <w:autoSpaceDE/>
              <w:autoSpaceDN/>
              <w:bidi w:val="0"/>
              <w:snapToGrid/>
              <w:spacing w:after="0" w:line="240" w:lineRule="auto"/>
              <w:jc w:val="center"/>
              <w:textAlignment w:val="auto"/>
              <w:rPr>
                <w:rFonts w:hint="default" w:ascii="Times New Roman" w:hAnsi="Times New Roman" w:eastAsia="SimSun" w:cs="Times New Roman"/>
                <w:i w:val="0"/>
                <w:iCs w:val="0"/>
                <w:color w:val="000000"/>
                <w:kern w:val="0"/>
                <w:sz w:val="20"/>
                <w:szCs w:val="20"/>
                <w:u w:val="none"/>
                <w:lang w:eastAsia="zh-CN" w:bidi="ar"/>
              </w:rPr>
            </w:pPr>
            <w:r>
              <w:rPr>
                <w:rFonts w:hint="default" w:ascii="Times New Roman" w:hAnsi="Times New Roman" w:eastAsia="SimSun" w:cs="Times New Roman"/>
                <w:i w:val="0"/>
                <w:iCs w:val="0"/>
                <w:color w:val="000000"/>
                <w:kern w:val="0"/>
                <w:sz w:val="20"/>
                <w:szCs w:val="20"/>
                <w:u w:val="none"/>
                <w:lang w:eastAsia="zh-CN" w:bidi="ar"/>
              </w:rPr>
              <w:t>-</w:t>
            </w:r>
          </w:p>
        </w:tc>
        <w:tc>
          <w:tcPr>
            <w:tcW w:w="975" w:type="dxa"/>
            <w:vAlign w:val="center"/>
          </w:tcPr>
          <w:p>
            <w:pPr>
              <w:keepNext w:val="0"/>
              <w:keepLines w:val="0"/>
              <w:pageBreakBefore w:val="0"/>
              <w:widowControl/>
              <w:tabs>
                <w:tab w:val="left" w:pos="720"/>
              </w:tabs>
              <w:kinsoku/>
              <w:wordWrap/>
              <w:overflowPunct/>
              <w:topLinePunct w:val="0"/>
              <w:autoSpaceDE/>
              <w:autoSpaceDN/>
              <w:bidi w:val="0"/>
              <w:adjustRightInd w:val="0"/>
              <w:snapToGrid/>
              <w:spacing w:after="0" w:line="240" w:lineRule="auto"/>
              <w:jc w:val="center"/>
              <w:textAlignment w:val="auto"/>
              <w:rPr>
                <w:rFonts w:hint="default" w:ascii="Times New Roman" w:hAnsi="Times New Roman" w:eastAsia="SimSun" w:cs="Times New Roman"/>
                <w:i w:val="0"/>
                <w:iCs w:val="0"/>
                <w:color w:val="000000"/>
                <w:kern w:val="0"/>
                <w:sz w:val="20"/>
                <w:szCs w:val="20"/>
                <w:u w:val="none"/>
                <w:lang w:eastAsia="zh-CN" w:bidi="ar"/>
              </w:rPr>
            </w:pPr>
            <w:r>
              <w:rPr>
                <w:rFonts w:hint="default" w:ascii="Times New Roman" w:hAnsi="Times New Roman" w:eastAsia="SimSun" w:cs="Times New Roman"/>
                <w:i w:val="0"/>
                <w:iCs w:val="0"/>
                <w:color w:val="000000"/>
                <w:kern w:val="0"/>
                <w:sz w:val="20"/>
                <w:szCs w:val="20"/>
                <w:u w:val="none"/>
                <w:lang w:eastAsia="zh-CN" w:bidi="ar"/>
              </w:rPr>
              <w:t>servicii</w:t>
            </w:r>
          </w:p>
        </w:tc>
        <w:tc>
          <w:tcPr>
            <w:tcW w:w="129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27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12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2749"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eastAsiaTheme="minorEastAsia"/>
                <w:u w:val="single"/>
                <w:vertAlign w:val="baseline"/>
                <w:lang w:val="en-US" w:eastAsia="zh-CN"/>
              </w:rPr>
              <w:t xml:space="preserve">Prestatorul se obligă, pe parcursul exercitării supravegherii de autor, să efectueze modificări la documentația de proiect, în cazul în care apare necesitatea. </w:t>
            </w:r>
          </w:p>
        </w:tc>
        <w:tc>
          <w:tcPr>
            <w:tcW w:w="1200"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sz w:val="20"/>
                <w:szCs w:val="20"/>
                <w:u w:val="none"/>
              </w:rPr>
            </w:pPr>
            <w:r>
              <w:rPr>
                <w:rFonts w:hint="default" w:ascii="Times New Roman" w:hAnsi="Times New Roman"/>
                <w:sz w:val="20"/>
                <w:szCs w:val="20"/>
                <w:u w:val="none"/>
              </w:rPr>
              <w:t>MD21ML022510000000004015</w:t>
            </w:r>
          </w:p>
        </w:tc>
        <w:tc>
          <w:tcPr>
            <w:tcW w:w="97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Chars="0"/>
              <w:jc w:val="both"/>
              <w:textAlignment w:val="auto"/>
              <w:rPr>
                <w:rFonts w:hint="default" w:ascii="Times New Roman" w:hAnsi="Times New Roman" w:cs="Times New Roman"/>
                <w:u w:val="none"/>
                <w:vertAlign w:val="baseline"/>
              </w:rPr>
            </w:pPr>
          </w:p>
        </w:tc>
        <w:tc>
          <w:tcPr>
            <w:tcW w:w="82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15"/>
                <w:szCs w:val="15"/>
                <w14:textFill>
                  <w14:solidFill>
                    <w14:schemeClr w14:val="tx1"/>
                  </w14:solidFill>
                </w14:textFill>
              </w:rPr>
            </w:pPr>
          </w:p>
        </w:tc>
        <w:tc>
          <w:tcPr>
            <w:tcW w:w="2196" w:type="dxa"/>
            <w:vAlign w:val="center"/>
          </w:tcPr>
          <w:p>
            <w:pPr>
              <w:keepNext w:val="0"/>
              <w:keepLines w:val="0"/>
              <w:widowControl/>
              <w:suppressLineNumbers w:val="0"/>
              <w:ind w:left="0" w:leftChars="0" w:firstLine="0" w:firstLineChars="0"/>
              <w:jc w:val="both"/>
              <w:textAlignment w:val="center"/>
              <w:rPr>
                <w:rFonts w:hint="default" w:ascii="Times New Roman" w:hAnsi="Times New Roman" w:eastAsia="SimSun" w:cs="Times New Roman"/>
                <w:i w:val="0"/>
                <w:iCs w:val="0"/>
                <w:color w:val="000000"/>
                <w:kern w:val="0"/>
                <w:sz w:val="20"/>
                <w:szCs w:val="20"/>
                <w:u w:val="none"/>
                <w:lang w:val="en-US" w:eastAsia="zh-CN" w:bidi="ar"/>
              </w:rPr>
            </w:pPr>
            <w:r>
              <w:rPr>
                <w:rFonts w:hint="default" w:ascii="Times New Roman" w:hAnsi="Times New Roman" w:cs="Times New Roman"/>
                <w:b/>
                <w:bCs/>
                <w:u w:val="none"/>
                <w:vertAlign w:val="baseline"/>
              </w:rPr>
              <w:t>TOTAL</w:t>
            </w:r>
          </w:p>
        </w:tc>
        <w:tc>
          <w:tcPr>
            <w:tcW w:w="1200" w:type="dxa"/>
            <w:vAlign w:val="center"/>
          </w:tcPr>
          <w:p>
            <w:pPr>
              <w:widowControl w:val="0"/>
              <w:spacing w:after="0" w:line="23" w:lineRule="atLeast"/>
              <w:jc w:val="center"/>
              <w:rPr>
                <w:rFonts w:hint="default" w:ascii="Times New Roman" w:hAnsi="Times New Roman" w:cs="Times New Roman"/>
                <w:b w:val="0"/>
                <w:bCs/>
                <w:sz w:val="20"/>
                <w:szCs w:val="20"/>
                <w:lang w:val="ro-RO" w:eastAsia="ru-RU"/>
              </w:rPr>
            </w:pPr>
          </w:p>
        </w:tc>
        <w:tc>
          <w:tcPr>
            <w:tcW w:w="975" w:type="dxa"/>
            <w:vAlign w:val="center"/>
          </w:tcPr>
          <w:p>
            <w:pPr>
              <w:keepNext w:val="0"/>
              <w:keepLines w:val="0"/>
              <w:widowControl/>
              <w:suppressLineNumbers w:val="0"/>
              <w:jc w:val="center"/>
              <w:textAlignment w:val="bottom"/>
              <w:rPr>
                <w:rFonts w:hint="default" w:ascii="Times New Roman" w:hAnsi="Times New Roman" w:eastAsia="SimSun" w:cs="Times New Roman"/>
                <w:i w:val="0"/>
                <w:iCs w:val="0"/>
                <w:color w:val="000000"/>
                <w:kern w:val="0"/>
                <w:sz w:val="20"/>
                <w:szCs w:val="20"/>
                <w:u w:val="none"/>
                <w:lang w:val="en-US" w:eastAsia="zh-CN" w:bidi="ar"/>
              </w:rPr>
            </w:pPr>
          </w:p>
        </w:tc>
        <w:tc>
          <w:tcPr>
            <w:tcW w:w="129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bookmarkStart w:id="0" w:name="_GoBack"/>
            <w:bookmarkEnd w:id="0"/>
          </w:p>
        </w:tc>
        <w:tc>
          <w:tcPr>
            <w:tcW w:w="127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12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274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val="en-US" w:eastAsia="zh-CN" w:bidi="ar-SA"/>
              </w:rPr>
            </w:pPr>
          </w:p>
        </w:tc>
        <w:tc>
          <w:tcPr>
            <w:tcW w:w="1200" w:type="dxa"/>
            <w:vAlign w:val="center"/>
          </w:tcPr>
          <w:p>
            <w:pPr>
              <w:keepNext w:val="0"/>
              <w:keepLines w:val="0"/>
              <w:pageBreakBefore w:val="0"/>
              <w:widowControl/>
              <w:kinsoku/>
              <w:wordWrap/>
              <w:overflowPunct/>
              <w:topLinePunct w:val="0"/>
              <w:autoSpaceDE/>
              <w:autoSpaceDN/>
              <w:bidi w:val="0"/>
              <w:adjustRightInd/>
              <w:snapToGrid/>
              <w:spacing w:line="264" w:lineRule="auto"/>
              <w:ind w:leftChars="0" w:rightChars="0"/>
              <w:jc w:val="center"/>
              <w:textAlignment w:val="auto"/>
              <w:rPr>
                <w:rFonts w:hint="default" w:ascii="Times New Roman" w:hAnsi="Times New Roman" w:cs="Times New Roman" w:eastAsiaTheme="minorEastAsia"/>
                <w:u w:val="none"/>
                <w:vertAlign w:val="baseline"/>
                <w:lang w:val="en-US" w:eastAsia="zh-CN" w:bidi="ar-SA"/>
              </w:rPr>
            </w:pPr>
          </w:p>
        </w:tc>
        <w:tc>
          <w:tcPr>
            <w:tcW w:w="97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bl>
    <w:p>
      <w:pPr>
        <w:rPr>
          <w:rFonts w:hint="default" w:ascii="Times New Roman" w:hAnsi="Times New Roman" w:cs="Times New Roman"/>
        </w:rPr>
      </w:pPr>
    </w:p>
    <w:p>
      <w:pPr>
        <w:spacing w:line="360" w:lineRule="auto"/>
        <w:rPr>
          <w:rFonts w:hint="default" w:ascii="Times New Roman" w:hAnsi="Times New Roman" w:cs="Times New Roman"/>
          <w:u w:val="single"/>
        </w:rPr>
      </w:pPr>
      <w:r>
        <w:rPr>
          <w:rFonts w:hint="default" w:ascii="Times New Roman" w:hAnsi="Times New Roman" w:cs="Times New Roman"/>
        </w:rPr>
        <w:t xml:space="preserve">Semnat: </w:t>
      </w:r>
      <w:r>
        <w:rPr>
          <w:rFonts w:hint="default" w:ascii="Times New Roman" w:hAnsi="Times New Roman" w:cs="Times New Roman"/>
          <w:u w:val="single"/>
        </w:rPr>
        <w:t xml:space="preserve">              </w:t>
      </w:r>
      <w:r>
        <w:rPr>
          <w:rFonts w:hint="default" w:ascii="Times New Roman" w:hAnsi="Times New Roman" w:cs="Times New Roman"/>
        </w:rPr>
        <w:t xml:space="preserve"> Numele, Prenumele: </w:t>
      </w:r>
      <w:r>
        <w:rPr>
          <w:rFonts w:hint="default" w:ascii="Times New Roman" w:hAnsi="Times New Roman" w:cs="Times New Roman"/>
          <w:u w:val="single"/>
        </w:rPr>
        <w:t xml:space="preserve">                             </w:t>
      </w:r>
      <w:r>
        <w:rPr>
          <w:rFonts w:hint="default" w:ascii="Times New Roman" w:hAnsi="Times New Roman" w:cs="Times New Roman"/>
        </w:rPr>
        <w:t xml:space="preserve"> În calitate de: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none"/>
        </w:rPr>
      </w:pPr>
      <w:r>
        <w:rPr>
          <w:rFonts w:hint="default" w:ascii="Times New Roman" w:hAnsi="Times New Roman" w:cs="Times New Roman"/>
          <w:u w:val="none"/>
        </w:rPr>
        <w:t xml:space="preserve">Ofertantul: </w:t>
      </w:r>
      <w:r>
        <w:rPr>
          <w:rFonts w:hint="default" w:ascii="Times New Roman" w:hAnsi="Times New Roman" w:cs="Times New Roman"/>
          <w:u w:val="single"/>
        </w:rPr>
        <w:t xml:space="preserve">                        </w:t>
      </w:r>
      <w:r>
        <w:rPr>
          <w:rFonts w:hint="default" w:ascii="Times New Roman" w:hAnsi="Times New Roman" w:cs="Times New Roman"/>
          <w:u w:val="none"/>
        </w:rPr>
        <w:t xml:space="preserve"> Adresa: </w:t>
      </w:r>
      <w:r>
        <w:rPr>
          <w:rFonts w:hint="default" w:ascii="Times New Roman" w:hAnsi="Times New Roman" w:cs="Times New Roman"/>
          <w:u w:val="single"/>
        </w:rPr>
        <w:t xml:space="preserve">                        </w:t>
      </w:r>
    </w:p>
    <w:sectPr>
      <w:footerReference r:id="rId3" w:type="default"/>
      <w:pgSz w:w="16838" w:h="11906" w:orient="landscape"/>
      <w:pgMar w:top="567" w:right="567" w:bottom="567" w:left="567"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20"/>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Текстовое поле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  \* MERGEFORMAT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w:t>
                          </w:r>
                          <w:r>
                            <w:rPr>
                              <w:rFonts w:hint="default" w:ascii="Times New Roman" w:hAnsi="Times New Roman" w:cs="Times New Roman"/>
                              <w:sz w:val="22"/>
                              <w:szCs w:val="2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zSVju0AAAAAUB&#10;AAAPAAAAAAAAAAEAIAAAACIAAABkcnMvZG93bnJldi54bWxQSwECFAAUAAAACACHTuJAyi6E/yMC&#10;AAAlBAAADgAAAAAAAAABACAAAAAfAQAAZHJzL2Uyb0RvYy54bWxQSwUGAAAAAAYABgBZAQAAtAUA&#10;AAAA&#10;">
              <v:fill on="f" focussize="0,0"/>
              <v:stroke on="f" weight="0.5pt"/>
              <v:imagedata o:title=""/>
              <o:lock v:ext="edit" aspectratio="f"/>
              <v:textbox inset="0mm,0mm,0mm,0mm" style="mso-fit-shape-to-text:t;">
                <w:txbxContent>
                  <w:p>
                    <w:pPr>
                      <w:pStyle w:val="3"/>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  \* MERGEFORMAT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w:t>
                    </w:r>
                    <w:r>
                      <w:rPr>
                        <w:rFonts w:hint="default" w:ascii="Times New Roman" w:hAnsi="Times New Roman" w:cs="Times New Roman"/>
                        <w:sz w:val="22"/>
                        <w:szCs w:val="22"/>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D6A93B"/>
    <w:multiLevelType w:val="singleLevel"/>
    <w:tmpl w:val="81D6A93B"/>
    <w:lvl w:ilvl="0" w:tentative="0">
      <w:start w:val="1"/>
      <w:numFmt w:val="decimal"/>
      <w:lvlText w:val="%1."/>
      <w:lvlJc w:val="left"/>
      <w:pPr>
        <w:tabs>
          <w:tab w:val="left" w:pos="425"/>
        </w:tabs>
        <w:ind w:left="425" w:leftChars="0" w:hanging="425" w:firstLineChars="0"/>
      </w:pPr>
      <w:rPr>
        <w:rFonts w:hint="default"/>
      </w:rPr>
    </w:lvl>
  </w:abstractNum>
  <w:abstractNum w:abstractNumId="1">
    <w:nsid w:val="91FDBDFF"/>
    <w:multiLevelType w:val="singleLevel"/>
    <w:tmpl w:val="91FDBDFF"/>
    <w:lvl w:ilvl="0" w:tentative="0">
      <w:start w:val="1"/>
      <w:numFmt w:val="decimal"/>
      <w:lvlText w:val="%1."/>
      <w:lvlJc w:val="left"/>
      <w:pPr>
        <w:tabs>
          <w:tab w:val="left" w:pos="425"/>
        </w:tabs>
        <w:ind w:left="425" w:leftChars="0" w:hanging="425" w:firstLineChars="0"/>
      </w:pPr>
      <w:rPr>
        <w:rFonts w:hint="default"/>
      </w:rPr>
    </w:lvl>
  </w:abstractNum>
  <w:abstractNum w:abstractNumId="2">
    <w:nsid w:val="6DE3A9C6"/>
    <w:multiLevelType w:val="singleLevel"/>
    <w:tmpl w:val="6DE3A9C6"/>
    <w:lvl w:ilvl="0" w:tentative="0">
      <w:start w:val="1"/>
      <w:numFmt w:val="decimal"/>
      <w:lvlText w:val="%1."/>
      <w:lvlJc w:val="left"/>
      <w:pPr>
        <w:tabs>
          <w:tab w:val="left" w:pos="425"/>
        </w:tabs>
        <w:ind w:left="425" w:leftChars="0" w:hanging="425" w:firstLineChars="0"/>
      </w:pPr>
      <w:rPr>
        <w:rFonts w:hint="default"/>
      </w:rPr>
    </w:lvl>
  </w:abstractNum>
  <w:abstractNum w:abstractNumId="3">
    <w:nsid w:val="7A8847CB"/>
    <w:multiLevelType w:val="singleLevel"/>
    <w:tmpl w:val="7A8847CB"/>
    <w:lvl w:ilvl="0" w:tentative="0">
      <w:start w:val="1"/>
      <w:numFmt w:val="decimal"/>
      <w:lvlText w:val="%1."/>
      <w:lvlJc w:val="left"/>
      <w:pPr>
        <w:tabs>
          <w:tab w:val="left" w:pos="425"/>
        </w:tabs>
        <w:ind w:left="425" w:leftChars="0" w:hanging="425" w:firstLineChars="0"/>
      </w:pPr>
      <w:rPr>
        <w:rFont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213D0"/>
    <w:rsid w:val="02346795"/>
    <w:rsid w:val="02462A4F"/>
    <w:rsid w:val="03962305"/>
    <w:rsid w:val="050176F1"/>
    <w:rsid w:val="05687487"/>
    <w:rsid w:val="074D008A"/>
    <w:rsid w:val="07E0084F"/>
    <w:rsid w:val="09BB20A2"/>
    <w:rsid w:val="0A1F41F1"/>
    <w:rsid w:val="0C722C9C"/>
    <w:rsid w:val="0D7F51EF"/>
    <w:rsid w:val="0DAD0FE9"/>
    <w:rsid w:val="0DE66214"/>
    <w:rsid w:val="0FF11F36"/>
    <w:rsid w:val="101919B9"/>
    <w:rsid w:val="10425480"/>
    <w:rsid w:val="124A57A9"/>
    <w:rsid w:val="140A5C07"/>
    <w:rsid w:val="14814EC1"/>
    <w:rsid w:val="14C31A74"/>
    <w:rsid w:val="15433EAE"/>
    <w:rsid w:val="15CF515F"/>
    <w:rsid w:val="16176152"/>
    <w:rsid w:val="17001CBE"/>
    <w:rsid w:val="170736D8"/>
    <w:rsid w:val="186F27B0"/>
    <w:rsid w:val="1A235F91"/>
    <w:rsid w:val="1A422977"/>
    <w:rsid w:val="1B0A44F5"/>
    <w:rsid w:val="1BF2555C"/>
    <w:rsid w:val="1C8708F3"/>
    <w:rsid w:val="1CA46B40"/>
    <w:rsid w:val="1CAF2C3E"/>
    <w:rsid w:val="1D1F7306"/>
    <w:rsid w:val="1DB03E28"/>
    <w:rsid w:val="1E2A35E1"/>
    <w:rsid w:val="1ED12D01"/>
    <w:rsid w:val="1EEC7A8C"/>
    <w:rsid w:val="1F7C2CE0"/>
    <w:rsid w:val="20642787"/>
    <w:rsid w:val="224E40E6"/>
    <w:rsid w:val="22575BBF"/>
    <w:rsid w:val="233D0DFF"/>
    <w:rsid w:val="25917193"/>
    <w:rsid w:val="259D1413"/>
    <w:rsid w:val="2B8A559C"/>
    <w:rsid w:val="2C180A74"/>
    <w:rsid w:val="2E5470EE"/>
    <w:rsid w:val="2FAB6462"/>
    <w:rsid w:val="30936656"/>
    <w:rsid w:val="30976DA2"/>
    <w:rsid w:val="3098299F"/>
    <w:rsid w:val="319934B1"/>
    <w:rsid w:val="32117518"/>
    <w:rsid w:val="32A40826"/>
    <w:rsid w:val="334C571B"/>
    <w:rsid w:val="34D058C0"/>
    <w:rsid w:val="358F4C83"/>
    <w:rsid w:val="35B4714A"/>
    <w:rsid w:val="36202A8B"/>
    <w:rsid w:val="37A30A96"/>
    <w:rsid w:val="38286CC9"/>
    <w:rsid w:val="38296019"/>
    <w:rsid w:val="38874FCD"/>
    <w:rsid w:val="38A21BCA"/>
    <w:rsid w:val="39E9692C"/>
    <w:rsid w:val="3BEE3386"/>
    <w:rsid w:val="3CEE333F"/>
    <w:rsid w:val="3D58508A"/>
    <w:rsid w:val="3D98229D"/>
    <w:rsid w:val="3DF53D49"/>
    <w:rsid w:val="3DFF4976"/>
    <w:rsid w:val="41130852"/>
    <w:rsid w:val="43FD6A29"/>
    <w:rsid w:val="442B4CA6"/>
    <w:rsid w:val="446A7138"/>
    <w:rsid w:val="45484B09"/>
    <w:rsid w:val="45B756C2"/>
    <w:rsid w:val="47134419"/>
    <w:rsid w:val="493C0430"/>
    <w:rsid w:val="49991CBB"/>
    <w:rsid w:val="49A64064"/>
    <w:rsid w:val="4A3459A1"/>
    <w:rsid w:val="4B2B3590"/>
    <w:rsid w:val="4C6C31D0"/>
    <w:rsid w:val="4E1B06BB"/>
    <w:rsid w:val="51816D85"/>
    <w:rsid w:val="51FD0610"/>
    <w:rsid w:val="53380017"/>
    <w:rsid w:val="533D68E5"/>
    <w:rsid w:val="540839FD"/>
    <w:rsid w:val="54863A69"/>
    <w:rsid w:val="56E078B0"/>
    <w:rsid w:val="577F10CA"/>
    <w:rsid w:val="578F06BB"/>
    <w:rsid w:val="579F77F4"/>
    <w:rsid w:val="57B439EF"/>
    <w:rsid w:val="58D6288E"/>
    <w:rsid w:val="594F3B0C"/>
    <w:rsid w:val="59E570A0"/>
    <w:rsid w:val="5AC72C37"/>
    <w:rsid w:val="5CF43F2D"/>
    <w:rsid w:val="5DA51471"/>
    <w:rsid w:val="5E940365"/>
    <w:rsid w:val="610A2A1F"/>
    <w:rsid w:val="61D80EC5"/>
    <w:rsid w:val="63892EC6"/>
    <w:rsid w:val="63A250EB"/>
    <w:rsid w:val="64045BB5"/>
    <w:rsid w:val="66BF2FF9"/>
    <w:rsid w:val="681B32D5"/>
    <w:rsid w:val="69AC0C58"/>
    <w:rsid w:val="6AF75CE4"/>
    <w:rsid w:val="6B52785D"/>
    <w:rsid w:val="6DE34AE4"/>
    <w:rsid w:val="6E3C219F"/>
    <w:rsid w:val="6E4152D7"/>
    <w:rsid w:val="71F22B08"/>
    <w:rsid w:val="72E36382"/>
    <w:rsid w:val="733D60BC"/>
    <w:rsid w:val="7477213F"/>
    <w:rsid w:val="74BD341A"/>
    <w:rsid w:val="76FF686B"/>
    <w:rsid w:val="7AE377C7"/>
    <w:rsid w:val="7B0B2BDE"/>
    <w:rsid w:val="7BE6624C"/>
    <w:rsid w:val="7BF628C7"/>
    <w:rsid w:val="7C4F1F14"/>
    <w:rsid w:val="7E7365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header"/>
    <w:basedOn w:val="1"/>
    <w:qFormat/>
    <w:uiPriority w:val="0"/>
    <w:pPr>
      <w:tabs>
        <w:tab w:val="center" w:pos="4153"/>
        <w:tab w:val="right" w:pos="8306"/>
      </w:tabs>
    </w:pPr>
  </w:style>
  <w:style w:type="paragraph" w:styleId="3">
    <w:name w:val="footer"/>
    <w:basedOn w:val="1"/>
    <w:qFormat/>
    <w:uiPriority w:val="0"/>
    <w:pPr>
      <w:tabs>
        <w:tab w:val="center" w:pos="4153"/>
        <w:tab w:val="right" w:pos="8306"/>
      </w:tabs>
    </w:p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font21"/>
    <w:qFormat/>
    <w:uiPriority w:val="0"/>
    <w:rPr>
      <w:rFonts w:hint="default" w:ascii="Times New Roman" w:hAnsi="Times New Roman" w:cs="Times New Roman"/>
      <w:color w:val="000000"/>
      <w:u w:val="none"/>
    </w:rPr>
  </w:style>
  <w:style w:type="character" w:customStyle="1" w:styleId="8">
    <w:name w:val="font01"/>
    <w:qFormat/>
    <w:uiPriority w:val="0"/>
    <w:rPr>
      <w:rFonts w:hint="default" w:ascii="Times New Roman" w:hAnsi="Times New Roman" w:cs="Times New Roman"/>
      <w:color w:val="00000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Office_11.2.0.9327_F1E327BC-269C-435d-A152-05C5408002CA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2022-11-03T10:30:00Z</dcterms:created>
  <dc:creator>A_Basistii</dc:creator>
  <cp:lastModifiedBy>E_Virsta</cp:lastModifiedBy>
  <dcterms:modified xsi:type="dcterms:W3CDTF">2026-06-02T12:47:55Z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1049-11.2.0.9327</vt:lpwstr>
  </property>
  <property fmtid="{D5CDD505-2E9C-101B-9397-08002B2CF9AE}" pid="3" name="ICV">
    <vt:lpwstr>8632AD39FE9449BD8F94C96F62E4A7D3</vt:lpwstr>
  </property>
</Properties>
</file>