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A57D1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</w:p>
    <w:p w14:paraId="3B67B0E3">
      <w:pPr>
        <w:spacing w:before="120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ANUNȚ DE PARTICIPARE </w:t>
      </w:r>
      <w:bookmarkEnd w:id="0"/>
    </w:p>
    <w:p w14:paraId="13F9C4A4">
      <w:pPr>
        <w:jc w:val="center"/>
        <w:rPr>
          <w:rFonts w:hint="default"/>
          <w:b/>
          <w:lang w:val="en-US"/>
        </w:rPr>
      </w:pPr>
      <w:r>
        <w:t xml:space="preserve">privind achiziționarea </w:t>
      </w:r>
      <w:r>
        <w:rPr>
          <w:b/>
        </w:rPr>
        <w:t>Piese de schimb și materiale consumabile pentru motocositoare și motoferăstraie, cositoare-tractor și suflante</w:t>
      </w:r>
      <w:r>
        <w:rPr>
          <w:rFonts w:hint="default"/>
          <w:b/>
          <w:lang w:val="en-US"/>
        </w:rPr>
        <w:t xml:space="preserve"> (Repetat)</w:t>
      </w:r>
    </w:p>
    <w:p w14:paraId="6FF988B0">
      <w:pPr>
        <w:spacing w:after="120"/>
        <w:jc w:val="center"/>
        <w:rPr>
          <w:rFonts w:hint="default"/>
          <w:b/>
          <w:lang w:val="ro-RO"/>
        </w:rPr>
      </w:pPr>
      <w:r>
        <w:rPr>
          <w:b/>
        </w:rPr>
        <w:t xml:space="preserve">prin procedura de achiziție de tip </w:t>
      </w:r>
      <w:r>
        <w:rPr>
          <w:rFonts w:hint="default"/>
          <w:b/>
          <w:lang w:val="ro-RO"/>
        </w:rPr>
        <w:t>COP</w:t>
      </w:r>
    </w:p>
    <w:p w14:paraId="52FDC238">
      <w:pPr>
        <w:tabs>
          <w:tab w:val="left" w:pos="284"/>
          <w:tab w:val="right" w:pos="9531"/>
        </w:tabs>
        <w:ind w:left="540"/>
        <w:rPr>
          <w:b/>
        </w:rPr>
      </w:pPr>
      <w:r>
        <w:rPr>
          <w:b/>
        </w:rPr>
        <w:tab/>
      </w:r>
      <w:r>
        <w:rPr>
          <w:b/>
        </w:rPr>
        <w:t xml:space="preserve">Procedura a fost inclusă în planul de achiziții publice a autorității contractante (Da/Nu): </w:t>
      </w:r>
      <w:r>
        <w:t>Da</w:t>
      </w:r>
    </w:p>
    <w:p w14:paraId="6C10C8F7">
      <w:pPr>
        <w:spacing w:after="120"/>
        <w:ind w:left="540"/>
      </w:pPr>
      <w:r>
        <w:rPr>
          <w:b/>
        </w:rPr>
        <w:t xml:space="preserve">Link-ul către planul de achiziții publice publicat: </w:t>
      </w:r>
      <w:r>
        <w:fldChar w:fldCharType="begin"/>
      </w:r>
      <w:r>
        <w:instrText xml:space="preserve"> HYPERLINK "https://agsv.md/planuri/" </w:instrText>
      </w:r>
      <w:r>
        <w:fldChar w:fldCharType="separate"/>
      </w:r>
      <w:r>
        <w:rPr>
          <w:rStyle w:val="6"/>
          <w:b/>
        </w:rPr>
        <w:t>https://agsv.md/planuri/</w:t>
      </w:r>
      <w:r>
        <w:rPr>
          <w:rStyle w:val="6"/>
          <w:b/>
        </w:rPr>
        <w:fldChar w:fldCharType="end"/>
      </w:r>
      <w:r>
        <w:rPr>
          <w:b/>
        </w:rPr>
        <w:t xml:space="preserve"> </w:t>
      </w:r>
    </w:p>
    <w:p w14:paraId="5AFA97C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>
        <w:rPr>
          <w:b/>
        </w:rPr>
        <w:t>Denumirea autorității contractante: Î.M. „Asociația de Gospodărire a Spațiilor Verzi”</w:t>
      </w:r>
    </w:p>
    <w:p w14:paraId="5A9D846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>
        <w:rPr>
          <w:b/>
        </w:rPr>
        <w:t xml:space="preserve">IDNO: </w:t>
      </w:r>
      <w:r>
        <w:rPr>
          <w:lang w:eastAsia="ro-RO" w:bidi="ro-RO"/>
        </w:rPr>
        <w:t>1002600047677</w:t>
      </w:r>
    </w:p>
    <w:p w14:paraId="67EE79A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>
        <w:rPr>
          <w:b/>
        </w:rPr>
        <w:t xml:space="preserve">Adresa: </w:t>
      </w:r>
      <w:r>
        <w:rPr>
          <w:lang w:eastAsia="ro-RO" w:bidi="ro-RO"/>
        </w:rPr>
        <w:t>mun. Chișinău, str. Pușkin, 62</w:t>
      </w:r>
    </w:p>
    <w:p w14:paraId="42BEDC8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>
        <w:rPr>
          <w:b/>
        </w:rPr>
        <w:t xml:space="preserve">Numărul de telefon/fax: </w:t>
      </w:r>
      <w:r>
        <w:rPr>
          <w:lang w:eastAsia="ro-RO" w:bidi="ro-RO"/>
        </w:rPr>
        <w:t>067880808</w:t>
      </w:r>
    </w:p>
    <w:p w14:paraId="2F1E27F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>
        <w:rPr>
          <w:b/>
          <w:bCs/>
        </w:rPr>
        <w:t xml:space="preserve">Adresa de e-mail şi pagina web oficială </w:t>
      </w:r>
      <w:r>
        <w:rPr>
          <w:b/>
        </w:rPr>
        <w:t>autorității contractante</w:t>
      </w:r>
      <w:r>
        <w:rPr>
          <w:i/>
        </w:rPr>
        <w:t xml:space="preserve">: </w:t>
      </w:r>
      <w:r>
        <w:t>achizitii@agsv.md ;www.agsv.md.</w:t>
      </w:r>
    </w:p>
    <w:p w14:paraId="32F0062C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>
        <w:rPr>
          <w:b/>
          <w:bCs/>
        </w:rPr>
        <w:t xml:space="preserve">Adresa de e-mail sau pagina web oficială </w:t>
      </w:r>
      <w:r>
        <w:rPr>
          <w:b/>
        </w:rPr>
        <w:t xml:space="preserve">de la care se va putea obține accesul la documentația de atribuire: </w:t>
      </w:r>
      <w:r>
        <w:rPr>
          <w:i/>
        </w:rPr>
        <w:t>documentația de atribuire este anexată în cadrul procedurii în SIA RSAP</w:t>
      </w:r>
      <w:r>
        <w:t xml:space="preserve"> </w:t>
      </w:r>
    </w:p>
    <w:p w14:paraId="3D299EDA">
      <w:pPr>
        <w:pStyle w:val="8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lang w:val="ro-RO" w:eastAsia="ro-RO" w:bidi="ro-RO"/>
        </w:rPr>
        <w:t>Întreprindere Municipală</w:t>
      </w:r>
    </w:p>
    <w:p w14:paraId="00BFD5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540" w:hanging="284"/>
        <w:jc w:val="both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4"/>
        <w:tblW w:w="10890" w:type="dxa"/>
        <w:tblInd w:w="3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720"/>
        <w:gridCol w:w="2520"/>
        <w:gridCol w:w="1260"/>
        <w:gridCol w:w="1350"/>
        <w:gridCol w:w="2493"/>
        <w:gridCol w:w="1917"/>
      </w:tblGrid>
      <w:tr w14:paraId="26DCE8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B6FF6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3201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Cod CPV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2CAA1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bunurilor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445C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5A69E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Cantitatea</w:t>
            </w:r>
          </w:p>
        </w:tc>
        <w:tc>
          <w:tcPr>
            <w:tcW w:w="2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5C9E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EDA62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Valoarea estimată</w:t>
            </w:r>
            <w:r>
              <w:rPr>
                <w:b/>
                <w:lang w:eastAsia="ru-RU"/>
              </w:rPr>
              <w:br w:type="textWrapping"/>
            </w:r>
            <w:r>
              <w:rPr>
                <w:b/>
                <w:lang w:eastAsia="ru-RU"/>
              </w:rPr>
              <w:t>fără TVA, lei</w:t>
            </w:r>
          </w:p>
        </w:tc>
      </w:tr>
      <w:tr w14:paraId="52E03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108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C623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Piese de schimb și materiale consumabile pentru motocositoare și motoferăstraie, cositoare-tractor și suflante</w:t>
            </w:r>
          </w:p>
        </w:tc>
      </w:tr>
      <w:tr w14:paraId="0115B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FA8AA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rFonts w:hint="default"/>
                <w:b/>
                <w:bCs/>
                <w:lang w:val="en-US" w:eastAsia="ru-RU"/>
              </w:rPr>
              <w:t>1</w:t>
            </w:r>
            <w:r>
              <w:rPr>
                <w:b/>
                <w:bCs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3F7658C0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7932B">
            <w:pPr>
              <w:shd w:val="clear" w:color="auto" w:fill="FFFFFF" w:themeFill="background1"/>
              <w:jc w:val="center"/>
              <w:rPr>
                <w:rFonts w:hint="default"/>
                <w:lang w:val="en-US" w:eastAsia="ru-RU"/>
              </w:rPr>
            </w:pPr>
            <w:r>
              <w:rPr>
                <w:b/>
              </w:rPr>
              <w:t xml:space="preserve">Lotul </w:t>
            </w:r>
            <w:r>
              <w:rPr>
                <w:rFonts w:hint="default"/>
                <w:b/>
                <w:lang w:val="en-US"/>
              </w:rPr>
              <w:t>1</w:t>
            </w:r>
          </w:p>
        </w:tc>
      </w:tr>
      <w:tr w14:paraId="04DCC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1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3A5E2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rFonts w:hint="default"/>
                <w:lang w:val="en-US" w:eastAsia="ru-RU"/>
              </w:rPr>
              <w:t>1</w:t>
            </w:r>
            <w:r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2A8FAD97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>
              <w:t>16820000-9</w:t>
            </w:r>
          </w:p>
          <w:p w14:paraId="65033AAB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E9088">
            <w:pPr>
              <w:jc w:val="both"/>
              <w:rPr>
                <w:bCs/>
              </w:rPr>
            </w:pPr>
            <w:r>
              <w:rPr>
                <w:bCs/>
              </w:rPr>
              <w:t>Piese și consumabile pentru mașini de tuns iarbă de tip Grin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B8627">
            <w:pPr>
              <w:ind w:right="-57"/>
              <w:jc w:val="center"/>
            </w:pPr>
            <w:r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4A5A">
            <w:pPr>
              <w:ind w:right="-57"/>
              <w:jc w:val="center"/>
              <w:rPr>
                <w:color w:val="000000"/>
              </w:rPr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F43C6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Conform</w:t>
            </w:r>
          </w:p>
          <w:p w14:paraId="7277DE1D">
            <w:pPr>
              <w:tabs>
                <w:tab w:val="left" w:pos="284"/>
                <w:tab w:val="right" w:pos="9531"/>
              </w:tabs>
              <w:spacing w:line="276" w:lineRule="auto"/>
              <w:jc w:val="center"/>
            </w:pPr>
            <w:r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100E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100 000,00</w:t>
            </w:r>
          </w:p>
        </w:tc>
      </w:tr>
      <w:tr w14:paraId="16027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B172D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rFonts w:hint="default"/>
                <w:b/>
                <w:bCs/>
                <w:lang w:val="en-US" w:eastAsia="ru-RU"/>
              </w:rPr>
              <w:t>2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3874D30B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12196">
            <w:pPr>
              <w:shd w:val="clear" w:color="auto" w:fill="FFFFFF" w:themeFill="background1"/>
              <w:jc w:val="center"/>
              <w:rPr>
                <w:rFonts w:hint="default"/>
                <w:lang w:val="en-US" w:eastAsia="ru-RU"/>
              </w:rPr>
            </w:pPr>
            <w:r>
              <w:rPr>
                <w:b/>
              </w:rPr>
              <w:t xml:space="preserve">Lotul </w:t>
            </w:r>
            <w:r>
              <w:rPr>
                <w:rFonts w:hint="default"/>
                <w:b/>
                <w:lang w:val="en-US"/>
              </w:rPr>
              <w:t>2</w:t>
            </w:r>
          </w:p>
        </w:tc>
      </w:tr>
      <w:tr w14:paraId="15788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148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rFonts w:hint="default"/>
                <w:lang w:val="en-US" w:eastAsia="ru-RU"/>
              </w:rPr>
              <w:t>2</w:t>
            </w:r>
            <w:r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281E3F97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>
              <w:t>16820000-9</w:t>
            </w:r>
          </w:p>
          <w:p w14:paraId="2B7A39BB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5856A">
            <w:pPr>
              <w:jc w:val="both"/>
              <w:rPr>
                <w:bCs/>
              </w:rPr>
            </w:pPr>
            <w:r>
              <w:rPr>
                <w:bCs/>
              </w:rPr>
              <w:t>Piese și consumabile pentru mașină de tuns iarbă de tip Toro Titan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BFC1C">
            <w:pPr>
              <w:ind w:right="-57"/>
              <w:jc w:val="center"/>
            </w:pPr>
            <w:r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3BEC0">
            <w:pPr>
              <w:ind w:right="-57"/>
              <w:jc w:val="center"/>
              <w:rPr>
                <w:color w:val="000000"/>
              </w:rPr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999E7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1F7B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50 000,00</w:t>
            </w:r>
          </w:p>
        </w:tc>
      </w:tr>
      <w:tr w14:paraId="382CC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F8FEB">
            <w:pPr>
              <w:shd w:val="clear" w:color="auto" w:fill="FFFFFF" w:themeFill="background1"/>
              <w:jc w:val="center"/>
              <w:rPr>
                <w:rFonts w:hint="default"/>
                <w:b/>
                <w:bCs/>
                <w:lang w:val="en-US" w:eastAsia="ru-RU"/>
              </w:rPr>
            </w:pPr>
            <w:r>
              <w:rPr>
                <w:rFonts w:hint="default"/>
                <w:b/>
                <w:bCs/>
                <w:lang w:val="en-US" w:eastAsia="ru-RU"/>
              </w:rPr>
              <w:t>3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77C10269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66065">
            <w:pPr>
              <w:shd w:val="clear" w:color="auto" w:fill="FFFFFF" w:themeFill="background1"/>
              <w:jc w:val="center"/>
              <w:rPr>
                <w:rFonts w:hint="default"/>
                <w:lang w:val="en-US" w:eastAsia="ru-RU"/>
              </w:rPr>
            </w:pPr>
            <w:r>
              <w:rPr>
                <w:b/>
              </w:rPr>
              <w:t xml:space="preserve">Lotul </w:t>
            </w:r>
            <w:r>
              <w:rPr>
                <w:rFonts w:hint="default"/>
                <w:b/>
                <w:lang w:val="en-US"/>
              </w:rPr>
              <w:t>3</w:t>
            </w:r>
          </w:p>
        </w:tc>
      </w:tr>
      <w:tr w14:paraId="1C83A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3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CBB8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rFonts w:hint="default"/>
                <w:lang w:val="en-US" w:eastAsia="ru-RU"/>
              </w:rPr>
              <w:t>3</w:t>
            </w:r>
            <w:r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7CD31BB5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>
              <w:t>16820000-9</w:t>
            </w:r>
          </w:p>
          <w:p w14:paraId="49DADDA6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5FC8C">
            <w:pPr>
              <w:jc w:val="both"/>
              <w:rPr>
                <w:bCs/>
              </w:rPr>
            </w:pPr>
            <w:r>
              <w:rPr>
                <w:bCs/>
              </w:rPr>
              <w:t>Piese și consumabile pentru cositoare-tractor de tip Iseki SXE 218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67F7F">
            <w:pPr>
              <w:ind w:right="-57"/>
              <w:jc w:val="center"/>
            </w:pPr>
            <w:r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5EFB2">
            <w:pPr>
              <w:ind w:right="-57"/>
              <w:jc w:val="center"/>
              <w:rPr>
                <w:color w:val="000000"/>
              </w:rPr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96138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38E3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100 000,00</w:t>
            </w:r>
          </w:p>
        </w:tc>
      </w:tr>
      <w:tr w14:paraId="3383F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00802">
            <w:pPr>
              <w:shd w:val="clear" w:color="auto" w:fill="FFFFFF" w:themeFill="background1"/>
              <w:jc w:val="center"/>
              <w:rPr>
                <w:rFonts w:hint="default"/>
                <w:b/>
                <w:bCs/>
                <w:lang w:val="en-US" w:eastAsia="ru-RU"/>
              </w:rPr>
            </w:pPr>
            <w:r>
              <w:rPr>
                <w:rFonts w:hint="default"/>
                <w:b/>
                <w:bCs/>
                <w:lang w:val="en-US" w:eastAsia="ru-RU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6D7FEF05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95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178CB">
            <w:pPr>
              <w:shd w:val="clear" w:color="auto" w:fill="FFFFFF" w:themeFill="background1"/>
              <w:jc w:val="center"/>
              <w:rPr>
                <w:rFonts w:hint="default"/>
                <w:b/>
                <w:bCs/>
                <w:lang w:val="en-US" w:eastAsia="ru-RU"/>
              </w:rPr>
            </w:pPr>
            <w:r>
              <w:rPr>
                <w:b/>
                <w:bCs/>
                <w:lang w:eastAsia="ru-RU"/>
              </w:rPr>
              <w:t xml:space="preserve">Lotul </w:t>
            </w:r>
            <w:r>
              <w:rPr>
                <w:rFonts w:hint="default"/>
                <w:b/>
                <w:bCs/>
                <w:lang w:val="en-US" w:eastAsia="ru-RU"/>
              </w:rPr>
              <w:t>4</w:t>
            </w:r>
          </w:p>
        </w:tc>
      </w:tr>
      <w:tr w14:paraId="0230EB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0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45F5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rFonts w:hint="default"/>
                <w:lang w:val="en-US" w:eastAsia="ru-RU"/>
              </w:rPr>
              <w:t>4</w:t>
            </w:r>
            <w:r>
              <w:rPr>
                <w:lang w:eastAsia="ru-RU"/>
              </w:rPr>
              <w:t>.1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 w14:paraId="164B582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>
              <w:t>16820000-9</w:t>
            </w:r>
          </w:p>
          <w:p w14:paraId="638213E1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189AA">
            <w:pPr>
              <w:rPr>
                <w:bCs/>
              </w:rPr>
            </w:pPr>
            <w:r>
              <w:rPr>
                <w:bCs/>
              </w:rPr>
              <w:t>Piese și consumabile pentru suflante VILLAGE VB 5290E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AF9F4">
            <w:pPr>
              <w:ind w:right="-57"/>
              <w:jc w:val="center"/>
            </w:pPr>
            <w:r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3CC27">
            <w:pPr>
              <w:ind w:right="-57"/>
              <w:jc w:val="center"/>
              <w:rPr>
                <w:color w:val="000000"/>
              </w:rPr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BA4BA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B1BA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100 000,00</w:t>
            </w:r>
          </w:p>
        </w:tc>
      </w:tr>
      <w:tr w14:paraId="631FE7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66123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b/>
                <w:lang w:eastAsia="ru-RU"/>
              </w:rPr>
              <w:t>Valoarea estimativă totală: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94885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>
              <w:rPr>
                <w:b/>
                <w:lang w:eastAsia="ru-RU"/>
              </w:rPr>
              <w:t> 3</w:t>
            </w:r>
            <w:r>
              <w:rPr>
                <w:rFonts w:hint="default"/>
                <w:b/>
                <w:lang w:val="en-US" w:eastAsia="ru-RU"/>
              </w:rPr>
              <w:t>5</w:t>
            </w:r>
            <w:r>
              <w:rPr>
                <w:b/>
                <w:lang w:eastAsia="ru-RU"/>
              </w:rPr>
              <w:t>0 000,00</w:t>
            </w:r>
          </w:p>
        </w:tc>
      </w:tr>
    </w:tbl>
    <w:p w14:paraId="5A0B0EB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În cazul procedurilor de preselecție se indică numărul minim al candidaților și, dacă este cazul, numărul maxim al acestor: </w:t>
      </w:r>
      <w:r>
        <w:rPr>
          <w:lang w:eastAsia="ro-RO" w:bidi="ro-RO"/>
        </w:rPr>
        <w:t>Nu este cazul.</w:t>
      </w:r>
    </w:p>
    <w:p w14:paraId="753F50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>
        <w:rPr>
          <w:b/>
          <w:lang w:eastAsia="ru-RU"/>
        </w:rPr>
        <w:t>În cazul în care contractul este împărțit pe loturi un operator economic poate depune oferta (se va selecta):</w:t>
      </w:r>
    </w:p>
    <w:p w14:paraId="190115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>
        <w:rPr>
          <w:lang w:eastAsia="ru-RU"/>
        </w:rPr>
        <w:t>Pentru mai multe loturi.</w:t>
      </w:r>
    </w:p>
    <w:p w14:paraId="59A93E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>
        <w:rPr>
          <w:b/>
          <w:lang w:eastAsia="ru-RU"/>
        </w:rPr>
        <w:t xml:space="preserve">Admiterea sau interzicerea ofertelor alternative: </w:t>
      </w:r>
      <w:r>
        <w:rPr>
          <w:lang w:eastAsia="ro-RO" w:bidi="ro-RO"/>
        </w:rPr>
        <w:t>Oferte alternative nu se</w:t>
      </w:r>
      <w:r>
        <w:rPr>
          <w:spacing w:val="-7"/>
          <w:lang w:eastAsia="ro-RO" w:bidi="ro-RO"/>
        </w:rPr>
        <w:t xml:space="preserve"> </w:t>
      </w:r>
      <w:r>
        <w:rPr>
          <w:lang w:eastAsia="ro-RO" w:bidi="ro-RO"/>
        </w:rPr>
        <w:t>admit.</w:t>
      </w:r>
    </w:p>
    <w:p w14:paraId="4CBD648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>
        <w:rPr>
          <w:b/>
          <w:lang w:eastAsia="ru-RU"/>
        </w:rPr>
        <w:t xml:space="preserve">Termenii și condițiile de livrare/prestare solicitați: </w:t>
      </w:r>
      <w:r>
        <w:rPr>
          <w:bCs/>
          <w:lang w:eastAsia="ru-RU"/>
        </w:rPr>
        <w:t>Livrarea pieselor de schimb și materiale consumabile se vor efectua pe parcursul anului 2026 în termen de 5 zile din momentul solicitării de către autoritate contractantă</w:t>
      </w:r>
      <w:r>
        <w:rPr>
          <w:b/>
          <w:lang w:eastAsia="ru-RU"/>
        </w:rPr>
        <w:t xml:space="preserve">, </w:t>
      </w:r>
      <w:r>
        <w:rPr>
          <w:bCs/>
          <w:lang w:eastAsia="ru-RU"/>
        </w:rPr>
        <w:t>la sediul ÎM ”AGSV”, str. Pușkin 62.</w:t>
      </w:r>
    </w:p>
    <w:p w14:paraId="18C5EAD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Termenul de valabilitate a contractului: </w:t>
      </w:r>
      <w:r>
        <w:rPr>
          <w:lang w:eastAsia="ru-RU"/>
        </w:rPr>
        <w:t>31.12.2026.</w:t>
      </w:r>
    </w:p>
    <w:p w14:paraId="7BCF914C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lang w:eastAsia="ro-RO" w:bidi="ro-RO"/>
        </w:rPr>
        <w:t>Nu este cazul.</w:t>
      </w:r>
    </w:p>
    <w:p w14:paraId="650604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>
        <w:rPr>
          <w:b/>
          <w:lang w:eastAsia="ru-RU"/>
        </w:rPr>
        <w:tab/>
      </w:r>
      <w:r>
        <w:rPr>
          <w:b/>
          <w:lang w:eastAsia="ru-RU"/>
        </w:rPr>
        <w:t xml:space="preserve">Prestarea serviciului este rezervată unei anumite profesii în temeiul unor legi sau al unor acte administrative (după caz): </w:t>
      </w:r>
      <w:r>
        <w:rPr>
          <w:lang w:eastAsia="ro-RO" w:bidi="ro-RO"/>
        </w:rPr>
        <w:t>Nu este cazul.</w:t>
      </w:r>
    </w:p>
    <w:p w14:paraId="32DCE3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7"/>
        <w:tblW w:w="10928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4005"/>
        <w:gridCol w:w="4617"/>
        <w:gridCol w:w="1750"/>
      </w:tblGrid>
      <w:tr w14:paraId="75EBD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EFEB26D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C0FD77C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4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6CAB2B9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93734A8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 w:type="textWrapping"/>
            </w:r>
            <w:r>
              <w:rPr>
                <w:b/>
                <w:iCs/>
              </w:rPr>
              <w:t>Obligativitatea</w:t>
            </w:r>
          </w:p>
        </w:tc>
      </w:tr>
      <w:tr w14:paraId="3C252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6B038A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73B63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bCs/>
                <w:iCs/>
              </w:rPr>
            </w:pPr>
            <w:r>
              <w:rPr>
                <w:bCs/>
                <w:iCs/>
              </w:rPr>
              <w:t xml:space="preserve">Prezentarea Formularul standard al Documentului Unic de Achiziții European completat </w:t>
            </w:r>
          </w:p>
          <w:p w14:paraId="5121A01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084D6F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bCs/>
                <w:iCs/>
              </w:rPr>
            </w:pPr>
            <w:r>
              <w:rPr>
                <w:bCs/>
                <w:iCs/>
              </w:rPr>
              <w:t xml:space="preserve">Formularul standard al Documentului Unic de Achiziții European confirmat prin semnătura electronică 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8F471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Obligatoriu</w:t>
            </w:r>
          </w:p>
          <w:p w14:paraId="0AA6CD78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Cs/>
                <w:iCs/>
              </w:rPr>
            </w:pPr>
          </w:p>
        </w:tc>
      </w:tr>
      <w:tr w14:paraId="608CD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CA8B7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1780E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>
              <w:rPr>
                <w:bCs/>
                <w:iCs/>
              </w:rPr>
              <w:t xml:space="preserve">Cerere de participare </w:t>
            </w:r>
          </w:p>
          <w:p w14:paraId="4217896D">
            <w:pPr>
              <w:tabs>
                <w:tab w:val="left" w:pos="612"/>
              </w:tabs>
              <w:spacing w:before="120" w:after="120"/>
              <w:rPr>
                <w:bCs/>
              </w:rPr>
            </w:pP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FFA5C">
            <w:pPr>
              <w:tabs>
                <w:tab w:val="left" w:pos="612"/>
              </w:tabs>
              <w:spacing w:before="120" w:after="120"/>
              <w:rPr>
                <w:bCs/>
                <w:color w:val="000000"/>
              </w:rPr>
            </w:pPr>
            <w:r>
              <w:rPr>
                <w:bCs/>
                <w:iCs/>
              </w:rPr>
              <w:t xml:space="preserve">Anexa nr. 7 din Documentația standard </w:t>
            </w:r>
            <w:r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345424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Obligatoriu</w:t>
            </w:r>
          </w:p>
        </w:tc>
      </w:tr>
      <w:tr w14:paraId="74342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141CF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4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466449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>
              <w:rPr>
                <w:bCs/>
                <w:iCs/>
              </w:rPr>
              <w:t xml:space="preserve">Declarație privind valabilitatea ofertei               </w:t>
            </w: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82264D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>
              <w:rPr>
                <w:bCs/>
                <w:iCs/>
              </w:rPr>
              <w:t xml:space="preserve">Anexa nr. 8 din Documentația standard </w:t>
            </w:r>
            <w:r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043363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Obligatoriu</w:t>
            </w:r>
          </w:p>
        </w:tc>
      </w:tr>
      <w:tr w14:paraId="2470F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CE8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F4913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>
              <w:rPr>
                <w:bCs/>
              </w:rPr>
              <w:t>Specificația de pre</w:t>
            </w:r>
            <w:r>
              <w:rPr>
                <w:bCs/>
                <w:lang w:val="zh-CN"/>
              </w:rPr>
              <w:t xml:space="preserve">ț </w:t>
            </w:r>
          </w:p>
          <w:p w14:paraId="19031401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32363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>
              <w:rPr>
                <w:bCs/>
              </w:rPr>
              <w:t xml:space="preserve"> Completat in conformitate cu Caietele de sarcini anexate pentru fiecare lot în parte</w:t>
            </w:r>
            <w:r>
              <w:rPr>
                <w:bCs/>
                <w:i/>
              </w:rPr>
              <w:t xml:space="preserve"> – </w:t>
            </w:r>
            <w:r>
              <w:rPr>
                <w:bCs/>
              </w:rPr>
              <w:t>confirmat prin semnătura electronica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1493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Obligatoriu</w:t>
            </w:r>
          </w:p>
          <w:p w14:paraId="0B325198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Cs/>
                <w:iCs/>
              </w:rPr>
            </w:pPr>
          </w:p>
        </w:tc>
      </w:tr>
      <w:tr w14:paraId="7EE75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F6D89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79D020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>
              <w:rPr>
                <w:bCs/>
              </w:rPr>
              <w:t xml:space="preserve">Dovada înregistrării juridice                                    </w:t>
            </w: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22DAC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>
              <w:rPr>
                <w:bCs/>
              </w:rPr>
              <w:t>Certificat/decizie de înregistrare a întreprinderii-Extras din Registrul de Stat al persoanelor juridice –confirmat prin semnătură electronica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EF55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Obligatoriu</w:t>
            </w:r>
          </w:p>
        </w:tc>
      </w:tr>
      <w:tr w14:paraId="42C70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1A9D7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D577A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Document ce confirmă compatibilitatea și originalitatea  pieselor și materialelor consumabile </w:t>
            </w:r>
          </w:p>
          <w:p w14:paraId="2D71A9E7">
            <w:pPr>
              <w:tabs>
                <w:tab w:val="left" w:pos="612"/>
              </w:tabs>
              <w:spacing w:before="120" w:after="120" w:line="276" w:lineRule="auto"/>
              <w:rPr>
                <w:b/>
                <w:bCs/>
                <w:i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iCs/>
              </w:rPr>
              <w:t>( Lotul 1,2,3,4)</w:t>
            </w:r>
          </w:p>
        </w:tc>
        <w:tc>
          <w:tcPr>
            <w:tcW w:w="4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8FE0CD">
            <w:pPr>
              <w:spacing w:line="276" w:lineRule="auto"/>
              <w:rPr>
                <w:i/>
                <w:color w:val="000000" w:themeColor="text1"/>
                <w:lang w:eastAsia="ro-RO" w:bidi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Copia documentului confirmativ emis de către producătorul bunurilor sau de către distribuitorul oficial al producătorului,</w:t>
            </w:r>
            <w:r>
              <w:rPr>
                <w:bCs/>
                <w:color w:val="000000"/>
              </w:rPr>
              <w:t xml:space="preserve"> confirmat prin semnătură electronica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0092A">
            <w:pPr>
              <w:jc w:val="center"/>
              <w:rPr>
                <w:bCs/>
                <w:iCs/>
                <w:color w:val="000000"/>
              </w:rPr>
            </w:pPr>
          </w:p>
          <w:p w14:paraId="1A5C714B">
            <w:pPr>
              <w:jc w:val="center"/>
              <w:rPr>
                <w:bCs/>
                <w:iCs/>
                <w:color w:val="000000"/>
              </w:rPr>
            </w:pPr>
          </w:p>
          <w:p w14:paraId="6773065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Obligatoriu</w:t>
            </w:r>
          </w:p>
        </w:tc>
      </w:tr>
    </w:tbl>
    <w:p w14:paraId="346B9609">
      <w:pPr>
        <w:pStyle w:val="8"/>
        <w:numPr>
          <w:ilvl w:val="0"/>
          <w:numId w:val="2"/>
        </w:numPr>
        <w:rPr>
          <w:bCs/>
          <w:lang w:val="ro-RO" w:eastAsia="ru-RU"/>
        </w:rPr>
      </w:pPr>
      <w:r>
        <w:rPr>
          <w:b/>
          <w:color w:val="000000" w:themeColor="text1"/>
          <w:sz w:val="22"/>
          <w:szCs w:val="22"/>
          <w:lang w:eastAsia="ru-RU"/>
          <w14:textFill>
            <w14:solidFill>
              <w14:schemeClr w14:val="tx1"/>
            </w14:solidFill>
          </w14:textFill>
        </w:rPr>
        <w:t>Garanția pentru ofertă, cuantumul:</w:t>
      </w:r>
      <w:r>
        <w:rPr>
          <w:rFonts w:hint="default"/>
          <w:b/>
          <w:color w:val="000000" w:themeColor="text1"/>
          <w:sz w:val="22"/>
          <w:szCs w:val="22"/>
          <w:lang w:val="ro-RO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b w:val="0"/>
          <w:bCs/>
          <w:color w:val="000000" w:themeColor="text1"/>
          <w:sz w:val="22"/>
          <w:szCs w:val="22"/>
          <w:lang w:val="ro-RO" w:eastAsia="ru-RU"/>
          <w14:textFill>
            <w14:solidFill>
              <w14:schemeClr w14:val="tx1"/>
            </w14:solidFill>
          </w14:textFill>
        </w:rPr>
        <w:t>Nu este cazul</w:t>
      </w:r>
    </w:p>
    <w:p w14:paraId="1A6671E3">
      <w:pPr>
        <w:pStyle w:val="8"/>
        <w:numPr>
          <w:ilvl w:val="0"/>
          <w:numId w:val="2"/>
        </w:numPr>
        <w:rPr>
          <w:bCs/>
          <w:lang w:val="ro-RO" w:eastAsia="ru-RU"/>
        </w:rPr>
      </w:pPr>
      <w:r>
        <w:rPr>
          <w:b/>
          <w:lang w:val="ro-RO" w:eastAsia="ru-RU"/>
        </w:rPr>
        <w:t xml:space="preserve">Garanția de bună execuție a contractului:  </w:t>
      </w:r>
      <w:r>
        <w:rPr>
          <w:rFonts w:hint="default"/>
          <w:bCs/>
          <w:lang w:val="ro-RO" w:eastAsia="ru-RU"/>
        </w:rPr>
        <w:t>Nu este cazul</w:t>
      </w:r>
    </w:p>
    <w:p w14:paraId="672BCE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caz: </w:t>
      </w:r>
      <w:r>
        <w:rPr>
          <w:lang w:eastAsia="ro-RO" w:bidi="ro-RO"/>
        </w:rPr>
        <w:t>Nu este cazul.</w:t>
      </w:r>
    </w:p>
    <w:p w14:paraId="168AF3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lang w:eastAsia="ro-RO" w:bidi="ro-RO"/>
        </w:rPr>
        <w:t>Nu este cazul.</w:t>
      </w:r>
    </w:p>
    <w:p w14:paraId="6BAF27DD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lang w:eastAsia="ru-RU"/>
        </w:rPr>
      </w:pPr>
      <w:r>
        <w:rPr>
          <w:b/>
          <w:lang w:eastAsia="ru-RU"/>
        </w:rPr>
        <w:t xml:space="preserve">Condiții speciale de care depinde îndeplinirea contractului: </w:t>
      </w:r>
      <w:r>
        <w:rPr>
          <w:lang w:eastAsia="ru-RU"/>
        </w:rPr>
        <w:t>E</w:t>
      </w:r>
      <w:r>
        <w:rPr>
          <w:lang w:val="zh-CN" w:eastAsia="ru-RU"/>
        </w:rPr>
        <w:t>xecutarea contractului va fi succesiv în dependentă de necesitățile apărute pe parcursul anului</w:t>
      </w:r>
      <w:r>
        <w:t xml:space="preserve"> 202</w:t>
      </w:r>
      <w:r>
        <w:rPr>
          <w:rFonts w:hint="default"/>
          <w:lang w:val="en-US"/>
        </w:rPr>
        <w:t>6</w:t>
      </w:r>
      <w:r>
        <w:t>.</w:t>
      </w:r>
    </w:p>
    <w:p w14:paraId="399944D8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valuta</w:t>
      </w:r>
      <w:bookmarkEnd w:id="1"/>
      <w:r>
        <w:rPr>
          <w:b/>
          <w:lang w:eastAsia="ru-RU"/>
        </w:rPr>
        <w:t>:</w:t>
      </w:r>
      <w:r>
        <w:t xml:space="preserve"> Națională, MDL.</w:t>
      </w:r>
    </w:p>
    <w:p w14:paraId="47F2DA2D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Criteriul de evaluare aplicat pentru atribuirea contractului: </w:t>
      </w:r>
      <w:r>
        <w:t>cel mai mic preț care corespunde cerințelor tehnice stabilite de autoritatea contractantă.</w:t>
      </w:r>
    </w:p>
    <w:p w14:paraId="4AA8C3AB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Factorii de evaluare a ofertei celei mai avantajoase din punct de vedere economic, precum și ponderile lor: </w:t>
      </w:r>
      <w:r>
        <w:rPr>
          <w:lang w:eastAsia="ro-RO" w:bidi="ro-RO"/>
        </w:rPr>
        <w:t>Nu este cazul.</w:t>
      </w:r>
    </w:p>
    <w:p w14:paraId="476750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14:paraId="6182C012">
      <w:pPr>
        <w:pStyle w:val="8"/>
        <w:numPr>
          <w:ilvl w:val="0"/>
          <w:numId w:val="4"/>
        </w:numPr>
        <w:tabs>
          <w:tab w:val="right" w:pos="426"/>
          <w:tab w:val="clear" w:pos="1134"/>
        </w:tabs>
        <w:spacing w:line="276" w:lineRule="auto"/>
        <w:contextualSpacing/>
        <w:rPr>
          <w:b/>
          <w:lang w:val="ro-RO"/>
        </w:rPr>
      </w:pPr>
      <w:r>
        <w:rPr>
          <w:b/>
          <w:bCs/>
          <w:lang w:val="ro-RO"/>
        </w:rPr>
        <w:t xml:space="preserve">până la: </w:t>
      </w:r>
      <w:r>
        <w:rPr>
          <w:lang w:val="ro-RO" w:eastAsia="ro-RO" w:bidi="ro-RO"/>
        </w:rPr>
        <w:t xml:space="preserve">conform anunțului de participare electronic de pe platforma achizitii.md. </w:t>
      </w:r>
    </w:p>
    <w:p w14:paraId="700F6CE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>
        <w:rPr>
          <w:b/>
        </w:rPr>
        <w:t xml:space="preserve">pe: </w:t>
      </w:r>
      <w:r>
        <w:rPr>
          <w:lang w:eastAsia="ro-RO" w:bidi="ro-RO"/>
        </w:rPr>
        <w:t>conform anunțului de participare electronic de pe platforma achizitii.md.</w:t>
      </w:r>
    </w:p>
    <w:p w14:paraId="1AD17E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14:paraId="71F9A69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>
        <w:rPr>
          <w:i/>
          <w:lang w:eastAsia="ru-RU"/>
        </w:rPr>
        <w:t>Ofertele sau cererile de participare vor fi depuse electronic prin intermediul SIA RSAP</w:t>
      </w:r>
    </w:p>
    <w:p w14:paraId="11787980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>
        <w:rPr>
          <w:lang w:eastAsia="ro-RO" w:bidi="ro-RO"/>
        </w:rPr>
        <w:t>60 de zile.</w:t>
      </w:r>
    </w:p>
    <w:p w14:paraId="55D9CF2F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rPr>
          <w:lang w:eastAsia="ro-RO" w:bidi="ro-RO"/>
        </w:rPr>
        <w:t>conform anunțului de participare electronic de pe platforma achizitii.md.</w:t>
      </w:r>
    </w:p>
    <w:p w14:paraId="1FEE13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 w:type="textWrapping"/>
      </w:r>
      <w:r>
        <w:rPr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lang w:eastAsia="ru-RU"/>
        </w:rPr>
        <w:t>.</w:t>
      </w:r>
    </w:p>
    <w:p w14:paraId="0B7FE4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t>limba de stat;</w:t>
      </w:r>
      <w:r>
        <w:rPr>
          <w:b/>
          <w:lang w:eastAsia="ru-RU"/>
        </w:rPr>
        <w:t xml:space="preserve"> </w:t>
      </w:r>
    </w:p>
    <w:p w14:paraId="446F29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>
        <w:rPr>
          <w:b/>
          <w:lang w:eastAsia="ru-RU"/>
        </w:rPr>
        <w:t xml:space="preserve"> Respectivul contract se referă la un proiect și/sau program finanțat din fonduri ale Uniunii Europene: </w:t>
      </w:r>
      <w:r>
        <w:rPr>
          <w:lang w:eastAsia="ru-RU"/>
        </w:rPr>
        <w:t>Nu.</w:t>
      </w:r>
    </w:p>
    <w:p w14:paraId="743816B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14:paraId="26CD75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ab/>
      </w:r>
      <w:r>
        <w:rPr>
          <w:b/>
          <w:lang w:eastAsia="ru-RU"/>
        </w:rPr>
        <w:t xml:space="preserve">        </w:t>
      </w:r>
      <w:r>
        <w:rPr>
          <w:i/>
          <w:lang w:eastAsia="ru-RU"/>
        </w:rPr>
        <w:t>Agenția Națională pentru Soluționarea Contestațiilor</w:t>
      </w:r>
    </w:p>
    <w:p w14:paraId="33276ED8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>
        <w:rPr>
          <w:i/>
          <w:lang w:eastAsia="ru-RU"/>
        </w:rPr>
        <w:t>Adresa: mun. Chișinău, bd. Ștefan cel Mare și Sfânt nr.124 (et.4), MD 2001;</w:t>
      </w:r>
    </w:p>
    <w:p w14:paraId="0AD432E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>
        <w:rPr>
          <w:i/>
          <w:lang w:eastAsia="ru-RU"/>
        </w:rPr>
        <w:t>Tel/Fax/email:022-820 652, 022 820-651, contestatii@ansc.md</w:t>
      </w:r>
    </w:p>
    <w:p w14:paraId="09B0B6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b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lang w:eastAsia="ro-RO" w:bidi="ro-RO"/>
        </w:rPr>
        <w:t>Nu este cazul.</w:t>
      </w:r>
    </w:p>
    <w:p w14:paraId="5B5577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</w:t>
      </w:r>
      <w:r>
        <w:rPr>
          <w:lang w:eastAsia="ro-RO" w:bidi="ro-RO"/>
        </w:rPr>
        <w:t>Nu este cazul.</w:t>
      </w:r>
    </w:p>
    <w:p w14:paraId="78CBF7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anunț: </w:t>
      </w:r>
      <w:r>
        <w:rPr>
          <w:rFonts w:hint="default"/>
          <w:lang w:val="en-US" w:eastAsia="ro-RO" w:bidi="ro-RO"/>
        </w:rPr>
        <w:t>12.12.2025</w:t>
      </w:r>
      <w:r>
        <w:rPr>
          <w:lang w:eastAsia="ro-RO" w:bidi="ro-RO"/>
        </w:rPr>
        <w:t>.</w:t>
      </w:r>
    </w:p>
    <w:p w14:paraId="43E337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 xml:space="preserve">e: </w:t>
      </w:r>
      <w:r>
        <w:rPr>
          <w:lang w:eastAsia="ro-RO" w:bidi="ro-RO"/>
        </w:rPr>
        <w:t>conform anunțului de participare electronic de pe platforma achizitii.md</w:t>
      </w:r>
      <w:r>
        <w:rPr>
          <w:b/>
          <w:lang w:eastAsia="ru-RU"/>
        </w:rPr>
        <w:t>.</w:t>
      </w:r>
    </w:p>
    <w:p w14:paraId="7EDCC9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Style w:val="7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4"/>
        <w:gridCol w:w="4379"/>
      </w:tblGrid>
      <w:tr w14:paraId="3D2E0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4" w:type="dxa"/>
            <w:shd w:val="clear" w:color="auto" w:fill="E7E6E6" w:themeFill="background2"/>
          </w:tcPr>
          <w:p w14:paraId="77288761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14:paraId="68DE8F58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Se va utiliza/accepta sau nu</w:t>
            </w:r>
          </w:p>
        </w:tc>
      </w:tr>
      <w:tr w14:paraId="6AF81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4" w:type="dxa"/>
          </w:tcPr>
          <w:p w14:paraId="2ACC45E7">
            <w:pPr>
              <w:tabs>
                <w:tab w:val="right" w:pos="426"/>
              </w:tabs>
              <w:spacing w:line="276" w:lineRule="auto"/>
              <w:jc w:val="both"/>
            </w:pPr>
            <w:r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14:paraId="79A285E8">
            <w:pPr>
              <w:tabs>
                <w:tab w:val="right" w:pos="426"/>
              </w:tabs>
              <w:spacing w:line="276" w:lineRule="auto"/>
              <w:jc w:val="both"/>
            </w:pPr>
            <w:r>
              <w:rPr>
                <w:bCs/>
                <w:i/>
                <w:iCs/>
              </w:rPr>
              <w:t>Se va utiliza</w:t>
            </w:r>
          </w:p>
        </w:tc>
      </w:tr>
      <w:tr w14:paraId="006EE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4" w:type="dxa"/>
          </w:tcPr>
          <w:p w14:paraId="49B36F59">
            <w:pPr>
              <w:tabs>
                <w:tab w:val="right" w:pos="426"/>
              </w:tabs>
              <w:spacing w:line="276" w:lineRule="auto"/>
              <w:jc w:val="both"/>
            </w:pPr>
            <w:r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14:paraId="03C38FC3">
            <w:pPr>
              <w:tabs>
                <w:tab w:val="right" w:pos="426"/>
              </w:tabs>
              <w:spacing w:line="276" w:lineRule="auto"/>
              <w:jc w:val="both"/>
            </w:pPr>
            <w:r>
              <w:rPr>
                <w:bCs/>
                <w:i/>
                <w:iCs/>
              </w:rPr>
              <w:t>Nu se va utiliza</w:t>
            </w:r>
          </w:p>
        </w:tc>
      </w:tr>
      <w:tr w14:paraId="51C67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4" w:type="dxa"/>
          </w:tcPr>
          <w:p w14:paraId="3A37840E">
            <w:pPr>
              <w:tabs>
                <w:tab w:val="right" w:pos="426"/>
              </w:tabs>
              <w:spacing w:line="276" w:lineRule="auto"/>
              <w:jc w:val="both"/>
            </w:pPr>
            <w:r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14:paraId="7ED1CD86">
            <w:pPr>
              <w:tabs>
                <w:tab w:val="right" w:pos="426"/>
              </w:tabs>
              <w:spacing w:line="276" w:lineRule="auto"/>
              <w:jc w:val="both"/>
            </w:pPr>
            <w:r>
              <w:rPr>
                <w:bCs/>
                <w:i/>
                <w:iCs/>
              </w:rPr>
              <w:t>Se va utiliza</w:t>
            </w:r>
          </w:p>
        </w:tc>
      </w:tr>
      <w:tr w14:paraId="5B59E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4" w:type="dxa"/>
          </w:tcPr>
          <w:p w14:paraId="466C693C">
            <w:pPr>
              <w:tabs>
                <w:tab w:val="right" w:pos="426"/>
              </w:tabs>
              <w:spacing w:line="276" w:lineRule="auto"/>
              <w:jc w:val="both"/>
            </w:pPr>
            <w:r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14:paraId="480DFAC3">
            <w:pPr>
              <w:tabs>
                <w:tab w:val="right" w:pos="426"/>
              </w:tabs>
              <w:spacing w:line="276" w:lineRule="auto"/>
              <w:jc w:val="both"/>
            </w:pPr>
            <w:r>
              <w:rPr>
                <w:bCs/>
                <w:i/>
                <w:iCs/>
              </w:rPr>
              <w:t>Se va utiliza</w:t>
            </w:r>
          </w:p>
        </w:tc>
      </w:tr>
    </w:tbl>
    <w:p w14:paraId="2410E8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lang w:eastAsia="ru-RU"/>
        </w:rPr>
        <w:t>Nu.</w:t>
      </w:r>
    </w:p>
    <w:p w14:paraId="37B7AD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lang w:eastAsia="ro-RO" w:bidi="ro-RO"/>
        </w:rPr>
        <w:t>Nu sunt.</w:t>
      </w:r>
    </w:p>
    <w:p w14:paraId="5FA403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2" w:name="_GoBack"/>
      <w:bookmarkEnd w:id="2"/>
    </w:p>
    <w:p w14:paraId="321D604E">
      <w:pPr>
        <w:shd w:val="clear" w:color="auto" w:fill="FFFFFF" w:themeFill="background1"/>
        <w:tabs>
          <w:tab w:val="right" w:pos="426"/>
        </w:tabs>
        <w:spacing w:before="120" w:line="480" w:lineRule="auto"/>
        <w:jc w:val="both"/>
        <w:rPr>
          <w:b/>
          <w:lang w:eastAsia="ru-RU"/>
        </w:rPr>
      </w:pPr>
      <w:r>
        <w:rPr>
          <w:b/>
          <w:lang w:eastAsia="ru-RU"/>
        </w:rPr>
        <w:t>Cond</w:t>
      </w:r>
      <w:r>
        <w:rPr>
          <w:rFonts w:hint="default"/>
          <w:b/>
          <w:lang w:val="ro-RO" w:eastAsia="ru-RU"/>
        </w:rPr>
        <w:t>u</w:t>
      </w:r>
      <w:r>
        <w:rPr>
          <w:b/>
          <w:lang w:eastAsia="ru-RU"/>
        </w:rPr>
        <w:t xml:space="preserve">cătorul grupului de lucru: </w:t>
      </w:r>
      <w:r>
        <w:rPr>
          <w:rFonts w:hint="default"/>
          <w:b/>
          <w:lang w:val="en-US" w:eastAsia="ru-RU"/>
        </w:rPr>
        <w:t>Denis BRA</w:t>
      </w:r>
      <w:r>
        <w:rPr>
          <w:rFonts w:hint="default"/>
          <w:b/>
          <w:lang w:val="ro-RO" w:eastAsia="ru-RU"/>
        </w:rPr>
        <w:t>Ș</w:t>
      </w:r>
      <w:r>
        <w:rPr>
          <w:rFonts w:hint="default"/>
          <w:b/>
          <w:lang w:val="en-US" w:eastAsia="ru-RU"/>
        </w:rPr>
        <w:t>OVEANU</w:t>
      </w:r>
      <w:r>
        <w:rPr>
          <w:b/>
          <w:lang w:eastAsia="ru-RU"/>
        </w:rPr>
        <w:t xml:space="preserve"> _______________________ L.Ș</w:t>
      </w:r>
    </w:p>
    <w:p w14:paraId="3C98BDFE">
      <w:pPr>
        <w:tabs>
          <w:tab w:val="right" w:pos="426"/>
        </w:tabs>
        <w:spacing w:line="276" w:lineRule="auto"/>
        <w:jc w:val="both"/>
        <w:rPr>
          <w:b/>
        </w:rPr>
      </w:pPr>
    </w:p>
    <w:sectPr>
      <w:pgSz w:w="12240" w:h="15840"/>
      <w:pgMar w:top="270" w:right="576" w:bottom="0" w:left="56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ngXian">
    <w:altName w:val="SimSun"/>
    <w:panose1 w:val="02010600030101010101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8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0EF"/>
    <w:rsid w:val="00023516"/>
    <w:rsid w:val="0005368E"/>
    <w:rsid w:val="0006373C"/>
    <w:rsid w:val="00081F56"/>
    <w:rsid w:val="000B0A52"/>
    <w:rsid w:val="000B10E0"/>
    <w:rsid w:val="000D45DB"/>
    <w:rsid w:val="000D4AF4"/>
    <w:rsid w:val="000D67B9"/>
    <w:rsid w:val="000F3B69"/>
    <w:rsid w:val="000F5FA8"/>
    <w:rsid w:val="00102025"/>
    <w:rsid w:val="00103230"/>
    <w:rsid w:val="00121CC6"/>
    <w:rsid w:val="00123F11"/>
    <w:rsid w:val="00140F7F"/>
    <w:rsid w:val="00186B26"/>
    <w:rsid w:val="001A5E3E"/>
    <w:rsid w:val="001D166E"/>
    <w:rsid w:val="00227CB9"/>
    <w:rsid w:val="00230F4E"/>
    <w:rsid w:val="00237A40"/>
    <w:rsid w:val="002401D4"/>
    <w:rsid w:val="00262591"/>
    <w:rsid w:val="00267B57"/>
    <w:rsid w:val="00282B37"/>
    <w:rsid w:val="002904B3"/>
    <w:rsid w:val="00292D72"/>
    <w:rsid w:val="002B1094"/>
    <w:rsid w:val="002E4FD0"/>
    <w:rsid w:val="003317B3"/>
    <w:rsid w:val="003517AF"/>
    <w:rsid w:val="00357398"/>
    <w:rsid w:val="00357CF3"/>
    <w:rsid w:val="003623A3"/>
    <w:rsid w:val="003679B9"/>
    <w:rsid w:val="00372FC3"/>
    <w:rsid w:val="0037389E"/>
    <w:rsid w:val="003B6858"/>
    <w:rsid w:val="003B6BF0"/>
    <w:rsid w:val="003C24AB"/>
    <w:rsid w:val="003D114A"/>
    <w:rsid w:val="003E1118"/>
    <w:rsid w:val="003E671E"/>
    <w:rsid w:val="003F2B2C"/>
    <w:rsid w:val="004038F5"/>
    <w:rsid w:val="004106D9"/>
    <w:rsid w:val="00441DEA"/>
    <w:rsid w:val="00460DE4"/>
    <w:rsid w:val="0046687A"/>
    <w:rsid w:val="00476899"/>
    <w:rsid w:val="00495554"/>
    <w:rsid w:val="00496EB0"/>
    <w:rsid w:val="004A4399"/>
    <w:rsid w:val="004B42A1"/>
    <w:rsid w:val="004C5E45"/>
    <w:rsid w:val="004E3E1E"/>
    <w:rsid w:val="004F2BB6"/>
    <w:rsid w:val="00520EB2"/>
    <w:rsid w:val="00527EFF"/>
    <w:rsid w:val="0054194A"/>
    <w:rsid w:val="00544191"/>
    <w:rsid w:val="0057799E"/>
    <w:rsid w:val="005B0DE1"/>
    <w:rsid w:val="005C1945"/>
    <w:rsid w:val="005E054C"/>
    <w:rsid w:val="005E6949"/>
    <w:rsid w:val="006159EF"/>
    <w:rsid w:val="00620F9C"/>
    <w:rsid w:val="00635D3A"/>
    <w:rsid w:val="00637D2D"/>
    <w:rsid w:val="00637FE5"/>
    <w:rsid w:val="006548A0"/>
    <w:rsid w:val="0065718D"/>
    <w:rsid w:val="006D273F"/>
    <w:rsid w:val="006E7986"/>
    <w:rsid w:val="006F35BA"/>
    <w:rsid w:val="006F5928"/>
    <w:rsid w:val="007000F0"/>
    <w:rsid w:val="00711F71"/>
    <w:rsid w:val="00727E71"/>
    <w:rsid w:val="00734135"/>
    <w:rsid w:val="00764C60"/>
    <w:rsid w:val="0077264B"/>
    <w:rsid w:val="007765C0"/>
    <w:rsid w:val="00793DE9"/>
    <w:rsid w:val="007A3DD0"/>
    <w:rsid w:val="007B43F9"/>
    <w:rsid w:val="007C0DD3"/>
    <w:rsid w:val="007C4FEA"/>
    <w:rsid w:val="007D22A1"/>
    <w:rsid w:val="007D3AEF"/>
    <w:rsid w:val="007D585D"/>
    <w:rsid w:val="007E29CC"/>
    <w:rsid w:val="0084074F"/>
    <w:rsid w:val="00845C26"/>
    <w:rsid w:val="00852751"/>
    <w:rsid w:val="008528CA"/>
    <w:rsid w:val="008632B3"/>
    <w:rsid w:val="008673A3"/>
    <w:rsid w:val="00884358"/>
    <w:rsid w:val="00894FAC"/>
    <w:rsid w:val="008A305B"/>
    <w:rsid w:val="008B163E"/>
    <w:rsid w:val="008C2CA0"/>
    <w:rsid w:val="008E0D3B"/>
    <w:rsid w:val="008E1A86"/>
    <w:rsid w:val="008F1019"/>
    <w:rsid w:val="0090370E"/>
    <w:rsid w:val="0092084F"/>
    <w:rsid w:val="00921F47"/>
    <w:rsid w:val="00961BFD"/>
    <w:rsid w:val="00980E7C"/>
    <w:rsid w:val="00992B4C"/>
    <w:rsid w:val="009A0AD8"/>
    <w:rsid w:val="009B1DF6"/>
    <w:rsid w:val="009C638F"/>
    <w:rsid w:val="009D3F43"/>
    <w:rsid w:val="00A014C2"/>
    <w:rsid w:val="00A0633D"/>
    <w:rsid w:val="00A076CA"/>
    <w:rsid w:val="00A248F5"/>
    <w:rsid w:val="00A407D3"/>
    <w:rsid w:val="00A67305"/>
    <w:rsid w:val="00AA5CF1"/>
    <w:rsid w:val="00AC6193"/>
    <w:rsid w:val="00AD671E"/>
    <w:rsid w:val="00B1177E"/>
    <w:rsid w:val="00B308D9"/>
    <w:rsid w:val="00B37FB9"/>
    <w:rsid w:val="00B4299B"/>
    <w:rsid w:val="00B620D7"/>
    <w:rsid w:val="00B6511E"/>
    <w:rsid w:val="00B707FC"/>
    <w:rsid w:val="00B742E2"/>
    <w:rsid w:val="00B7491E"/>
    <w:rsid w:val="00B9331A"/>
    <w:rsid w:val="00B9681C"/>
    <w:rsid w:val="00B97989"/>
    <w:rsid w:val="00BA1FE3"/>
    <w:rsid w:val="00BC2A2A"/>
    <w:rsid w:val="00BC636F"/>
    <w:rsid w:val="00BD5F4D"/>
    <w:rsid w:val="00BD7ED0"/>
    <w:rsid w:val="00BF09E1"/>
    <w:rsid w:val="00C129B0"/>
    <w:rsid w:val="00C308C5"/>
    <w:rsid w:val="00C35D2D"/>
    <w:rsid w:val="00C35F27"/>
    <w:rsid w:val="00C42E64"/>
    <w:rsid w:val="00C45B4A"/>
    <w:rsid w:val="00C47250"/>
    <w:rsid w:val="00C809E1"/>
    <w:rsid w:val="00C8578D"/>
    <w:rsid w:val="00C9213F"/>
    <w:rsid w:val="00C94C9E"/>
    <w:rsid w:val="00CB3FD1"/>
    <w:rsid w:val="00CF63D9"/>
    <w:rsid w:val="00D44A73"/>
    <w:rsid w:val="00D933E9"/>
    <w:rsid w:val="00DB1742"/>
    <w:rsid w:val="00DB1EE5"/>
    <w:rsid w:val="00DB4597"/>
    <w:rsid w:val="00DC7130"/>
    <w:rsid w:val="00DD2BDB"/>
    <w:rsid w:val="00DF0522"/>
    <w:rsid w:val="00DF187F"/>
    <w:rsid w:val="00DF22FE"/>
    <w:rsid w:val="00E0441C"/>
    <w:rsid w:val="00E06E3B"/>
    <w:rsid w:val="00E151DB"/>
    <w:rsid w:val="00E37991"/>
    <w:rsid w:val="00E41686"/>
    <w:rsid w:val="00E53F03"/>
    <w:rsid w:val="00E62C23"/>
    <w:rsid w:val="00E76F76"/>
    <w:rsid w:val="00E82244"/>
    <w:rsid w:val="00E908FC"/>
    <w:rsid w:val="00E96C35"/>
    <w:rsid w:val="00E96CCF"/>
    <w:rsid w:val="00EA22E5"/>
    <w:rsid w:val="00EC6F9A"/>
    <w:rsid w:val="00ED4235"/>
    <w:rsid w:val="00ED4A7C"/>
    <w:rsid w:val="00F21B9D"/>
    <w:rsid w:val="00F3496E"/>
    <w:rsid w:val="00F36647"/>
    <w:rsid w:val="00F41349"/>
    <w:rsid w:val="00F479D1"/>
    <w:rsid w:val="00F5270A"/>
    <w:rsid w:val="00F52B7E"/>
    <w:rsid w:val="00F5391F"/>
    <w:rsid w:val="00F55EC6"/>
    <w:rsid w:val="00F66E1D"/>
    <w:rsid w:val="00F82504"/>
    <w:rsid w:val="00FA2D80"/>
    <w:rsid w:val="00FB0A2D"/>
    <w:rsid w:val="00FB1B9B"/>
    <w:rsid w:val="00FC68F1"/>
    <w:rsid w:val="00FE40ED"/>
    <w:rsid w:val="4C4B78FF"/>
    <w:rsid w:val="7C8C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link w:val="13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Segoe UI" w:hAnsi="Segoe UI" w:cs="Segoe UI"/>
      <w:sz w:val="18"/>
      <w:szCs w:val="18"/>
    </w:rPr>
  </w:style>
  <w:style w:type="character" w:styleId="6">
    <w:name w:val="Hyperlink"/>
    <w:basedOn w:val="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7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link w:val="12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9">
    <w:name w:val="Style3"/>
    <w:basedOn w:val="2"/>
    <w:link w:val="10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10">
    <w:name w:val="Style3 Char"/>
    <w:link w:val="9"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11">
    <w:name w:val="Griglia tabella2"/>
    <w:basedOn w:val="4"/>
    <w:uiPriority w:val="39"/>
    <w:pPr>
      <w:spacing w:after="0" w:line="240" w:lineRule="auto"/>
    </w:pPr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Абзац списка Знак"/>
    <w:link w:val="8"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3">
    <w:name w:val="Заголовок 3 Знак"/>
    <w:basedOn w:val="3"/>
    <w:link w:val="2"/>
    <w:semiHidden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14">
    <w:name w:val="Текст выноски Знак"/>
    <w:basedOn w:val="3"/>
    <w:link w:val="5"/>
    <w:semiHidden/>
    <w:uiPriority w:val="99"/>
    <w:rPr>
      <w:rFonts w:ascii="Segoe UI" w:hAnsi="Segoe UI" w:eastAsia="Times New Roman" w:cs="Segoe UI"/>
      <w:sz w:val="18"/>
      <w:szCs w:val="18"/>
    </w:rPr>
  </w:style>
  <w:style w:type="character" w:customStyle="1" w:styleId="15">
    <w:name w:val="Основной текст (2)_"/>
    <w:basedOn w:val="3"/>
    <w:link w:val="16"/>
    <w:uiPriority w:val="0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6">
    <w:name w:val="Основной текст (2)1"/>
    <w:basedOn w:val="1"/>
    <w:link w:val="15"/>
    <w:uiPriority w:val="99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17">
    <w:name w:val="Основной текст (2) + 8;5 pt;Не полужирный"/>
    <w:basedOn w:val="15"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18">
    <w:name w:val="Основной текст (2)"/>
    <w:basedOn w:val="1"/>
    <w:uiPriority w:val="0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19">
    <w:name w:val="Основной текст (2) + 11 pt;Не полужирный"/>
    <w:basedOn w:val="15"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customStyle="1" w:styleId="20">
    <w:name w:val="Unresolved Mention"/>
    <w:basedOn w:val="3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1333</Words>
  <Characters>7732</Characters>
  <Lines>64</Lines>
  <Paragraphs>18</Paragraphs>
  <TotalTime>1</TotalTime>
  <ScaleCrop>false</ScaleCrop>
  <LinksUpToDate>false</LinksUpToDate>
  <CharactersWithSpaces>9047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2023-02-22T08:13:00Z</dcterms:created>
  <dc:creator>Postolache Natalia</dc:creator>
  <cp:lastModifiedBy>Tatiana.Beleniuc</cp:lastModifiedBy>
  <cp:lastPrinted>2026-01-23T06:58:14Z</cp:lastPrinted>
  <dcterms:modified xsi:type="dcterms:W3CDTF">2026-01-23T06:58:34Z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A2B6B3DB7090463A95B32F2A2FDDCBD4_12</vt:lpwstr>
  </property>
</Properties>
</file>