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3714"/>
        <w:gridCol w:w="4090"/>
        <w:gridCol w:w="1418"/>
      </w:tblGrid>
      <w:tr w:rsidR="00471EBD" w:rsidRPr="00673C9F" w:rsidTr="00673C9F">
        <w:tc>
          <w:tcPr>
            <w:tcW w:w="15460" w:type="dxa"/>
            <w:gridSpan w:val="8"/>
            <w:shd w:val="clear" w:color="auto" w:fill="auto"/>
          </w:tcPr>
          <w:p w:rsidR="00471EBD" w:rsidRPr="00673C9F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673C9F" w:rsidTr="005E1B6E">
        <w:tc>
          <w:tcPr>
            <w:tcW w:w="675" w:type="dxa"/>
          </w:tcPr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bunurilor/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71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673C9F" w:rsidTr="005E1B6E">
        <w:tc>
          <w:tcPr>
            <w:tcW w:w="675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0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8</w:t>
            </w:r>
          </w:p>
        </w:tc>
      </w:tr>
      <w:tr w:rsidR="00673C9F" w:rsidRPr="00673C9F" w:rsidTr="00673C9F">
        <w:tc>
          <w:tcPr>
            <w:tcW w:w="15460" w:type="dxa"/>
            <w:gridSpan w:val="8"/>
            <w:vAlign w:val="center"/>
          </w:tcPr>
          <w:p w:rsid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Perin GEPC400EC conform  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10w40 - 40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80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Trio R 125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10w40 -28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Antigel (completare după caz) – 30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GS200K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GS200K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10w40 -22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35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  <w:tr w:rsidR="00673C9F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GM28801-3</w:t>
            </w: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GM28801-3 conform caietului de sarcini anexat, inclusiv înlocuirea consumabilelor necesare pentru întreținerea a grupul electrogen: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10w40 -20 l;</w:t>
            </w:r>
          </w:p>
          <w:p w:rsidR="00673C9F" w:rsidRPr="00673C9F" w:rsidRDefault="00673C9F" w:rsidP="00673C9F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30 l</w:t>
            </w:r>
          </w:p>
        </w:tc>
        <w:tc>
          <w:tcPr>
            <w:tcW w:w="409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673C9F" w:rsidRPr="00673C9F" w:rsidTr="00673C9F">
        <w:trPr>
          <w:gridAfter w:val="1"/>
          <w:wAfter w:w="7" w:type="dxa"/>
          <w:trHeight w:val="935"/>
        </w:trPr>
        <w:tc>
          <w:tcPr>
            <w:tcW w:w="15508" w:type="dxa"/>
            <w:gridSpan w:val="12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50532400-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50532400-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50532400-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GS200K</w:t>
            </w:r>
            <w:r w:rsidRPr="00673C9F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673C9F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50532400-</w:t>
            </w:r>
            <w:r w:rsidR="00A933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C9F" w:rsidRPr="00673C9F" w:rsidRDefault="00673C9F" w:rsidP="00673C9F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color w:val="000000"/>
                <w:lang w:eastAsia="ro-RO" w:bidi="ro-RO"/>
              </w:rPr>
              <w:t>SDMO GM28801-3</w:t>
            </w:r>
          </w:p>
        </w:tc>
        <w:tc>
          <w:tcPr>
            <w:tcW w:w="1010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673C9F" w:rsidRPr="00673C9F" w:rsidRDefault="00673C9F" w:rsidP="00673C9F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673C9F" w:rsidRPr="00673C9F" w:rsidRDefault="00673C9F" w:rsidP="00673C9F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4" w:name="_GoBack"/>
      <w:bookmarkEnd w:id="4"/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11779D"/>
    <w:multiLevelType w:val="hybridMultilevel"/>
    <w:tmpl w:val="E9BE9CB0"/>
    <w:lvl w:ilvl="0" w:tplc="08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E49B2"/>
    <w:rsid w:val="003C12E1"/>
    <w:rsid w:val="00407912"/>
    <w:rsid w:val="00423891"/>
    <w:rsid w:val="004707BD"/>
    <w:rsid w:val="00471EBD"/>
    <w:rsid w:val="004E7DD8"/>
    <w:rsid w:val="0056101F"/>
    <w:rsid w:val="005E1B6E"/>
    <w:rsid w:val="00613D9C"/>
    <w:rsid w:val="00620493"/>
    <w:rsid w:val="00673C9F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9331F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C736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F0DB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0"/>
    <w:link w:val="a5"/>
    <w:uiPriority w:val="34"/>
    <w:qFormat/>
    <w:rsid w:val="00471EBD"/>
    <w:pPr>
      <w:ind w:left="720"/>
      <w:contextualSpacing/>
    </w:pPr>
  </w:style>
  <w:style w:type="character" w:customStyle="1" w:styleId="a6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0"/>
    <w:link w:val="a6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7">
    <w:name w:val="Strong"/>
    <w:uiPriority w:val="22"/>
    <w:qFormat/>
    <w:rsid w:val="006C251C"/>
    <w:rPr>
      <w:b/>
      <w:bCs/>
    </w:rPr>
  </w:style>
  <w:style w:type="paragraph" w:styleId="a8">
    <w:name w:val="Normal (Web)"/>
    <w:basedOn w:val="a0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1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7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C0482-DA06-4CF8-A091-EBEB03AF8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12</cp:revision>
  <dcterms:created xsi:type="dcterms:W3CDTF">2025-02-12T11:27:00Z</dcterms:created>
  <dcterms:modified xsi:type="dcterms:W3CDTF">2026-03-26T06:52:00Z</dcterms:modified>
</cp:coreProperties>
</file>