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120" w:line="276" w:lineRule="auto"/>
        <w:ind/>
        <w:jc w:val="center"/>
        <w:rPr>
          <w:lang w:val="en-US"/>
        </w:rPr>
      </w:pPr>
      <w:r>
        <w:rPr>
          <w:rFonts w:eastAsia="Times New Roman"/>
          <w:b/>
          <w:color w:val="000000"/>
          <w:lang w:val="en-US"/>
        </w:rPr>
        <w:t xml:space="preserve">ANUNȚ DE PARTICIPARE INCLUSIV PENTRU PROCEDURILE DE PRESELECȚIE/PROCEDURILE NEGOCIATE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lang w:val="ro-RO"/>
        </w:rPr>
      </w:pPr>
      <w:r>
        <w:rPr>
          <w:rFonts w:eastAsia="Times New Roman"/>
          <w:b/>
          <w:bCs/>
          <w:color w:val="000000"/>
          <w:sz w:val="24"/>
          <w:szCs w:val="24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i/>
          <w:iCs/>
          <w:color w:val="000000"/>
          <w:sz w:val="24"/>
          <w:lang w:val="en-US"/>
        </w:rPr>
        <w:t xml:space="preserve">privind achiziționarea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PRODUSE PETROLIERE                                                     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94"/>
        <w:pBdr/>
        <w:spacing w:line="276" w:lineRule="auto"/>
        <w:ind/>
        <w:rPr>
          <w:rFonts w:ascii="Times New Roman" w:hAnsi="Times New Roman" w:eastAsia="Times New Roman" w:cs="Times New Roman"/>
          <w:b/>
          <w:bCs w:val="0"/>
          <w:i w:val="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  <w:u w:val="non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  <w:u w:val="single"/>
          <w:lang w:val="ro-RO"/>
        </w:rPr>
        <w:t xml:space="preserve">pentru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auto"/>
          <w:sz w:val="24"/>
          <w:szCs w:val="24"/>
          <w:highlight w:val="none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auto"/>
          <w:sz w:val="24"/>
          <w:szCs w:val="24"/>
          <w:highlight w:val="white"/>
          <w:u w:val="single"/>
          <w:lang w:val="ro-RO"/>
        </w:rPr>
        <w:t xml:space="preserve">ATA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auto"/>
          <w:sz w:val="24"/>
          <w:szCs w:val="24"/>
          <w:highlight w:val="white"/>
          <w:u w:val="single"/>
          <w:lang w:val="ro-RO"/>
        </w:rPr>
        <w:t xml:space="preserve">S NORD VEST și STAS-le,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auto"/>
          <w:sz w:val="24"/>
          <w:szCs w:val="24"/>
          <w:highlight w:val="white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auto"/>
          <w:sz w:val="24"/>
          <w:szCs w:val="24"/>
          <w:highlight w:val="white"/>
          <w:u w:val="single"/>
          <w:lang w:val="ro-RO"/>
        </w:rPr>
        <w:t xml:space="preserve">arondate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auto"/>
          <w:sz w:val="24"/>
          <w:szCs w:val="24"/>
          <w:highlight w:val="white"/>
          <w:u w:val="single"/>
          <w:lang w:val="ro-RO"/>
        </w:rPr>
        <w:t xml:space="preserve">ATAS NORD-VEST</w:t>
      </w:r>
      <w:r>
        <w:rPr>
          <w:rFonts w:ascii="Times New Roman" w:hAnsi="Times New Roman" w:eastAsia="Times New Roman" w:cs="Times New Roman"/>
          <w:b/>
          <w:bCs w:val="0"/>
          <w:i w:val="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sz w:val="24"/>
          <w:szCs w:val="24"/>
          <w:u w:val="single"/>
          <w:lang w:val="ro-RO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i/>
          <w:iCs/>
          <w:color w:val="000000"/>
          <w:sz w:val="24"/>
          <w:lang w:val="en-US"/>
        </w:rPr>
        <w:t xml:space="preserve">prin procedura de achiziție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 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Cererea Ofertelor de Prețuri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*Procedura a fost inclusă în planul de achiziții publice a autorității contractante (Da/Nu):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white"/>
          <w:u w:val="single"/>
          <w:lang w:val="ro-RO"/>
        </w:rPr>
        <w:t xml:space="preserve">DA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Link-ul către planul de achiziții publice publicat: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</w:t>
      </w:r>
      <w:r>
        <w:fldChar w:fldCharType="begin"/>
      </w:r>
      <w:r>
        <w:rPr>
          <w:lang w:val="en-US"/>
        </w:rPr>
        <w:instrText xml:space="preserve"> HYPERLINK "https://restart.gov.md/" \o "https://restart.gov.md/" </w:instrText>
      </w:r>
      <w:r>
        <w:fldChar w:fldCharType="separate"/>
      </w:r>
      <w:r>
        <w:rPr>
          <w:rStyle w:val="935"/>
          <w:rFonts w:ascii="Times New Roman" w:hAnsi="Times New Roman" w:eastAsia="Times New Roman"/>
          <w:b/>
          <w:sz w:val="24"/>
          <w:szCs w:val="24"/>
          <w:lang w:val="ro-RO"/>
        </w:rPr>
        <w:t xml:space="preserve">https://restart.gov.md/</w:t>
      </w:r>
      <w:r>
        <w:rPr>
          <w:rStyle w:val="935"/>
          <w:rFonts w:ascii="Times New Roman" w:hAnsi="Times New Roman" w:eastAsia="Times New Roman"/>
          <w:b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sz w:val="24"/>
          <w:szCs w:val="24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r>
      <w:r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r>
    </w:p>
    <w:p>
      <w:pPr>
        <w:pStyle w:val="794"/>
        <w:pBdr/>
        <w:spacing/>
        <w:ind w:left="-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794"/>
        <w:pBdr/>
        <w:spacing/>
        <w:ind w:left="-142"/>
        <w:rPr>
          <w:rFonts w:ascii="Times New Roman" w:hAnsi="Times New Roman" w:eastAsia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1.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Denumirea autorității contractante:</w:t>
      </w:r>
      <w:r>
        <w:rPr>
          <w:rFonts w:ascii="Times New Roman" w:hAnsi="Times New Roman" w:eastAsia="Times New Roman"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/>
        </w:rPr>
      </w:r>
    </w:p>
    <w:p>
      <w:pPr>
        <w:pStyle w:val="794"/>
        <w:pBdr/>
        <w:tabs>
          <w:tab w:val="left" w:leader="none" w:pos="10063"/>
        </w:tabs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                                              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AGENȚIA TERITORIALĂ DE ASISTENȚĂ SOCIALĂ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NORD VEST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-283" w:left="-142"/>
        <w:rPr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2. </w:t>
      </w:r>
      <w:r>
        <w:rPr>
          <w:rFonts w:eastAsia="Times New Roman"/>
          <w:color w:val="000000"/>
          <w:sz w:val="24"/>
          <w:lang w:val="en-US"/>
        </w:rPr>
        <w:t xml:space="preserve">IDNO: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1023601000201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left="-142"/>
        <w:rPr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3. </w:t>
      </w:r>
      <w:r>
        <w:rPr>
          <w:rFonts w:eastAsia="Times New Roman"/>
          <w:color w:val="000000"/>
          <w:sz w:val="24"/>
          <w:lang w:val="en-US"/>
        </w:rPr>
        <w:t xml:space="preserve">Adresa: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or.Fălești, str.Ștefan cel Mare, 81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 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left="-142"/>
        <w:rPr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4. </w:t>
      </w:r>
      <w:r>
        <w:rPr>
          <w:rFonts w:eastAsia="Times New Roman"/>
          <w:color w:val="000000"/>
          <w:sz w:val="24"/>
          <w:lang w:val="en-US"/>
        </w:rPr>
        <w:t xml:space="preserve">Numărul de telefon/fax:</w:t>
      </w:r>
      <w:r>
        <w:rPr>
          <w:rFonts w:eastAsia="Times New Roman"/>
          <w:color w:val="000000"/>
          <w:sz w:val="24"/>
          <w:lang w:val="ro-RO"/>
        </w:rPr>
        <w:t xml:space="preserve">                                                                       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0-69387879, 0-78825043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794"/>
        <w:pBdr/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5.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Adresa de e-mail și de internet a autorității contractante: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   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fldChar w:fldCharType="begin"/>
      </w:r>
      <w:r>
        <w:rPr>
          <w:lang w:val="en-US"/>
        </w:rPr>
        <w:instrText xml:space="preserve"> HYPERLINK "mailto:atas.nord-vest@social.gov.md" \o "mailto:atas.nord-vest@social.gov.md" </w:instrText>
      </w:r>
      <w:r>
        <w:fldChar w:fldCharType="separate"/>
      </w:r>
      <w:r>
        <w:rPr>
          <w:rStyle w:val="935"/>
          <w:rFonts w:ascii="Times New Roman" w:hAnsi="Times New Roman" w:eastAsia="Times New Roman"/>
          <w:b/>
          <w:sz w:val="24"/>
          <w:lang w:val="en-US"/>
        </w:rPr>
        <w:t xml:space="preserve">atas.</w:t>
      </w:r>
      <w:r>
        <w:rPr>
          <w:rStyle w:val="935"/>
          <w:rFonts w:ascii="Times New Roman" w:hAnsi="Times New Roman" w:eastAsia="Times New Roman"/>
          <w:b/>
          <w:sz w:val="24"/>
          <w:lang w:val="ro-RO"/>
        </w:rPr>
        <w:t xml:space="preserve">nord-vest</w:t>
      </w:r>
      <w:r>
        <w:rPr>
          <w:rStyle w:val="935"/>
          <w:rFonts w:ascii="Times New Roman" w:hAnsi="Times New Roman" w:eastAsia="Times New Roman"/>
          <w:b/>
          <w:sz w:val="24"/>
          <w:lang w:val="en-US"/>
        </w:rPr>
        <w:t xml:space="preserve">@social.gov.md</w:t>
      </w:r>
      <w:r>
        <w:rPr>
          <w:rStyle w:val="935"/>
          <w:rFonts w:ascii="Times New Roman" w:hAnsi="Times New Roman" w:eastAsia="Times New Roman"/>
          <w:b/>
          <w:sz w:val="24"/>
        </w:rPr>
        <w:fldChar w:fldCharType="end"/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794"/>
        <w:pBdr/>
        <w:spacing/>
        <w:ind w:hanging="142"/>
        <w:rPr>
          <w:lang w:val="ro-RO"/>
        </w:rPr>
      </w:pPr>
      <w:r>
        <w:fldChar w:fldCharType="begin"/>
      </w:r>
      <w:r>
        <w:rPr>
          <w:lang w:val="en-US"/>
        </w:rPr>
        <w:instrText xml:space="preserve"> HYPERLINK "mailto:larisa.bazilevschi@atas.gov.md" \o "mailto:larisa.bazilevschi@atas.gov.md" </w:instrText>
      </w:r>
      <w:r>
        <w:fldChar w:fldCharType="separate"/>
      </w:r>
      <w:r>
        <w:rPr>
          <w:rStyle w:val="935"/>
          <w:rFonts w:ascii="Times New Roman" w:hAnsi="Times New Roman" w:eastAsia="Times New Roman"/>
          <w:b/>
          <w:sz w:val="24"/>
          <w:u w:val="none"/>
          <w:lang w:val="ro-RO"/>
        </w:rPr>
        <w:t xml:space="preserve">                                                                                                                    </w:t>
      </w:r>
      <w:r>
        <w:rPr>
          <w:rStyle w:val="935"/>
          <w:rFonts w:ascii="Times New Roman" w:hAnsi="Times New Roman" w:eastAsia="Times New Roman"/>
          <w:b/>
          <w:sz w:val="24"/>
          <w:lang w:val="ro-RO"/>
        </w:rPr>
        <w:t xml:space="preserve">larisa.bazilevschi@atas.gov.md</w:t>
      </w:r>
      <w:r>
        <w:rPr>
          <w:rStyle w:val="935"/>
          <w:rFonts w:ascii="Times New Roman" w:hAnsi="Times New Roman" w:eastAsia="Times New Roman"/>
          <w:b/>
          <w:sz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lang w:val="ro-RO"/>
        </w:rPr>
      </w:r>
      <w:r>
        <w:rPr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850" w:left="-142"/>
        <w:rPr>
          <w:szCs w:val="24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6. </w:t>
      </w:r>
      <w:r>
        <w:rPr>
          <w:rFonts w:eastAsia="Times New Roman"/>
          <w:color w:val="000000"/>
          <w:sz w:val="24"/>
          <w:lang w:val="en-US"/>
        </w:rPr>
        <w:t xml:space="preserve">Adresa de e-mail sau de internet de la care se va putea obține accesul la documentația de atribuire: </w:t>
      </w:r>
      <w:r>
        <w:rPr>
          <w:rFonts w:eastAsia="Times New Roman"/>
          <w:b/>
          <w:color w:val="000000"/>
          <w:sz w:val="24"/>
          <w:lang w:val="ro-RO"/>
        </w:rPr>
        <w:t xml:space="preserve">   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D</w:t>
      </w:r>
      <w:r>
        <w:rPr>
          <w:rFonts w:eastAsia="Times New Roman"/>
          <w:b/>
          <w:color w:val="000000"/>
          <w:sz w:val="24"/>
          <w:szCs w:val="24"/>
          <w:u w:val="single"/>
          <w:lang w:val="en-US"/>
        </w:rPr>
        <w:t xml:space="preserve">ocumentația de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A</w:t>
      </w:r>
      <w:r>
        <w:rPr>
          <w:rFonts w:eastAsia="Times New Roman"/>
          <w:b/>
          <w:color w:val="000000"/>
          <w:sz w:val="24"/>
          <w:szCs w:val="24"/>
          <w:u w:val="single"/>
          <w:lang w:val="en-US"/>
        </w:rPr>
        <w:t xml:space="preserve">tribuire este anexată în cadrul procedurii în SIA RSAP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și  </w:t>
      </w:r>
      <w:r>
        <w:fldChar w:fldCharType="begin"/>
      </w:r>
      <w:r>
        <w:rPr>
          <w:lang w:val="en-US"/>
        </w:rPr>
        <w:instrText xml:space="preserve"> HYPERLINK "https://restart.gov.md/" \o "https://restart.gov.md/" </w:instrText>
      </w:r>
      <w:r>
        <w:fldChar w:fldCharType="separate"/>
      </w:r>
      <w:r>
        <w:rPr>
          <w:rStyle w:val="935"/>
          <w:b/>
          <w:sz w:val="24"/>
          <w:szCs w:val="24"/>
          <w:lang w:val="ro-RO"/>
        </w:rPr>
        <w:t xml:space="preserve">https://restart.gov.md/</w:t>
      </w:r>
      <w:r>
        <w:rPr>
          <w:rStyle w:val="935"/>
          <w:b/>
          <w:sz w:val="24"/>
          <w:szCs w:val="24"/>
          <w:lang w:val="ro-RO"/>
        </w:rPr>
        <w:fldChar w:fldCharType="end"/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 </w:t>
      </w:r>
      <w:r>
        <w:rPr>
          <w:szCs w:val="24"/>
          <w:lang w:val="en-US"/>
        </w:rPr>
      </w:r>
      <w:r>
        <w:rPr>
          <w:szCs w:val="24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left="-142"/>
        <w:rPr>
          <w:b/>
          <w:bCs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color w:val="000000"/>
          <w:sz w:val="24"/>
          <w:lang w:val="ro-RO"/>
        </w:rPr>
        <w:t xml:space="preserve">7. </w:t>
      </w:r>
      <w:r>
        <w:rPr>
          <w:rFonts w:eastAsia="Times New Roman"/>
          <w:color w:val="000000"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Instituție bugetară cu obiectul principal de activitate – acordarea asistenței în domeniul social, protecției familiei și a copilului.</w:t>
      </w:r>
      <w:r>
        <w:rPr>
          <w:b/>
          <w:bCs/>
          <w:sz w:val="24"/>
          <w:szCs w:val="24"/>
          <w:highlight w:val="none"/>
          <w:u w:val="single"/>
          <w:lang w:val="ro-RO"/>
        </w:rPr>
      </w:r>
      <w:r>
        <w:rPr>
          <w:b/>
          <w:bCs/>
          <w:sz w:val="24"/>
          <w:szCs w:val="24"/>
          <w:highlight w:val="none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360" w:lineRule="auto"/>
        <w:ind w:right="-283" w:left="-142"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8. </w:t>
      </w:r>
      <w:r>
        <w:rPr>
          <w:rFonts w:eastAsia="Times New Roman"/>
          <w:color w:val="000000"/>
          <w:sz w:val="24"/>
          <w:lang w:val="en-US"/>
        </w:rPr>
        <w:t xml:space="preserve">Cumpărătorul invită operatorii economici interesați, care îi pot satisface necesitățile, să participe la procedura de achiziție privind livrarea bunurilor:</w:t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tbl>
      <w:tblPr>
        <w:tblStyle w:val="809"/>
        <w:tblW w:w="0" w:type="auto"/>
        <w:tblInd w:w="-14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42"/>
        <w:gridCol w:w="2234"/>
        <w:gridCol w:w="958"/>
        <w:gridCol w:w="1021"/>
        <w:gridCol w:w="2659"/>
        <w:gridCol w:w="1356"/>
      </w:tblGrid>
      <w:tr>
        <w:trPr>
          <w:trHeight w:val="5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Nr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lot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Cod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 CPV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34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Denumirea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 bunurilor/serviciilor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 solicitate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Unitatea de măsură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2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Cantitate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estimată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59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Specificarea tehnică deplină solicitată, Standarde de referință</w:t>
            </w:r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Valoarea estimată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,            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fără TVA,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lei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4"/>
                <w:szCs w:val="14"/>
              </w:rPr>
              <w:t xml:space="preserve">(se va indica pentru fiecare lot în parte)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</w:p>
        </w:tc>
      </w:tr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ro-RO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09130000-9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34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Benzină,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Ai-95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litri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2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20100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59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en-US"/>
              </w:rPr>
              <w:t xml:space="preserve">Carduri valorice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, Cifra octanică,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                       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COR, min. 95;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Aspect limpede şi transparent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SM EN 228+A1:2017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387000,00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ro-RO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z w:val="24"/>
                <w:szCs w:val="24"/>
                <w:highlight w:val="none"/>
                <w:lang w:val="ro-RO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09130000-9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34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Motorină, Euro5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litri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2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5815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59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en-US"/>
              </w:rPr>
              <w:t xml:space="preserve">Carduri valorice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Aditivii din motorină nu trebuie să conțină compuși ai metalelor și fosforului.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Cifra cetanică min.51,0.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Punctul de inflamabilitate min.550C.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br/>
              <w:t xml:space="preserve">Densitatea la 200C,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br/>
              <w:t xml:space="preserve">max.860,0kg/m3.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Viscozitatea la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/>
              </w:rPr>
              <w:t xml:space="preserve">400C, 2,00 – 4,50 mm2/s.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SM EN 590+Al :2017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99750,00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rPr>
          <w:trHeight w:val="613"/>
        </w:trPr>
        <w:tc>
          <w:tcPr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130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 w:line="276" w:lineRule="auto"/>
              <w:ind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Valoarea estimat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 xml:space="preserve">ă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fără TVA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 xml:space="preserve">, lei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highlight w:val="none"/>
              </w:rPr>
            </w:r>
          </w:p>
          <w:p>
            <w:pPr>
              <w:pStyle w:val="794"/>
              <w:pBdr/>
              <w:spacing w:line="276" w:lineRule="auto"/>
              <w:ind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highlight w:val="none"/>
                <w:lang w:val="ro-RO"/>
              </w:rPr>
              <w:t xml:space="preserve">(în limitele alocațiilor bugetare disponibile)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1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ro-RO"/>
              </w:rPr>
              <w:t xml:space="preserve">486750,00</w:t>
            </w:r>
            <w:r>
              <w:rPr>
                <w:b/>
                <w:bCs/>
                <w:i/>
                <w:sz w:val="24"/>
                <w:szCs w:val="24"/>
              </w:rPr>
            </w:r>
            <w:r>
              <w:rPr>
                <w:b/>
                <w:bCs/>
                <w:i/>
                <w:sz w:val="24"/>
                <w:szCs w:val="24"/>
              </w:rPr>
            </w:r>
          </w:p>
        </w:tc>
      </w:tr>
    </w:tbl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b/>
          <w:bCs/>
          <w:i/>
          <w:sz w:val="24"/>
          <w:szCs w:val="24"/>
          <w:highlight w:val="white"/>
          <w:u w:val="single"/>
        </w:rPr>
      </w:pPr>
      <w:r>
        <w:rPr>
          <w:b/>
          <w:bCs/>
          <w:i/>
          <w:iCs/>
          <w:sz w:val="24"/>
          <w:szCs w:val="24"/>
          <w:highlight w:val="white"/>
          <w:u w:val="single"/>
          <w:lang w:val="en-US"/>
        </w:rPr>
      </w:r>
      <w:r>
        <w:rPr>
          <w:b/>
          <w:bCs/>
          <w:i/>
          <w:sz w:val="24"/>
          <w:szCs w:val="24"/>
          <w:highlight w:val="white"/>
          <w:u w:val="single"/>
        </w:rPr>
      </w:r>
      <w:r>
        <w:rPr>
          <w:b/>
          <w:bCs/>
          <w:i/>
          <w:sz w:val="24"/>
          <w:szCs w:val="24"/>
          <w:highlight w:val="white"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9. </w:t>
      </w:r>
      <w:r>
        <w:rPr>
          <w:rFonts w:eastAsia="Times New Roman"/>
          <w:color w:val="000000"/>
          <w:sz w:val="24"/>
          <w:lang w:val="en-US"/>
        </w:rPr>
        <w:t xml:space="preserve">În cazul procedurilor de preselecție se indică numărul minim al candidaților şi, dacă este cazul, numărul maxim al acestora.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left="644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  <w:r>
        <w:rPr>
          <w:rFonts w:eastAsia="Times New Roman"/>
          <w:sz w:val="24"/>
          <w:szCs w:val="24"/>
          <w:lang w:val="en-US"/>
        </w:rPr>
      </w:r>
      <w:r>
        <w:rPr>
          <w:rFonts w:eastAsia="Times New Roman"/>
          <w:sz w:val="24"/>
          <w:szCs w:val="24"/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10.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În cazul în care contractul este împărțit pe loturi un operator economic poate depune oferta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: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</w:t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</w:p>
    <w:p>
      <w:pPr>
        <w:pStyle w:val="794"/>
        <w:pBdr/>
        <w:spacing/>
        <w:ind/>
        <w:rPr>
          <w:bCs/>
          <w:i/>
          <w:sz w:val="16"/>
          <w:szCs w:val="16"/>
          <w:lang w:val="en-US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GB"/>
        </w:rPr>
        <w:t xml:space="preserve">                         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(se va selecta):</w:t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>
      <w:pPr>
        <w:pStyle w:val="794"/>
        <w:pBdr/>
        <w:spacing/>
        <w:ind/>
        <w:rPr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1)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Pentru un singur lot;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Style w:val="794"/>
        <w:pBdr/>
        <w:spacing/>
        <w:ind/>
        <w:rPr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2)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Pentru mai multe loturi;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3)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Pentru toate loturile;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</w:rPr>
      </w:r>
    </w:p>
    <w:p>
      <w:pPr>
        <w:pStyle w:val="794"/>
        <w:pBdr/>
        <w:spacing/>
        <w:ind/>
        <w:rPr>
          <w:b/>
          <w:bCs/>
          <w:u w:val="single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highlight w:val="none"/>
          <w:u w:val="single"/>
          <w:lang w:val="en-US"/>
        </w:rPr>
      </w:r>
      <w:r>
        <w:rPr>
          <w:b/>
          <w:bCs/>
          <w:u w:val="single"/>
          <w:lang w:val="en-US"/>
        </w:rPr>
      </w:r>
      <w:r>
        <w:rPr>
          <w:b/>
          <w:bCs/>
          <w:u w:val="single"/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color w:val="000000"/>
          <w:sz w:val="20"/>
          <w:szCs w:val="20"/>
          <w:lang w:val="ro-RO"/>
        </w:rPr>
      </w:pPr>
      <w:r>
        <w:rPr>
          <w:rFonts w:ascii="Times New Roman" w:hAnsi="Times New Roman" w:eastAsia="Times New Roman"/>
          <w:color w:val="000000"/>
          <w:sz w:val="20"/>
          <w:highlight w:val="none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color w:val="000000"/>
          <w:sz w:val="20"/>
          <w:szCs w:val="20"/>
          <w:highlight w:val="none"/>
          <w:lang w:val="ro-RO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lang w:val="ro-RO"/>
        </w:rPr>
        <w:t xml:space="preserve">11.</w:t>
      </w:r>
      <w:r>
        <w:rPr>
          <w:rFonts w:ascii="Times New Roman" w:hAnsi="Times New Roman" w:eastAsia="Times New Roman"/>
          <w:b/>
          <w:bCs/>
          <w:color w:val="000000"/>
          <w:sz w:val="24"/>
          <w:lang w:val="en-US"/>
        </w:rPr>
        <w:t xml:space="preserve"> 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Admiterea sau interzicerea ofertelor alternative: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 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N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en-US"/>
        </w:rPr>
        <w:t xml:space="preserve">u se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 admite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                           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</w:t>
      </w:r>
      <w:r>
        <w:rPr>
          <w:rFonts w:ascii="Times New Roman" w:hAnsi="Times New Roman" w:eastAsia="Times New Roman"/>
          <w:color w:val="000000"/>
          <w:sz w:val="20"/>
          <w:szCs w:val="20"/>
          <w:highlight w:val="none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none"/>
          <w:lang w:val="ro-RO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pP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      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            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    (indicați se admite sau nu se admite)</w:t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r>
    </w:p>
    <w:p>
      <w:pPr>
        <w:pStyle w:val="794"/>
        <w:pBdr/>
        <w:spacing/>
        <w:ind/>
        <w:rPr>
          <w:bCs/>
          <w:i/>
          <w:sz w:val="16"/>
          <w:szCs w:val="16"/>
          <w:lang w:val="en-US"/>
        </w:rPr>
      </w:pP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 w:eastAsia="Times New Roman" w:cs="Times New Roman"/>
          <w:sz w:val="24"/>
          <w:szCs w:val="24"/>
          <w:highlight w:val="none"/>
          <w:lang w:val="ro-RO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white"/>
          <w:lang w:val="it-IT" w:eastAsia="ru-RU"/>
        </w:rPr>
        <w:t xml:space="preserve">12.</w:t>
      </w:r>
      <w:r>
        <w:rPr>
          <w:rFonts w:ascii="Times New Roman" w:hAnsi="Times New Roman" w:eastAsia="Times New Roman" w:cs="Times New Roman"/>
          <w:b/>
          <w:sz w:val="24"/>
          <w:szCs w:val="24"/>
          <w:highlight w:val="white"/>
          <w:lang w:val="it-IT" w:eastAsia="ru-RU"/>
        </w:rPr>
        <w:t xml:space="preserve">Termenii și condițiile de livrare/prestare solicitați: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pe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parcursul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anului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 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lang w:val="ro-RO"/>
        </w:rPr>
        <w:t xml:space="preserve">6,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</w:rPr>
        <w:t xml:space="preserve">în baza cerinţelor şi la solicitarea „Cumpărătorului”; la staţiile PECO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 de alimentare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lang w:val="ro-RO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 in baza cardurilor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personalizate pentru fiecare auto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mobil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, emise de către Vânzător</w:t>
      </w:r>
      <w:r>
        <w:rPr>
          <w:rFonts w:ascii="Times New Roman" w:hAnsi="Times New Roman" w:eastAsia="Times New Roman" w:cs="Times New Roman"/>
          <w:sz w:val="24"/>
          <w:szCs w:val="24"/>
          <w:highlight w:val="white"/>
          <w:lang w:val="ro-RO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o-RO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276" w:lineRule="auto"/>
        <w:ind w:right="-567" w:firstLine="0" w:left="0"/>
        <w:jc w:val="left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  <w:lang w:val="en-US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Vânzător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trebuie sa aibă stații</w:t>
      </w:r>
      <w:r>
        <w:rPr>
          <w:sz w:val="24"/>
          <w:szCs w:val="24"/>
          <w:highlight w:val="white"/>
          <w:lang w:val="ro-RO"/>
        </w:rPr>
        <w:t xml:space="preserve">le PECO</w:t>
      </w:r>
      <w:r>
        <w:rPr>
          <w:sz w:val="24"/>
          <w:szCs w:val="24"/>
          <w:highlight w:val="white"/>
        </w:rPr>
        <w:t xml:space="preserve"> de alimentare </w:t>
      </w:r>
      <w:r>
        <w:rPr>
          <w:sz w:val="24"/>
          <w:szCs w:val="24"/>
          <w:highlight w:val="white"/>
        </w:rPr>
        <w:t xml:space="preserve">în</w:t>
      </w:r>
      <w:r>
        <w:rPr>
          <w:sz w:val="24"/>
          <w:szCs w:val="24"/>
          <w:highlight w:val="white"/>
          <w:lang w:val="ro-RO"/>
        </w:rPr>
        <w:t xml:space="preserve"> raza raioanelor</w:t>
      </w:r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  <w:lang w:val="ro-RO"/>
        </w:rPr>
        <w:t xml:space="preserve">Fălești, Glodeni, Sîngerei, mun.Bălți </w:t>
      </w:r>
      <w:r>
        <w:rPr>
          <w:sz w:val="24"/>
          <w:szCs w:val="24"/>
          <w:highlight w:val="white"/>
        </w:rPr>
        <w:t xml:space="preserve"> și mun.Chișinău. </w:t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left"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bCs/>
          <w:color w:val="000000"/>
          <w:sz w:val="24"/>
          <w:szCs w:val="24"/>
          <w:lang w:val="ro-RO"/>
        </w:rPr>
        <w:t xml:space="preserve">13. </w:t>
      </w:r>
      <w:r>
        <w:rPr>
          <w:rFonts w:eastAsia="Times New Roman"/>
          <w:b/>
          <w:color w:val="000000"/>
          <w:sz w:val="24"/>
          <w:szCs w:val="24"/>
          <w:lang w:val="en-US"/>
        </w:rPr>
        <w:t xml:space="preserve">Termenul de valabilitate a contra</w:t>
      </w:r>
      <w:r>
        <w:rPr>
          <w:rFonts w:eastAsia="Times New Roman"/>
          <w:b/>
          <w:color w:val="000000"/>
          <w:sz w:val="24"/>
          <w:lang w:val="en-US"/>
        </w:rPr>
        <w:t xml:space="preserve">ctului: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31.12.202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6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both"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14. </w:t>
      </w:r>
      <w:r>
        <w:rPr>
          <w:rFonts w:eastAsia="Times New Roman"/>
          <w:color w:val="000000"/>
          <w:sz w:val="24"/>
          <w:lang w:val="en-US"/>
        </w:rPr>
        <w:t xml:space="preserve">Contract de achiziție rezervat atelierelor protejate sau că acesta poate fi executat numai în cadrul unor programe de angajare protejată (după caz):</w:t>
      </w:r>
      <w:r>
        <w:rPr>
          <w:rFonts w:eastAsia="Times New Roman"/>
          <w:b/>
          <w:color w:val="000000"/>
          <w:sz w:val="24"/>
          <w:lang w:val="en-US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15.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Prestarea serviciului este rezervată unei anumite profesii în temeiul unor legi sau al unor acte administrative (după caz):</w:t>
      </w:r>
      <w:r>
        <w:rPr>
          <w:rFonts w:eastAsia="Times New Roman"/>
          <w:b/>
          <w:color w:val="000000"/>
          <w:sz w:val="24"/>
          <w:lang w:val="en-US"/>
        </w:rPr>
        <w:t xml:space="preserve"> 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276" w:lineRule="auto"/>
        <w:ind w:right="-425"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16. </w:t>
      </w:r>
      <w:r>
        <w:rPr>
          <w:rFonts w:eastAsia="Times New Roman"/>
          <w:b/>
          <w:color w:val="000000"/>
          <w:sz w:val="24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al (ale) cerințelor eventual impuse; se menționează informațiile solicitate (DUAE, documentație):   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tbl>
      <w:tblPr>
        <w:tblStyle w:val="809"/>
        <w:tblW w:w="10323" w:type="dxa"/>
        <w:tblBorders/>
        <w:tblLook w:val="04A0" w:firstRow="1" w:lastRow="0" w:firstColumn="1" w:lastColumn="0" w:noHBand="0" w:noVBand="1"/>
      </w:tblPr>
      <w:tblGrid>
        <w:gridCol w:w="577"/>
        <w:gridCol w:w="3368"/>
        <w:gridCol w:w="4252"/>
        <w:gridCol w:w="2126"/>
      </w:tblGrid>
      <w:tr>
        <w:trPr>
          <w:trHeight w:val="488"/>
        </w:trPr>
        <w:tc>
          <w:tcPr>
            <w:shd w:val="clear" w:color="ffffff" w:fill="d9d9d9" w:themeFill="background1" w:themeFillShade="D9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Nr. d/o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3368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Descrierea criteriului/cerinței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4252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Mod de demonstrare a îndeplinirii criteriului/cerinței: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Borders/>
            <w:tcW w:w="2126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 xml:space="preserve">Nivelul minim/</w:t>
            </w:r>
            <w:r>
              <w:rPr>
                <w:b/>
                <w:iCs/>
                <w:sz w:val="24"/>
                <w:szCs w:val="24"/>
              </w:rPr>
              <w:br/>
              <w:t xml:space="preserve">Obligativitatea</w:t>
            </w:r>
            <w:r>
              <w:rPr>
                <w:b/>
                <w:iCs/>
                <w:sz w:val="24"/>
                <w:szCs w:val="24"/>
              </w:rPr>
            </w:r>
            <w:r>
              <w:rPr>
                <w:b/>
                <w:iCs/>
                <w:sz w:val="24"/>
                <w:szCs w:val="24"/>
              </w:rPr>
            </w:r>
          </w:p>
        </w:tc>
      </w:tr>
      <w:tr>
        <w:trPr>
          <w:trHeight w:val="584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1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DUAE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(Documentul Unic de Achiziții European)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Conform formularului anexat în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it-IT" w:eastAsia="ru-RU"/>
              </w:rPr>
              <w:t xml:space="preserve">SIA RSAP Mtender (Aprobat prin Ordinul MF nr.72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it-IT" w:eastAsia="ru-RU"/>
              </w:rPr>
              <w:t xml:space="preserve"> din 11.06.2020)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>
          <w:trHeight w:val="584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2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Cererea de participare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Original (conform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anexei nr.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                                  din Documentația standart aprobată prin Ordinul MF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it-IT" w:eastAsia="ru-RU"/>
              </w:rPr>
              <w:t xml:space="preserve">nr.115 din 15.09.2021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>
          <w:trHeight w:val="584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3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/>
                <w:color w:val="000000"/>
                <w:highlight w:val="white"/>
              </w:rPr>
            </w:pPr>
            <w:r>
              <w:rPr>
                <w:rFonts w:ascii="Times New Roman" w:hAnsi="Times New Roman" w:eastAsia="Times New Roman"/>
                <w:color w:val="000000"/>
                <w:highlight w:val="white"/>
                <w:lang w:val="ro-RO"/>
              </w:rPr>
              <w:t xml:space="preserve">Original. </w:t>
            </w:r>
            <w:r>
              <w:rPr>
                <w:rFonts w:ascii="Times New Roman" w:hAnsi="Times New Roman" w:eastAsia="Times New Roman"/>
                <w:color w:val="000000"/>
                <w:highlight w:val="white"/>
              </w:rPr>
              <w:t xml:space="preserve">Formularul Ofertei F</w:t>
            </w:r>
            <w:r>
              <w:rPr>
                <w:rFonts w:ascii="Times New Roman" w:hAnsi="Times New Roman" w:eastAsia="Times New Roman"/>
                <w:color w:val="000000"/>
                <w:highlight w:val="white"/>
              </w:rPr>
              <w:t xml:space="preserve">.3.1</w:t>
            </w:r>
            <w:r>
              <w:rPr>
                <w:rFonts w:ascii="Times New Roman" w:hAnsi="Times New Roman" w:eastAsia="Times New Roman"/>
                <w:color w:val="00000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lang w:val="ro-RO"/>
              </w:rPr>
              <w:t xml:space="preserve">d</w:t>
            </w:r>
            <w:r>
              <w:rPr>
                <w:rFonts w:ascii="Times New Roman" w:hAnsi="Times New Roman" w:eastAsia="Times New Roman"/>
                <w:color w:val="000000"/>
                <w:lang w:val="en-US"/>
              </w:rPr>
              <w:t xml:space="preserve">in Documentația standard</w:t>
            </w:r>
            <w:r>
              <w:rPr>
                <w:rFonts w:ascii="Times New Roman" w:hAnsi="Times New Roman" w:eastAsia="Times New Roman"/>
                <w:color w:val="000000"/>
                <w:lang w:val="ro-RO"/>
              </w:rPr>
              <w:t xml:space="preserve"> nr.115 din 15.09.2021</w:t>
            </w:r>
            <w:r>
              <w:rPr>
                <w:rFonts w:ascii="Times New Roman" w:hAnsi="Times New Roman" w:eastAsia="Times New Roman"/>
                <w:color w:val="000000"/>
                <w:lang w:val="en-US"/>
              </w:rPr>
              <w:t xml:space="preserve">, confirmat</w:t>
            </w:r>
            <w:r>
              <w:rPr>
                <w:rFonts w:ascii="Times New Roman" w:hAnsi="Times New Roman" w:eastAsia="Times New Roman"/>
                <w:color w:val="000000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/>
                <w:color w:val="000000"/>
                <w:lang w:val="en-US"/>
              </w:rPr>
              <w:t xml:space="preserve">prin aplicarea semnăturii electronice a Participantului.</w:t>
            </w:r>
            <w:r>
              <w:rPr>
                <w:rFonts w:ascii="Times New Roman" w:hAnsi="Times New Roman"/>
                <w:color w:val="000000"/>
                <w:highlight w:val="white"/>
              </w:rPr>
            </w:r>
            <w:r>
              <w:rPr>
                <w:rFonts w:ascii="Times New Roman" w:hAnsi="Times New Roman"/>
                <w:color w:val="000000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Original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>
          <w:trHeight w:val="729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 w:firstLine="0" w:left="0"/>
              <w:contextualSpacing w:val="tru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4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Declaraţie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privind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valabilitatea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u-RU" w:eastAsia="ru-RU"/>
              </w:rPr>
              <w:t xml:space="preserve">ofertei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Original (conform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anexei nr.8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din Documentația standart aprobată prin Ordinul MF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it-IT" w:eastAsia="ru-RU"/>
              </w:rPr>
              <w:t xml:space="preserve">nr.115 din 15.09.2021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rPr>
          <w:trHeight w:val="1033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612"/>
                <w:tab w:val="clear" w:leader="none" w:pos="1134"/>
              </w:tabs>
              <w:spacing w:after="120" w:before="120"/>
              <w:ind/>
              <w:contextualSpacing w:val="tru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5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Specificații tehnice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Original, (conform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anexei nr.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din Documentația standart aprobată prin Ordinul MF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it-IT" w:eastAsia="ru-RU"/>
              </w:rPr>
              <w:t xml:space="preserve">nr.115 din 15.09.2021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Specificații de preț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Original, (conform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anexei nr.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din Documentația standart aprobată prin Ordinul MF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it-IT" w:eastAsia="ru-RU"/>
              </w:rPr>
              <w:t xml:space="preserve">nr.115 din 15.09.2021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rPr>
          <w:trHeight w:val="209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Date despre Participant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Original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rPr>
          <w:trHeight w:val="0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Dovada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înregistrării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persoanei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juridice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conformitate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cu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prevederile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legale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din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țara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care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ofertantul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este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/>
              </w:rPr>
              <w:t xml:space="preserve">stabilit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Copie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rPr>
          <w:trHeight w:val="279"/>
        </w:trPr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Certificat de atribuire a contului bancar, IBAN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Copie,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Certificat (VALABIL) de la organele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Serviciul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Fiscal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de Stat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privind lipsa datoriilor față de Bugetul Public Național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Copie,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Certificat de conformitate sau un alt document, echivalent, ce confirmă calitatea produselor petroliere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Copie,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Licenţa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pentru importul și comercializarea cu ridicata și/sau cu amănuntul a benzinei și/sau motorinei la stațiile de alimentare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Copie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valabilă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la data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prezentării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semnat electronic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Lista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staţiilor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PECO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ale participanților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Copie,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Style w:val="956"/>
                <w:rFonts w:ascii="Times New Roman" w:hAnsi="Times New Roman" w:eastAsia="Times New Roman" w:cs="Times New Roman" w:eastAsiaTheme="majorEastAsia"/>
                <w:b w:val="0"/>
                <w:bCs w:val="0"/>
                <w:sz w:val="24"/>
                <w:szCs w:val="24"/>
              </w:rPr>
              <w:t xml:space="preserve">Declarație privind confirmarea identității beneficiarilor efectivi și neâncadrarea acestora în situația condamnării pentru participarea la activități ale unei organizații sau grupări criminale, pentru corupție, fraudă și/sau spălare de bani.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Style w:val="954"/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Formularul aprobat prin Ordinul MF al RM nr.145 din 24.11.2020, completat și confirmat prin semnatura electronică a aparticipantului.</w:t>
            </w:r>
            <w:r>
              <w:rPr>
                <w:rStyle w:val="954"/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Original, </w:t>
            </w:r>
            <w:r>
              <w:rPr>
                <w:rStyle w:val="954"/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Style w:val="954"/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954"/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 prin aplicarea semnăturii electronice a Participantului.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depus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tabs>
                <w:tab w:val="left" w:leader="none" w:pos="612"/>
              </w:tabs>
              <w:spacing w:after="120" w:before="120"/>
              <w:ind/>
              <w:rPr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Garanția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bancară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pentru ofertă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1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% din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valoarea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ofertei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fără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 TVA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,</w:t>
            </w:r>
            <w:r>
              <w:rPr>
                <w:b w:val="0"/>
                <w:bCs w:val="0"/>
                <w:sz w:val="24"/>
                <w:szCs w:val="24"/>
                <w:highlight w:val="white"/>
                <w:lang w:val="ro-RO"/>
              </w:rPr>
              <w:t xml:space="preserve"> în forma de scrisoare oficială emisă de o banca comercială.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ab/>
            </w:r>
            <w:r>
              <w:rPr>
                <w:iCs/>
                <w:sz w:val="20"/>
                <w:szCs w:val="20"/>
                <w:highlight w:val="white"/>
              </w:rPr>
            </w:r>
            <w:r>
              <w:rPr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Garanți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bancară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 pentru ofertă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(conform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anexei nr.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o-RO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),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highlight w:val="white"/>
                <w:lang w:val="ro-RO"/>
              </w:rPr>
              <w:t xml:space="preserve">în forma de scrisoare oficială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emisă de către instituția financiară unde se deservește  ofertantul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în valoare de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% din suma ofertei fără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TVA, cu termen de valabilitate nu mai mic decât valabilitatea ofertei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prin aplicarea semnăturii electronice a Participantului.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o-RO"/>
              </w:rPr>
              <w:t xml:space="preserve">se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depu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o-RO"/>
              </w:rPr>
              <w:t xml:space="preserve">ne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odată cu oferta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  <w:tr>
        <w:trPr/>
        <w:tc>
          <w:tcPr>
            <w:shd w:val="clear" w:color="ffffff" w:fill="ffffff"/>
            <w:tcBorders/>
            <w:tcW w:w="577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16</w:t>
            </w: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shd w:val="clear" w:color="ffffff" w:fill="ffffff"/>
            <w:tcBorders/>
            <w:tcW w:w="3368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tabs>
                <w:tab w:val="left" w:leader="none" w:pos="612"/>
              </w:tabs>
              <w:spacing w:after="120" w:before="120"/>
              <w:ind/>
              <w:rPr>
                <w:b w:val="0"/>
                <w:bCs w:val="0"/>
                <w:iCs/>
                <w:sz w:val="24"/>
                <w:szCs w:val="24"/>
                <w:highlight w:val="white"/>
              </w:rPr>
            </w:pP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Garanția de buna execuție 5% din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valoarea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 contractului cu TVA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,</w:t>
            </w:r>
            <w:r>
              <w:rPr>
                <w:b w:val="0"/>
                <w:bCs w:val="0"/>
                <w:sz w:val="24"/>
                <w:szCs w:val="24"/>
                <w:highlight w:val="white"/>
                <w:lang w:val="ro-RO"/>
              </w:rPr>
              <w:t xml:space="preserve"> în forma de scrisoare oficială emisă de o banca comercială.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ab/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</w:rPr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/>
            <w:tcW w:w="4252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tabs>
                <w:tab w:val="left" w:leader="none" w:pos="612"/>
              </w:tabs>
              <w:spacing w:after="0"/>
              <w:ind/>
              <w:jc w:val="left"/>
              <w:rPr>
                <w:rFonts w:ascii="Times New Roman" w:hAnsi="Times New Roman" w:eastAsia="Times New Roman" w:cs="Times New Roman"/>
                <w:iCs/>
                <w:color w:val="000000"/>
                <w:sz w:val="24"/>
                <w:szCs w:val="24"/>
                <w:lang w:val="ro-RO"/>
              </w:rPr>
            </w:pP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Garanția de buna execuție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 (conform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anexei nr.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  <w:lang w:val="ro-RO"/>
              </w:rPr>
              <w:t xml:space="preserve">10)</w:t>
            </w:r>
            <w:r/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, în valoare de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 5% din 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suma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en-US"/>
              </w:rPr>
              <w:t xml:space="preserve"> contractului cu TVA</w:t>
            </w:r>
            <w:r>
              <w:rPr>
                <w:b w:val="0"/>
                <w:bCs w:val="0"/>
                <w:iCs/>
                <w:sz w:val="24"/>
                <w:szCs w:val="24"/>
                <w:highlight w:val="white"/>
                <w:lang w:val="ro-RO"/>
              </w:rPr>
              <w:t xml:space="preserve">,</w:t>
            </w:r>
            <w:r>
              <w:rPr>
                <w:b w:val="0"/>
                <w:bCs w:val="0"/>
                <w:sz w:val="24"/>
                <w:szCs w:val="24"/>
                <w:highlight w:val="white"/>
                <w:lang w:val="ro-RO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  <w:highlight w:val="white"/>
                <w:lang w:val="ro-RO"/>
              </w:rPr>
              <w:t xml:space="preserve">în forma de scrisoare oficială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emisă de către instituția financiară unde se deservește ofertantul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4"/>
                <w:szCs w:val="24"/>
                <w:lang w:val="ro-RO"/>
              </w:rPr>
            </w:r>
          </w:p>
          <w:p>
            <w:pPr>
              <w:pBdr/>
              <w:tabs>
                <w:tab w:val="left" w:leader="none" w:pos="612"/>
              </w:tabs>
              <w:spacing w:after="0" w:line="276" w:lineRule="auto"/>
              <w:ind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Confirmat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4"/>
                <w:szCs w:val="24"/>
              </w:rPr>
              <w:t xml:space="preserve">prin aplicarea semnăturii electronice a Participantului.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:lang w:val="ro-RO"/>
              </w:rPr>
            </w:r>
          </w:p>
        </w:tc>
        <w:tc>
          <w:tcPr>
            <w:shd w:val="clear" w:color="ffffff" w:fill="ffffff"/>
            <w:tcBorders/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  <w:t xml:space="preserve">DA – Obligatoriu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se prezintă la semnarea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contractului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4"/>
                <w:szCs w:val="24"/>
              </w:rPr>
            </w:r>
          </w:p>
        </w:tc>
      </w:tr>
    </w:tbl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40" w:lineRule="auto"/>
        <w:ind w:left="0"/>
        <w:jc w:val="lef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240" w:lineRule="auto"/>
        <w:ind/>
        <w:jc w:val="left"/>
        <w:rPr>
          <w:rFonts w:eastAsia="Times New Roman"/>
          <w:b/>
          <w:bCs/>
          <w:i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17. </w:t>
      </w:r>
      <w:r>
        <w:rPr>
          <w:rFonts w:eastAsia="Times New Roman"/>
          <w:b/>
          <w:color w:val="000000"/>
          <w:sz w:val="24"/>
          <w:lang w:val="en-US"/>
        </w:rPr>
        <w:t xml:space="preserve">Garanția pentru ofertă</w:t>
      </w:r>
      <w:r>
        <w:rPr>
          <w:rFonts w:eastAsia="Times New Roman"/>
          <w:b/>
          <w:color w:val="000000"/>
          <w:sz w:val="24"/>
          <w:lang w:val="ro-RO"/>
        </w:rPr>
        <w:t xml:space="preserve"> (obligatoriu la depunerea ofertelor)</w:t>
      </w:r>
      <w:r>
        <w:rPr>
          <w:rFonts w:eastAsia="Times New Roman"/>
          <w:b/>
          <w:color w:val="000000"/>
          <w:sz w:val="24"/>
          <w:lang w:val="en-US"/>
        </w:rPr>
        <w:t xml:space="preserve">: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1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% din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suma ofertei fără TVA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cu termen de valabilitate nu mai mic decât valabilitatea ofertei</w:t>
      </w:r>
      <w:r>
        <w:rPr>
          <w:b w:val="0"/>
          <w:bCs w:val="0"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b/>
          <w:bCs/>
          <w:sz w:val="24"/>
          <w:szCs w:val="24"/>
          <w:highlight w:val="white"/>
          <w:lang w:val="ro-RO"/>
        </w:rPr>
        <w:t xml:space="preserve">în forma de scrisoare oficială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b/>
          <w:bCs/>
          <w:sz w:val="24"/>
          <w:szCs w:val="24"/>
          <w:highlight w:val="none"/>
          <w:lang w:val="ro-RO"/>
        </w:rPr>
        <w:t xml:space="preserve">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</w:rPr>
      </w:r>
    </w:p>
    <w:p>
      <w:pPr>
        <w:pStyle w:val="794"/>
        <w:pBdr/>
        <w:spacing/>
        <w:ind/>
        <w:rPr>
          <w:b/>
          <w:bCs/>
          <w:i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r>
      <w:r>
        <w:rPr>
          <w:b/>
          <w:bCs/>
          <w:i/>
          <w:u w:val="single"/>
        </w:rPr>
      </w:r>
      <w:r>
        <w:rPr>
          <w:b/>
          <w:bCs/>
          <w:i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08"/>
        </w:tabs>
        <w:spacing w:line="240" w:lineRule="auto"/>
        <w:ind/>
        <w:jc w:val="left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18. </w:t>
      </w:r>
      <w:r>
        <w:rPr>
          <w:rFonts w:eastAsia="Times New Roman"/>
          <w:b/>
          <w:color w:val="000000"/>
          <w:sz w:val="24"/>
          <w:lang w:val="en-US"/>
        </w:rPr>
        <w:t xml:space="preserve">Garanția de bună execuție a contractului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(obligatoriu la semnarea contractului)</w:t>
      </w:r>
      <w:r>
        <w:rPr>
          <w:rFonts w:eastAsia="Times New Roman"/>
          <w:b/>
          <w:color w:val="000000"/>
          <w:sz w:val="24"/>
          <w:lang w:val="en-US"/>
        </w:rPr>
        <w:t xml:space="preserve">: 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5% din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suma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 contractului cu TVA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,</w:t>
      </w:r>
      <w:r>
        <w:rPr>
          <w:b/>
          <w:bCs/>
          <w:sz w:val="24"/>
          <w:szCs w:val="24"/>
          <w:highlight w:val="white"/>
          <w:lang w:val="ro-RO"/>
        </w:rPr>
        <w:t xml:space="preserve"> în forma de scrisoare oficială</w:t>
      </w:r>
      <w:r>
        <w:rPr>
          <w:b/>
          <w:bCs/>
          <w:sz w:val="24"/>
          <w:szCs w:val="24"/>
          <w:highlight w:val="whit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</w:r>
    </w:p>
    <w:p>
      <w:pPr>
        <w:pStyle w:val="794"/>
        <w:pBdr/>
        <w:spacing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i/>
          <w:iCs/>
          <w:color w:val="000000"/>
          <w:sz w:val="24"/>
          <w:highlight w:val="none"/>
          <w:u w:val="single"/>
          <w:lang w:val="ro-RO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19.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Motivul recurgerii la procedura accelerată (în cazul licitației deschise, restrânse și a procedurii negociate), după caz: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Nu se aplică.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pPr>
      <w:r>
        <w:rPr>
          <w:rFonts w:eastAsia="Times New Roman"/>
          <w:b/>
          <w:bCs/>
          <w:color w:val="000000"/>
          <w:sz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20.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Tehnici și instrumente specifice de atribuire</w:t>
      </w:r>
      <w:r>
        <w:rPr>
          <w:rFonts w:eastAsia="Times New Roman"/>
          <w:color w:val="000000"/>
          <w:sz w:val="24"/>
          <w:lang w:val="en-US"/>
        </w:rPr>
        <w:t xml:space="preserve"> (dacă este cazul specificați dacă se va utiliza acordul-cadru, sistemul dinamic de achiziție sau licitația electronică): </w:t>
      </w:r>
      <w:r>
        <w:rPr>
          <w:rFonts w:eastAsia="Times New Roman"/>
          <w:b/>
          <w:bCs/>
          <w:color w:val="000000"/>
          <w:sz w:val="24"/>
          <w:highlight w:val="white"/>
          <w:u w:val="single"/>
          <w:lang w:val="en-US"/>
        </w:rPr>
        <w:t xml:space="preserve">licitația electronică</w:t>
      </w:r>
      <w:r>
        <w:rPr>
          <w:rFonts w:eastAsia="Times New Roman"/>
          <w:b/>
          <w:bCs/>
          <w:color w:val="000000"/>
          <w:sz w:val="24"/>
          <w:highlight w:val="white"/>
          <w:u w:val="single"/>
          <w:lang w:val="ro-RO"/>
        </w:rPr>
        <w:t xml:space="preserve">, pasul 1%</w:t>
      </w:r>
      <w:r>
        <w:rPr>
          <w:rFonts w:eastAsia="Times New Roman"/>
          <w:b/>
          <w:bCs/>
          <w:color w:val="000000"/>
          <w:sz w:val="24"/>
          <w:highlight w:val="white"/>
          <w:u w:val="single"/>
          <w:lang w:val="ro-RO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line="240" w:lineRule="auto"/>
        <w:ind w:right="-567" w:firstLine="0" w:left="283"/>
        <w:rPr>
          <w:rFonts w:eastAsia="Times New Roman"/>
          <w:b/>
          <w:bCs/>
          <w:i/>
          <w:color w:val="000000"/>
          <w:sz w:val="24"/>
          <w:szCs w:val="24"/>
          <w:highlight w:val="yellow"/>
          <w:u w:val="single"/>
        </w:rPr>
      </w:pPr>
      <w:r>
        <w:rPr>
          <w:rFonts w:eastAsia="Times New Roman"/>
          <w:b/>
          <w:bCs/>
          <w:color w:val="000000"/>
          <w:sz w:val="24"/>
          <w:highlight w:val="none"/>
          <w:u w:val="single"/>
          <w:lang w:val="ro-RO"/>
        </w:rPr>
      </w:r>
      <w:r>
        <w:rPr>
          <w:b/>
          <w:bCs/>
          <w:i/>
          <w:iCs/>
          <w:sz w:val="24"/>
          <w:szCs w:val="24"/>
          <w:highlight w:val="white"/>
        </w:rPr>
        <w:t xml:space="preserve">Notă:</w:t>
      </w:r>
      <w:r>
        <w:rPr>
          <w:highlight w:val="white"/>
        </w:rPr>
        <w:t xml:space="preserve"> </w:t>
      </w:r>
      <w:r>
        <w:rPr>
          <w:b/>
          <w:bCs/>
          <w:sz w:val="24"/>
          <w:szCs w:val="24"/>
        </w:rPr>
        <w:t xml:space="preserve">După etapa finalizării licitaliei electronice, </w:t>
      </w:r>
      <w:r>
        <w:rPr>
          <w:b w:val="0"/>
          <w:bCs w:val="0"/>
          <w:i/>
          <w:iCs/>
          <w:sz w:val="24"/>
          <w:szCs w:val="24"/>
        </w:rPr>
        <w:t xml:space="preserve">dacă ace</w:t>
      </w:r>
      <w:r>
        <w:rPr>
          <w:b w:val="0"/>
          <w:bCs w:val="0"/>
          <w:i/>
          <w:iCs/>
          <w:sz w:val="24"/>
          <w:szCs w:val="24"/>
          <w:lang w:val="ro-RO"/>
        </w:rPr>
        <w:t xml:space="preserve">a</w:t>
      </w:r>
      <w:r>
        <w:rPr>
          <w:b w:val="0"/>
          <w:bCs w:val="0"/>
          <w:i/>
          <w:iCs/>
          <w:sz w:val="24"/>
          <w:szCs w:val="24"/>
        </w:rPr>
        <w:t xml:space="preserve">sta а avut loc,</w:t>
      </w:r>
      <w:r>
        <w:rPr>
          <w:b/>
          <w:bCs/>
          <w:sz w:val="24"/>
          <w:szCs w:val="24"/>
        </w:rPr>
        <w:t xml:space="preserve"> în cazul miсșorării prețurilor </w:t>
      </w:r>
      <w:r>
        <w:rPr>
          <w:b/>
          <w:bCs/>
          <w:sz w:val="24"/>
          <w:szCs w:val="24"/>
        </w:rPr>
        <w:t xml:space="preserve">inițiale, </w:t>
      </w:r>
      <w:r>
        <w:rPr>
          <w:b w:val="0"/>
          <w:bCs w:val="0"/>
          <w:sz w:val="24"/>
          <w:szCs w:val="24"/>
        </w:rPr>
        <w:t xml:space="preserve">conform rundеlоr desfășurate,</w:t>
      </w:r>
      <w:r>
        <w:rPr>
          <w:b/>
          <w:bCs/>
          <w:sz w:val="24"/>
          <w:szCs w:val="24"/>
        </w:rPr>
        <w:t xml:space="preserve"> urmează</w:t>
      </w:r>
      <w:r>
        <w:rPr>
          <w:b/>
          <w:bCs/>
          <w:sz w:val="24"/>
          <w:szCs w:val="24"/>
        </w:rPr>
        <w:t xml:space="preserve"> а fi prezentat</w:t>
      </w:r>
      <w:r>
        <w:rPr>
          <w:b/>
          <w:bCs/>
          <w:sz w:val="24"/>
          <w:szCs w:val="24"/>
          <w:lang w:val="ro-RO"/>
        </w:rPr>
        <w:t xml:space="preserve">, </w:t>
      </w:r>
      <w:r>
        <w:rPr>
          <w:b/>
          <w:bCs/>
          <w:i/>
          <w:iCs/>
          <w:sz w:val="24"/>
          <w:szCs w:val="24"/>
          <w:lang w:val="ro-RO"/>
        </w:rPr>
        <w:t xml:space="preserve">in termen de 1 (una) zi</w:t>
      </w:r>
      <w:r>
        <w:rPr>
          <w:b/>
          <w:bCs/>
          <w:sz w:val="24"/>
          <w:szCs w:val="24"/>
          <w:lang w:val="ro-RO"/>
        </w:rPr>
        <w:t xml:space="preserve">,</w:t>
      </w:r>
      <w:r>
        <w:rPr>
          <w:b/>
          <w:bCs/>
          <w:sz w:val="24"/>
          <w:szCs w:val="24"/>
        </w:rPr>
        <w:t xml:space="preserve"> fоrmulаrul specificațiilor de рrеț </w:t>
      </w:r>
      <w:r>
        <w:rPr>
          <w:b/>
          <w:bCs/>
          <w:sz w:val="24"/>
          <w:szCs w:val="24"/>
          <w:lang w:val="ro-RO"/>
        </w:rPr>
        <w:t xml:space="preserve">(Anexa nr.23) </w:t>
      </w:r>
      <w:r>
        <w:rPr>
          <w:b/>
          <w:bCs/>
          <w:sz w:val="24"/>
          <w:szCs w:val="24"/>
        </w:rPr>
        <w:t xml:space="preserve">actualizat în fоrmаt electronic, сu aplicarea sеm</w:t>
      </w:r>
      <w:r>
        <w:rPr>
          <w:b/>
          <w:bCs/>
          <w:sz w:val="24"/>
          <w:szCs w:val="24"/>
          <w:lang w:val="ro-RO"/>
        </w:rPr>
        <w:t xml:space="preserve">n</w:t>
      </w:r>
      <w:r>
        <w:rPr>
          <w:b/>
          <w:bCs/>
          <w:sz w:val="24"/>
          <w:szCs w:val="24"/>
        </w:rPr>
        <w:t xml:space="preserve">ăturii electronice, ре adresa indicată în </w:t>
      </w:r>
      <w:r>
        <w:rPr>
          <w:b/>
          <w:bCs/>
          <w:sz w:val="24"/>
          <w:szCs w:val="24"/>
          <w:lang w:val="ro-RO"/>
        </w:rPr>
        <w:t xml:space="preserve">D</w:t>
      </w:r>
      <w:r>
        <w:rPr>
          <w:b/>
          <w:bCs/>
          <w:sz w:val="24"/>
          <w:szCs w:val="24"/>
        </w:rPr>
        <w:t xml:space="preserve">ocumentația de </w:t>
      </w:r>
      <w:r>
        <w:rPr>
          <w:b/>
          <w:bCs/>
          <w:sz w:val="24"/>
          <w:szCs w:val="24"/>
          <w:lang w:val="ro-RO"/>
        </w:rPr>
        <w:t xml:space="preserve">A</w:t>
      </w:r>
      <w:r>
        <w:rPr>
          <w:b/>
          <w:bCs/>
          <w:sz w:val="24"/>
          <w:szCs w:val="24"/>
        </w:rPr>
        <w:t xml:space="preserve">tribuire. </w:t>
      </w:r>
      <w:r>
        <w:rPr>
          <w:rFonts w:eastAsia="Times New Roman"/>
          <w:b/>
          <w:bCs/>
          <w:i/>
          <w:color w:val="000000"/>
          <w:sz w:val="24"/>
          <w:szCs w:val="24"/>
          <w:highlight w:val="yellow"/>
          <w:u w:val="single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yellow"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/>
        <w:rPr>
          <w:rFonts w:eastAsia="Times New Roman"/>
          <w:b/>
          <w:bCs w:val="0"/>
          <w:i w:val="0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21. </w:t>
      </w:r>
      <w:r>
        <w:rPr>
          <w:rFonts w:eastAsia="Times New Roman"/>
          <w:b/>
          <w:color w:val="000000"/>
          <w:sz w:val="24"/>
          <w:szCs w:val="24"/>
          <w:lang w:val="en-US"/>
        </w:rPr>
        <w:t xml:space="preserve">Condiții speciale de care depinde îndeplinirea contractu</w:t>
      </w:r>
      <w:r>
        <w:rPr>
          <w:rFonts w:eastAsia="Times New Roman"/>
          <w:b/>
          <w:bCs/>
          <w:i w:val="0"/>
          <w:iCs w:val="0"/>
          <w:color w:val="000000"/>
          <w:sz w:val="24"/>
          <w:szCs w:val="24"/>
          <w:lang w:val="en-US"/>
        </w:rPr>
        <w:t xml:space="preserve">lui</w:t>
      </w:r>
      <w:r>
        <w:rPr>
          <w:rFonts w:eastAsia="Times New Roman"/>
          <w:b/>
          <w:bCs/>
          <w:i w:val="0"/>
          <w:iCs w:val="0"/>
          <w:color w:val="000000"/>
          <w:sz w:val="24"/>
          <w:szCs w:val="24"/>
          <w:lang w:val="en-US"/>
        </w:rPr>
        <w:t xml:space="preserve">: </w:t>
      </w:r>
      <w:r>
        <w:rPr>
          <w:rFonts w:eastAsia="Times New Roman"/>
          <w:b/>
          <w:bCs w:val="0"/>
          <w:i w:val="0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 w:val="0"/>
          <w:i w:val="0"/>
          <w:color w:val="000000"/>
          <w:sz w:val="24"/>
          <w:szCs w:val="24"/>
          <w:highlight w:val="non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right="-425" w:firstLine="567" w:left="0"/>
        <w:rPr>
          <w:rFonts w:eastAsia="Times New Roman"/>
          <w:b/>
          <w:bCs/>
          <w:color w:val="000000"/>
          <w:sz w:val="24"/>
          <w:szCs w:val="24"/>
          <w:u w:val="none"/>
        </w:rPr>
      </w:pPr>
      <w:r>
        <w:rPr>
          <w:rFonts w:eastAsia="Times New Roman"/>
          <w:b/>
          <w:bCs/>
          <w:color w:val="000000"/>
          <w:sz w:val="24"/>
          <w:szCs w:val="24"/>
          <w:u w:val="none"/>
          <w:lang w:val="ro-RO"/>
        </w:rPr>
        <w:t xml:space="preserve">21.</w:t>
      </w:r>
      <w:r>
        <w:rPr>
          <w:b/>
          <w:bCs/>
          <w:sz w:val="24"/>
          <w:szCs w:val="24"/>
          <w:u w:val="none"/>
          <w:lang w:val="ro-RO"/>
        </w:rPr>
        <w:t xml:space="preserve">1. Corespunderea bunurilor, </w:t>
      </w:r>
      <w:r>
        <w:rPr>
          <w:b/>
          <w:bCs/>
          <w:sz w:val="24"/>
          <w:szCs w:val="24"/>
          <w:u w:val="none"/>
          <w:lang w:val="ro-RO"/>
        </w:rPr>
        <w:t xml:space="preserve">c</w:t>
      </w:r>
      <w:r>
        <w:rPr>
          <w:b/>
          <w:bCs/>
          <w:sz w:val="24"/>
          <w:szCs w:val="24"/>
          <w:u w:val="none"/>
        </w:rPr>
        <w:t xml:space="preserve">onform </w:t>
      </w:r>
      <w:r>
        <w:rPr>
          <w:b/>
          <w:bCs/>
          <w:sz w:val="24"/>
          <w:szCs w:val="24"/>
          <w:u w:val="none"/>
        </w:rPr>
        <w:t xml:space="preserve">specificațiilor</w:t>
      </w:r>
      <w:r>
        <w:rPr>
          <w:b/>
          <w:bCs/>
          <w:sz w:val="24"/>
          <w:szCs w:val="24"/>
          <w:u w:val="none"/>
        </w:rPr>
        <w:t xml:space="preserve"> tehnice</w:t>
      </w:r>
      <w:r>
        <w:rPr>
          <w:b/>
          <w:bCs/>
          <w:sz w:val="24"/>
          <w:szCs w:val="24"/>
          <w:u w:val="none"/>
          <w:lang w:val="ro-RO"/>
        </w:rPr>
        <w:t xml:space="preserve"> </w:t>
      </w:r>
      <w:r>
        <w:rPr>
          <w:b/>
          <w:bCs/>
          <w:sz w:val="24"/>
          <w:szCs w:val="24"/>
          <w:u w:val="none"/>
        </w:rPr>
        <w:t xml:space="preserve">solicitate în pct. 8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ro-RO"/>
        </w:rPr>
        <w:t xml:space="preserve"> din Anunțul de participare.</w:t>
      </w:r>
      <w:r>
        <w:rPr>
          <w:rFonts w:eastAsia="Times New Roman"/>
          <w:b/>
          <w:bCs/>
          <w:color w:val="000000"/>
          <w:sz w:val="24"/>
          <w:szCs w:val="24"/>
          <w:u w:val="none"/>
        </w:rPr>
      </w:r>
      <w:r>
        <w:rPr>
          <w:rFonts w:eastAsia="Times New Roman"/>
          <w:b/>
          <w:bCs/>
          <w:color w:val="000000"/>
          <w:sz w:val="24"/>
          <w:szCs w:val="24"/>
          <w:u w:val="none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  <w:t xml:space="preserve">         21.2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Furnizorul specifică dacă toate cardurile sunt acceptate la toate stațiile PECO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o-RO"/>
        </w:rPr>
        <w:t xml:space="preserve">F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urnizorul pune la dispoziţia achizitorului instrucţiuni de folosire a cardului.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o-RO"/>
        </w:rPr>
        <w:t xml:space="preserve">         21.3.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Autoritatea contractantă își rezervă dreptul de a mări sau micșora numărul de carduri și de a suplimenta sau diminua cantitatea de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ro-RO"/>
        </w:rPr>
        <w:t xml:space="preserve">produse petroliere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</w:rPr>
        <w:t xml:space="preserve"> în baza prevederilor normative.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r>
    </w:p>
    <w:p>
      <w:pPr>
        <w:pStyle w:val="794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22.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Ofertele se prezintă în valuta: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lei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MD.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23. </w:t>
      </w:r>
      <w:r>
        <w:rPr>
          <w:rFonts w:eastAsia="Times New Roman"/>
          <w:b/>
          <w:color w:val="000000"/>
          <w:sz w:val="24"/>
          <w:lang w:val="en-US"/>
        </w:rPr>
        <w:t xml:space="preserve">Criteriul de evaluare aplicat pentru atribuirea contractului: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 w:right="0" w:firstLine="567" w:left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white"/>
        </w:rPr>
      </w:pPr>
      <w:r>
        <w:rPr>
          <w:b/>
          <w:bCs/>
          <w:sz w:val="24"/>
          <w:szCs w:val="24"/>
          <w:lang w:val="ro-RO"/>
        </w:rPr>
        <w:t xml:space="preserve">23.1.  </w:t>
      </w:r>
      <w:r>
        <w:rPr>
          <w:b/>
          <w:bCs/>
          <w:sz w:val="24"/>
          <w:szCs w:val="24"/>
          <w:u w:val="single"/>
          <w:lang w:val="ro-RO"/>
        </w:rPr>
        <w:t xml:space="preserve">P</w:t>
      </w:r>
      <w:r>
        <w:rPr>
          <w:b/>
          <w:bCs/>
          <w:sz w:val="24"/>
          <w:szCs w:val="24"/>
          <w:u w:val="single"/>
          <w:lang w:val="en-US"/>
        </w:rPr>
        <w:t xml:space="preserve">reț cel mai scăzut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 -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cea mai mare reducere,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discount % din prețul maxim de referinț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ă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lang w:val="ro-RO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stabilit de ANRE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white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none"/>
          <w:lang w:val="ro-RO"/>
        </w:rPr>
        <w:t xml:space="preserve">  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lang w:val="ro-RO"/>
        </w:rPr>
        <w:t xml:space="preserve">23.2.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 Discountul va fi specificat expres în ofertă și va rămâne constant pentru întreaga cantitate și pe toată perioada de executare a contractului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lang w:val="ro-RO"/>
        </w:rPr>
        <w:t xml:space="preserve"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none"/>
          <w:lang w:val="ro-RO"/>
        </w:rPr>
        <w:t xml:space="preserve">         23.3.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</w:rPr>
        <w:t xml:space="preserve">Furnizorul va factura contravaloarea produselor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  <w:lang w:val="ro-RO"/>
        </w:rPr>
        <w:t xml:space="preserve">,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</w:rPr>
        <w:t xml:space="preserve"> conform preţului la ziua livrării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  <w:lang w:val="ro-RO"/>
        </w:rPr>
        <w:t xml:space="preserve">,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  <w:lang w:val="ro-RO"/>
        </w:rPr>
        <w:t xml:space="preserve">ținînd cont de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</w:rPr>
        <w:t xml:space="preserve"> discountul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  <w:lang w:val="ro-RO"/>
        </w:rPr>
        <w:t xml:space="preserve">(%)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</w:rPr>
        <w:t xml:space="preserve">stabilit în contract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  <w:u w:val="none"/>
          <w:lang w:val="ro-RO"/>
        </w:rPr>
        <w:t xml:space="preserve"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non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none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none"/>
          <w:lang w:val="ro-RO"/>
        </w:rPr>
        <w:t xml:space="preserve">         23.4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none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non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none"/>
          <w:lang w:val="ro-RO"/>
        </w:rPr>
        <w:t xml:space="preserve">C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none"/>
          <w:lang w:val="en-US"/>
        </w:rPr>
        <w:t xml:space="preserve">orespunderea cerințelor tehnice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none"/>
          <w:lang w:val="ro-RO"/>
        </w:rPr>
        <w:t xml:space="preserve"> din Documentația de atribuire.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non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non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 w:right="0" w:firstLine="567" w:left="0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eastAsia="Times New Roman" w:cs="Times New Roman"/>
          <w:b w:val="0"/>
          <w:bCs w:val="0"/>
          <w:lang w:val="en-US"/>
        </w:rPr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24.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Factorii de evaluare a ofertei celei mai avantajoase din punct de vedere economic, precum și ponderile lor: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ro-RO"/>
        </w:rPr>
        <w:t xml:space="preserve"> N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en-US"/>
        </w:rPr>
        <w:t xml:space="preserve">u se aplică.</w:t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</w:p>
    <w:tbl>
      <w:tblPr>
        <w:tblW w:w="0" w:type="auto"/>
        <w:tblInd w:w="216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5807"/>
        <w:gridCol w:w="2042"/>
      </w:tblGrid>
      <w:tr>
        <w:trPr>
          <w:trHeight w:val="28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Nr.d/o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Denumirea factorului de evaluare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Ponderea%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nu se aplică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794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25.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Termenul limită de depunere/deschidere a ofertelor: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</w:p>
    <w:p>
      <w:pPr>
        <w:pStyle w:val="794"/>
        <w:numPr>
          <w:ilvl w:val="0"/>
          <w:numId w:val="16"/>
        </w:numPr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conform SIA RSAP /până la: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numPr>
          <w:ilvl w:val="0"/>
          <w:numId w:val="16"/>
        </w:numPr>
        <w:pBdr/>
        <w:spacing w:line="240" w:lineRule="auto"/>
        <w:ind/>
        <w:rPr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pe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data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highlight w:val="non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26.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Adresa la care trebuie transmise ofertele sau cererile de participare: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Ofertele sau cererile de participare vor fi depuse electronic prin intermediul SIA RSAP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27. </w:t>
      </w:r>
      <w:r>
        <w:rPr>
          <w:rFonts w:eastAsia="Times New Roman"/>
          <w:b/>
          <w:color w:val="000000"/>
          <w:sz w:val="24"/>
          <w:lang w:val="en-US"/>
        </w:rPr>
        <w:t xml:space="preserve">Termenul de valabilitate a ofertelor: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30 zile.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28.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en-US"/>
        </w:rPr>
        <w:t xml:space="preserve">SIA RSAP.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>
      <w:pPr>
        <w:pStyle w:val="794"/>
        <w:pBdr/>
        <w:spacing/>
        <w:ind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lang w:val="en-US"/>
        </w:rPr>
        <w:t xml:space="preserve">         Ofertele întârziate vor fi respinse.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29. </w:t>
      </w:r>
      <w:r>
        <w:rPr>
          <w:rFonts w:eastAsia="Times New Roman"/>
          <w:b/>
          <w:color w:val="000000"/>
          <w:sz w:val="24"/>
          <w:lang w:val="en-US"/>
        </w:rPr>
        <w:t xml:space="preserve">Persoanele autorizate să asiste la deschiderea ofertelor: </w:t>
      </w:r>
      <w:r>
        <w:rPr>
          <w:rFonts w:eastAsia="Times New Roman"/>
          <w:b/>
          <w:color w:val="000000"/>
          <w:sz w:val="24"/>
          <w:lang w:val="en-US"/>
        </w:rPr>
        <w:br w:type="textWrapping" w:clear="all"/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i/>
          <w:color w:val="000000"/>
          <w:sz w:val="24"/>
          <w:lang w:val="en-US"/>
        </w:rPr>
        <w:t xml:space="preserve">Ofertanții sau reprezentanții acestora au dreptul să participe la deschiderea ofertelor, cu excepția cazului când ofertele au fost depuse prin SIA RSAP</w:t>
      </w:r>
      <w:r>
        <w:rPr>
          <w:rFonts w:eastAsia="Times New Roman"/>
          <w:b/>
          <w:color w:val="000000"/>
          <w:sz w:val="24"/>
          <w:lang w:val="en-US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30. </w:t>
      </w:r>
      <w:r>
        <w:rPr>
          <w:rFonts w:eastAsia="Times New Roman"/>
          <w:b w:val="0"/>
          <w:bCs w:val="0"/>
          <w:color w:val="000000"/>
          <w:sz w:val="24"/>
          <w:lang w:val="en-US"/>
        </w:rPr>
        <w:t xml:space="preserve">Limba sau limbile în care trebuie redactate ofertele sau cererile de participare: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limba de stat.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31. </w:t>
      </w:r>
      <w:r>
        <w:rPr>
          <w:rFonts w:eastAsia="Times New Roman"/>
          <w:color w:val="000000"/>
          <w:sz w:val="24"/>
          <w:lang w:val="en-US"/>
        </w:rPr>
        <w:t xml:space="preserve">Respectivul contract se referă la un proiect și/sau program finanțat din fonduri ale Uniunii Europene:</w:t>
      </w:r>
      <w:r>
        <w:rPr>
          <w:rFonts w:eastAsia="Times New Roman"/>
          <w:b/>
          <w:color w:val="000000"/>
          <w:sz w:val="24"/>
          <w:lang w:val="en-US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u w:val="single"/>
          <w:lang w:val="en-US"/>
        </w:rPr>
        <w:t xml:space="preserve">u se aplică.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94"/>
        <w:pBdr/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lang w:val="ro-RO"/>
        </w:rPr>
        <w:t xml:space="preserve">32. </w:t>
      </w:r>
      <w:r>
        <w:rPr>
          <w:rFonts w:ascii="Times New Roman" w:hAnsi="Times New Roman" w:eastAsia="Times New Roman"/>
          <w:b w:val="0"/>
          <w:bCs w:val="0"/>
          <w:color w:val="000000"/>
          <w:sz w:val="24"/>
          <w:lang w:val="en-US"/>
        </w:rPr>
        <w:t xml:space="preserve">Denumirea și adresa organismului competent de soluționare a contestațiilor: </w:t>
      </w:r>
      <w:r>
        <w:rPr>
          <w:rFonts w:ascii="Times New Roman" w:hAnsi="Times New Roman" w:eastAsia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24"/>
          <w:szCs w:val="24"/>
        </w:rPr>
      </w:r>
    </w:p>
    <w:p>
      <w:pPr>
        <w:pStyle w:val="794"/>
        <w:pBdr/>
        <w:spacing/>
        <w:ind w:firstLine="283"/>
        <w:rPr>
          <w:b w:val="0"/>
          <w:bCs w:val="0"/>
        </w:rPr>
      </w:pPr>
      <w:r>
        <w:rPr>
          <w:rFonts w:ascii="Times New Roman" w:hAnsi="Times New Roman" w:eastAsia="Times New Roman"/>
          <w:b w:val="0"/>
          <w:bCs w:val="0"/>
          <w:i/>
          <w:color w:val="000000"/>
          <w:sz w:val="24"/>
          <w:lang w:val="en-US"/>
        </w:rPr>
        <w:t xml:space="preserve">Agenția Națională pentru Soluționarea Contestațiilor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794"/>
        <w:pBdr/>
        <w:spacing/>
        <w:ind w:firstLine="283"/>
        <w:rPr>
          <w:b w:val="0"/>
          <w:bCs w:val="0"/>
        </w:rPr>
      </w:pPr>
      <w:r>
        <w:rPr>
          <w:rFonts w:ascii="Times New Roman" w:hAnsi="Times New Roman" w:eastAsia="Times New Roman"/>
          <w:b w:val="0"/>
          <w:bCs w:val="0"/>
          <w:i/>
          <w:color w:val="000000"/>
          <w:sz w:val="24"/>
          <w:lang w:val="en-US"/>
        </w:rPr>
        <w:t xml:space="preserve">Adresa: mun. Chișinău, bd. Ștefan cel Mare și Sfânt nr.124 (et.4), MD 2001;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794"/>
        <w:pBdr/>
        <w:spacing/>
        <w:ind w:firstLine="283"/>
        <w:rPr>
          <w:b w:val="0"/>
          <w:bCs w:val="0"/>
        </w:rPr>
      </w:pPr>
      <w:r>
        <w:rPr>
          <w:rFonts w:ascii="Times New Roman" w:hAnsi="Times New Roman" w:eastAsia="Times New Roman"/>
          <w:b w:val="0"/>
          <w:bCs w:val="0"/>
          <w:i/>
          <w:color w:val="000000"/>
          <w:sz w:val="24"/>
          <w:lang w:val="en-US"/>
        </w:rPr>
        <w:t xml:space="preserve">Tel/Fax/email:022-820 652, 022 820-651, contestatii@ansc.md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33. </w:t>
      </w:r>
      <w:r>
        <w:rPr>
          <w:rFonts w:eastAsia="Times New Roman"/>
          <w:color w:val="000000"/>
          <w:sz w:val="24"/>
          <w:lang w:val="en-US"/>
        </w:rPr>
        <w:t xml:space="preserve">Data (datele) și referința (referințele) publicărilor anterioare în Jurnalul Oficial al Uniunii Europene privind contractul (contractele) la care se referă anunțul respectiv (dacă este cazul):  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en-US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709" w:firstLine="0" w:left="0"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i/>
          <w:iCs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709" w:firstLine="0" w:left="0"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34. </w:t>
      </w:r>
      <w:r>
        <w:rPr>
          <w:rFonts w:eastAsia="Times New Roman"/>
          <w:color w:val="000000"/>
          <w:sz w:val="24"/>
          <w:lang w:val="en-US"/>
        </w:rPr>
        <w:t xml:space="preserve">În cazul achizițiilor periodice, calendarul estimat pentru publicarea anunțurilor viitoare</w:t>
      </w:r>
      <w:r>
        <w:rPr>
          <w:rFonts w:eastAsia="Times New Roman"/>
          <w:color w:val="000000"/>
          <w:sz w:val="24"/>
          <w:highlight w:val="white"/>
          <w:lang w:val="en-US"/>
        </w:rPr>
        <w:t xml:space="preserve">: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u se aplică.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567" w:firstLine="0" w:left="0"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35.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Data publicării anunțului de intenție sau, după caz, precizarea că nu a fost publicat un astfel de </w:t>
      </w:r>
      <w:r>
        <w:rPr>
          <w:rFonts w:eastAsia="Times New Roman"/>
          <w:color w:val="000000"/>
          <w:sz w:val="24"/>
          <w:highlight w:val="white"/>
          <w:lang w:val="en-US"/>
        </w:rPr>
        <w:t xml:space="preserve">anunț: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 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ro-RO"/>
        </w:rPr>
        <w:t xml:space="preserve">                N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en-US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pPr>
      <w:r>
        <w:rPr>
          <w:rFonts w:eastAsia="Times New Roman"/>
          <w:b/>
          <w:color w:val="000000"/>
          <w:sz w:val="24"/>
          <w:highlight w:val="white"/>
          <w:lang w:val="ro-RO"/>
        </w:rPr>
        <w:t xml:space="preserve">36. 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Data transmiterii spre publicare a anunțului de participare:</w:t>
      </w:r>
      <w:r>
        <w:rPr>
          <w:rFonts w:eastAsia="Times New Roman"/>
          <w:b/>
          <w:color w:val="000000"/>
          <w:sz w:val="24"/>
          <w:highlight w:val="white"/>
          <w:lang w:val="ro-RO"/>
        </w:rPr>
        <w:t xml:space="preserve"> </w:t>
      </w:r>
      <w:r>
        <w:rPr>
          <w:rFonts w:eastAsia="Times New Roman"/>
          <w:b/>
          <w:color w:val="000000"/>
          <w:sz w:val="24"/>
          <w:highlight w:val="none"/>
          <w:lang w:val="ro-RO"/>
        </w:rPr>
        <w:t xml:space="preserve">19.01.2026</w:t>
      </w:r>
      <w:r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highlight w:val="white"/>
          <w:u w:val="single"/>
        </w:rPr>
      </w:pPr>
      <w:r>
        <w:rPr>
          <w:highlight w:val="white"/>
          <w:u w:val="single"/>
          <w:lang w:val="en-US"/>
        </w:rPr>
      </w:r>
      <w:r>
        <w:rPr>
          <w:highlight w:val="white"/>
          <w:u w:val="single"/>
        </w:rPr>
      </w:r>
      <w:r>
        <w:rPr>
          <w:highlight w:val="white"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360" w:lineRule="auto"/>
        <w:ind/>
        <w:rPr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37. </w:t>
      </w:r>
      <w:r>
        <w:rPr>
          <w:rFonts w:eastAsia="Times New Roman"/>
          <w:b/>
          <w:color w:val="000000"/>
          <w:sz w:val="24"/>
          <w:lang w:val="en-US"/>
        </w:rPr>
        <w:t xml:space="preserve">În cadrul procedurii de achiziție publică se va utiliza/accepta:</w:t>
      </w:r>
      <w:r>
        <w:rPr>
          <w:lang w:val="en-US"/>
        </w:rPr>
      </w:r>
      <w:r>
        <w:rPr>
          <w:lang w:val="en-US"/>
        </w:rPr>
      </w:r>
    </w:p>
    <w:tbl>
      <w:tblPr>
        <w:tblW w:w="0" w:type="auto"/>
        <w:tblInd w:w="216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911"/>
        <w:gridCol w:w="3368"/>
      </w:tblGrid>
      <w:tr>
        <w:trPr/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/>
            </w:pPr>
            <w:r>
              <w:rPr>
                <w:rFonts w:eastAsia="Times New Roman"/>
                <w:b/>
                <w:color w:val="000000"/>
                <w:sz w:val="24"/>
              </w:rPr>
              <w:t xml:space="preserve">Denumirea instrumentului electronic</w:t>
            </w:r>
            <w:r/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lang w:val="en-US"/>
              </w:rPr>
            </w:pPr>
            <w:r>
              <w:rPr>
                <w:rFonts w:eastAsia="Times New Roman"/>
                <w:b/>
                <w:color w:val="000000"/>
                <w:sz w:val="24"/>
                <w:lang w:val="en-US"/>
              </w:rPr>
              <w:t xml:space="preserve">Se va utiliza/accepta sau nu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b/>
                <w:bCs/>
                <w:i/>
                <w:lang w:val="en-US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en-US"/>
              </w:rPr>
              <w:t xml:space="preserve">Depunerea electronică a ofertelor sau a cererilor de participare</w:t>
            </w:r>
            <w:r>
              <w:rPr>
                <w:b/>
                <w:bCs/>
                <w:i/>
                <w:lang w:val="en-US"/>
              </w:rPr>
            </w:r>
            <w:r>
              <w:rPr>
                <w:b/>
                <w:bCs/>
                <w:i/>
                <w:lang w:val="en-US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b/>
                <w:bCs/>
                <w:i/>
                <w:iCs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</w:rPr>
            </w:r>
            <w:r>
              <w:rPr>
                <w:b/>
                <w:bCs/>
                <w:i/>
                <w:iCs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Sistemul de comenzi electronice</w:t>
            </w:r>
            <w:r/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Nu</w:t>
            </w:r>
            <w:r/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b/>
                <w:bCs/>
                <w:i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</w:rPr>
              <w:t xml:space="preserve">Facturarea electronică</w:t>
            </w:r>
            <w:r>
              <w:rPr>
                <w:b/>
                <w:bCs/>
                <w:i/>
              </w:rPr>
            </w:r>
            <w:r>
              <w:rPr>
                <w:b/>
                <w:bCs/>
                <w:i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b/>
                <w:bCs/>
                <w:i/>
                <w:iCs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</w:rPr>
            </w:r>
            <w:r>
              <w:rPr>
                <w:b/>
                <w:bCs/>
                <w:i/>
                <w:iCs/>
              </w:rPr>
            </w:r>
          </w:p>
        </w:tc>
      </w:tr>
      <w:tr>
        <w:trPr>
          <w:trHeight w:val="77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b/>
                <w:bCs/>
                <w:i/>
                <w:highlight w:val="white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highlight w:val="white"/>
              </w:rPr>
              <w:t xml:space="preserve">Plățile electronice</w:t>
            </w:r>
            <w:r>
              <w:rPr>
                <w:b/>
                <w:bCs/>
                <w:i/>
                <w:highlight w:val="white"/>
              </w:rPr>
            </w:r>
            <w:r>
              <w:rPr>
                <w:b/>
                <w:bCs/>
                <w:i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40" w:lineRule="auto"/>
              <w:ind/>
              <w:rPr>
                <w:b/>
                <w:bCs/>
                <w:i/>
                <w:iCs/>
                <w:highlight w:val="white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highlight w:val="white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  <w:highlight w:val="white"/>
              </w:rPr>
            </w:r>
            <w:r>
              <w:rPr>
                <w:b/>
                <w:bCs/>
                <w:i/>
                <w:iCs/>
                <w:highlight w:val="white"/>
              </w:rPr>
            </w:r>
          </w:p>
        </w:tc>
      </w:tr>
    </w:tbl>
    <w:p>
      <w:pPr>
        <w:pStyle w:val="794"/>
        <w:pBdr/>
        <w:spacing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425"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38. </w:t>
      </w:r>
      <w:r>
        <w:rPr>
          <w:rFonts w:eastAsia="Times New Roman"/>
          <w:color w:val="000000"/>
          <w:sz w:val="24"/>
          <w:lang w:val="en-US"/>
        </w:rPr>
        <w:t xml:space="preserve">Contractul intră sub incidența Acordului privind achizițiile guvernamentale al Organizației Mondiale </w:t>
      </w:r>
      <w:r>
        <w:rPr>
          <w:rFonts w:eastAsia="Times New Roman"/>
          <w:color w:val="000000"/>
          <w:sz w:val="24"/>
          <w:lang w:val="ro-RO"/>
        </w:rPr>
        <w:t xml:space="preserve">           </w:t>
      </w:r>
      <w:r>
        <w:rPr>
          <w:rFonts w:eastAsia="Times New Roman"/>
          <w:color w:val="000000"/>
          <w:sz w:val="24"/>
          <w:lang w:val="en-US"/>
        </w:rPr>
        <w:t xml:space="preserve">a Comerțului (numai în cazul anunțurilor transmise spre publicare în Jurnalul Oficial al Uniunii Europene):</w:t>
      </w:r>
      <w:r>
        <w:rPr>
          <w:rFonts w:eastAsia="Times New Roman"/>
          <w:color w:val="000000"/>
          <w:sz w:val="24"/>
          <w:highlight w:val="white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94"/>
        <w:pBdr/>
        <w:spacing/>
        <w:ind/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pP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r>
    </w:p>
    <w:p>
      <w:pPr>
        <w:pStyle w:val="794"/>
        <w:pBdr/>
        <w:spacing/>
        <w:ind/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pP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39.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white"/>
          <w:lang w:val="en-US"/>
        </w:rPr>
        <w:t xml:space="preserve">Alte informații relevante: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Agentul economic va fi exclus de la participarea în procesul de achiziții în cazul în care s-a constatat că acesta: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a) nu a prezentat cel puțin un act din cele obligatorii indicate în p. 16 «Scurtă descriere a criteriilor privind eligibilitatea operatorilor economici şi a criteriilor de selecţie».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b) a depus oferta cu completare defectuoasă a formularelor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sau cu abateri de la original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precum și neîndeplinirea  criteriilor privind eligibilitatea operatorilor economici şi a criteriilor de selecţie.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c) se află în situația de insolvență, lichidare, suspendare sau încetare a activității, de judecată, sau  în orice altă situație similară.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d) nu-și îndeplinește obligațiile privind plata impozitelor la bugetele de toate nivelurile și plățile obligatorii la fondurile de stat.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e) comunică informații eronate/false în materialele prezentate.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f) ofertantul a fost înclus în Lista operatorilor economici excluși de la procedurile de achiziție ale Agenției de Achiziții Publice și/ sau Entitații contractante (https://tender.gov.md/ro/lista-de-interdictie /  https://mtg.md/ro/transparency/tenders).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ascii="Calibri" w:hAnsi="Calibri" w:eastAsia="Calibri" w:cs="Calibri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z w:val="22"/>
          <w:highlight w:val="none"/>
        </w:rPr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eastAsia="Calibri" w:cs="Calibri"/>
          <w:sz w:val="22"/>
          <w:szCs w:val="22"/>
        </w:rPr>
      </w:r>
    </w:p>
    <w:p>
      <w:pPr>
        <w:pStyle w:val="794"/>
        <w:pBdr/>
        <w:spacing/>
        <w:ind/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2"/>
        </w:rPr>
        <w:t xml:space="preserve"> </w:t>
      </w:r>
      <w:r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2"/>
          <w:szCs w:val="22"/>
          <w:highlight w:val="none"/>
        </w:rPr>
      </w:r>
    </w:p>
    <w:p>
      <w:pPr>
        <w:pStyle w:val="794"/>
        <w:pBdr/>
        <w:spacing w:line="276" w:lineRule="auto"/>
        <w:ind/>
        <w:rPr>
          <w:bCs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Nota: 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val="ro-RO"/>
        </w:rPr>
        <w:t xml:space="preserve">ATAS NORD VEST</w:t>
      </w:r>
      <w:r>
        <w:rPr>
          <w:rFonts w:ascii="Times New Roman" w:hAnsi="Times New Roman" w:eastAsia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  <w:t xml:space="preserve">își rezervă dreptul de anulare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val="ro-RO"/>
        </w:rPr>
        <w:t xml:space="preserve">procedurii de achiziție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val="ro-RO"/>
        </w:rPr>
        <w:t xml:space="preserve">publică 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  <w:t xml:space="preserve">din careva motive. Decizia de anulare a procedurii de achiziție nu generează vreo obligație a beneficiarului față de participanții la procedura de achiziție.</w:t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pStyle w:val="794"/>
        <w:pBdr/>
        <w:spacing w:line="276" w:lineRule="auto"/>
        <w:ind/>
        <w:rPr>
          <w:rFonts w:eastAsia="Times New Roman"/>
          <w:b w:val="0"/>
          <w:bCs w:val="0"/>
          <w:color w:val="000000"/>
          <w:sz w:val="20"/>
          <w:szCs w:val="20"/>
          <w:highlight w:val="none"/>
          <w:lang w:val="ro-RO"/>
        </w:rPr>
      </w:pPr>
      <w:r>
        <w:rPr>
          <w:rFonts w:eastAsia="Times New Roman"/>
          <w:b w:val="0"/>
          <w:bCs w:val="0"/>
          <w:color w:val="000000"/>
          <w:sz w:val="20"/>
          <w:szCs w:val="20"/>
          <w:highlight w:val="white"/>
          <w:lang w:val="en-US"/>
        </w:rPr>
      </w:r>
      <w:r>
        <w:rPr>
          <w:rFonts w:eastAsia="Times New Roman"/>
          <w:b w:val="0"/>
          <w:bCs w:val="0"/>
          <w:color w:val="000000"/>
          <w:sz w:val="20"/>
          <w:szCs w:val="20"/>
          <w:highlight w:val="none"/>
          <w:lang w:val="ro-RO"/>
        </w:rPr>
      </w:r>
      <w:r>
        <w:rPr>
          <w:rFonts w:eastAsia="Times New Roman"/>
          <w:b w:val="0"/>
          <w:bCs w:val="0"/>
          <w:color w:val="000000"/>
          <w:sz w:val="20"/>
          <w:szCs w:val="20"/>
          <w:highlight w:val="none"/>
          <w:lang w:val="ro-RO"/>
        </w:rPr>
      </w:r>
    </w:p>
    <w:p>
      <w:pPr>
        <w:pStyle w:val="794"/>
        <w:pBdr/>
        <w:spacing w:line="276" w:lineRule="auto"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94"/>
        <w:pBdr/>
        <w:spacing w:line="276" w:lineRule="auto"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94"/>
        <w:pBdr/>
        <w:spacing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12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</w:rPr>
      </w:pPr>
      <w:r>
        <w:rPr>
          <w:rFonts w:eastAsia="Times New Roman"/>
          <w:b/>
          <w:color w:val="000000"/>
          <w:sz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lang w:val="en-US"/>
        </w:rPr>
      </w:pPr>
      <w:r>
        <w:rPr>
          <w:rFonts w:eastAsia="Times New Roman"/>
          <w:b/>
          <w:color w:val="000000"/>
          <w:sz w:val="24"/>
          <w:lang w:val="en-US"/>
        </w:rPr>
        <w:t xml:space="preserve">Conducătorul grupului de lucru: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CIOBANU Emilia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___________________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lang w:val="en-US"/>
        </w:rPr>
        <w:t xml:space="preserve"> </w:t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/>
        <w:ind/>
        <w:rPr>
          <w:rFonts w:eastAsia="Times New Roman"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color w:val="000000"/>
          <w:sz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color w:val="000000"/>
          <w:sz w:val="24"/>
          <w:szCs w:val="24"/>
          <w:highlight w:val="none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 w:eastAsia="Times New Roman"/>
          <w:color w:val="000000"/>
          <w:lang w:val="ro-RO"/>
        </w:rPr>
        <w:t xml:space="preserve">Exc. Bazilevschi Larisa</w:t>
      </w:r>
      <w:r>
        <w:rPr>
          <w:rFonts w:ascii="Times New Roman" w:hAnsi="Times New Roman"/>
          <w:color w:val="000000"/>
          <w:lang w:val="en-US"/>
        </w:rPr>
      </w:r>
      <w:r>
        <w:rPr>
          <w:rFonts w:ascii="Times New Roman" w:hAnsi="Times New Roman"/>
          <w:color w:val="000000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/>
          <w:color w:val="000000"/>
          <w:lang w:val="ro-RO"/>
        </w:rPr>
        <w:t xml:space="preserve">Tel. 078825043, </w:t>
      </w:r>
      <w:r>
        <w:fldChar w:fldCharType="begin"/>
      </w:r>
      <w:r>
        <w:rPr>
          <w:lang w:val="en-US"/>
        </w:rPr>
        <w:instrText xml:space="preserve"> HYPERLINK "mailto:larisa.bazilevschi@atas.gov.md" \o "mailto:larisa.bazilevschi@atas.gov.md" </w:instrText>
      </w:r>
      <w:r>
        <w:fldChar w:fldCharType="separate"/>
      </w:r>
      <w:r>
        <w:rPr>
          <w:rStyle w:val="935"/>
          <w:rFonts w:ascii="Times New Roman" w:hAnsi="Times New Roman" w:eastAsia="Times New Roman"/>
          <w:lang w:val="ro-RO"/>
        </w:rPr>
        <w:t xml:space="preserve">larisa.bazilevschi@atas.gov.md</w:t>
      </w:r>
      <w:r>
        <w:rPr>
          <w:rStyle w:val="935"/>
          <w:rFonts w:ascii="Times New Roman" w:hAnsi="Times New Roman" w:eastAsia="Times New Roman"/>
          <w:lang w:val="ro-RO"/>
        </w:rPr>
        <w:fldChar w:fldCharType="end"/>
      </w:r>
      <w:r>
        <w:rPr>
          <w:rFonts w:ascii="Times New Roman" w:hAnsi="Times New Roman" w:eastAsia="Times New Roman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94"/>
        <w:pBdr/>
        <w:spacing w:line="276" w:lineRule="auto"/>
        <w:ind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sectPr>
      <w:footnotePr/>
      <w:endnotePr/>
      <w:type w:val="nextPage"/>
      <w:pgSz w:h="16838" w:orient="portrait" w:w="11906"/>
      <w:pgMar w:top="709" w:right="851" w:bottom="822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PMingLiU">
    <w:panose1 w:val="02020500000000000000"/>
  </w:font>
  <w:font w:name="EUAlbertina">
    <w:panose1 w:val="05040102010807070707"/>
  </w:font>
  <w:font w:name="TimesNewRomanPSMT">
    <w:panose1 w:val="020206030504050203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191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56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8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0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2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4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6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8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0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2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b/>
        <w:sz w:val="20"/>
        <w:szCs w:val="2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1778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4"/>
  </w:num>
  <w:num w:numId="10">
    <w:abstractNumId w:val="13"/>
  </w:num>
  <w:num w:numId="11">
    <w:abstractNumId w:val="15"/>
  </w:num>
  <w:num w:numId="12">
    <w:abstractNumId w:val="0"/>
  </w:num>
  <w:num w:numId="13">
    <w:abstractNumId w:val="8"/>
  </w:num>
  <w:num w:numId="14">
    <w:abstractNumId w:val="10"/>
  </w:num>
  <w:num w:numId="15">
    <w:abstractNumId w:val="1"/>
  </w:num>
  <w:num w:numId="16">
    <w:abstractNumId w:val="3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4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5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6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7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738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9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40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1" w:default="1">
    <w:name w:val="Normal"/>
    <w:next w:val="741"/>
    <w:link w:val="741"/>
    <w:qFormat/>
    <w:pPr>
      <w:pBdr/>
      <w:spacing w:after="160"/>
      <w:ind/>
    </w:pPr>
    <w:rPr>
      <w:rFonts w:ascii="Times New Roman" w:hAnsi="Times New Roman"/>
      <w:sz w:val="28"/>
      <w:szCs w:val="22"/>
      <w:lang w:val="ru-RU" w:eastAsia="en-US" w:bidi="ar-SA"/>
    </w:rPr>
  </w:style>
  <w:style w:type="paragraph" w:styleId="742">
    <w:name w:val="Heading 1"/>
    <w:basedOn w:val="741"/>
    <w:next w:val="741"/>
    <w:link w:val="7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43">
    <w:name w:val="Heading 2"/>
    <w:basedOn w:val="741"/>
    <w:next w:val="741"/>
    <w:link w:val="78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44">
    <w:name w:val="Heading 3"/>
    <w:basedOn w:val="741"/>
    <w:next w:val="741"/>
    <w:link w:val="78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78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741"/>
    <w:next w:val="741"/>
    <w:link w:val="78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8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741"/>
    <w:next w:val="741"/>
    <w:link w:val="79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741"/>
    <w:next w:val="741"/>
    <w:link w:val="79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741"/>
    <w:next w:val="741"/>
    <w:link w:val="79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next w:val="751"/>
    <w:link w:val="741"/>
    <w:uiPriority w:val="1"/>
    <w:semiHidden/>
    <w:unhideWhenUsed/>
    <w:pPr>
      <w:pBdr/>
      <w:spacing/>
      <w:ind/>
    </w:pPr>
  </w:style>
  <w:style w:type="table" w:styleId="752">
    <w:name w:val="Table Normal"/>
    <w:next w:val="752"/>
    <w:link w:val="955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next w:val="753"/>
    <w:link w:val="741"/>
    <w:uiPriority w:val="99"/>
    <w:semiHidden/>
    <w:unhideWhenUsed/>
    <w:pPr>
      <w:pBdr/>
      <w:spacing/>
      <w:ind/>
    </w:pPr>
  </w:style>
  <w:style w:type="character" w:styleId="754">
    <w:name w:val="Caption Char"/>
    <w:next w:val="754"/>
    <w:link w:val="741"/>
    <w:uiPriority w:val="99"/>
    <w:pPr>
      <w:pBdr/>
      <w:spacing/>
      <w:ind/>
    </w:pPr>
  </w:style>
  <w:style w:type="table" w:styleId="755">
    <w:name w:val="Grid Table 1 Light - Accent 2"/>
    <w:next w:val="755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next w:val="756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next w:val="757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next w:val="758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next w:val="759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next w:val="760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next w:val="761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next w:val="762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next w:val="763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next w:val="764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next w:val="765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next w:val="766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next w:val="767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next w:val="768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next w:val="769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"/>
    <w:next w:val="770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1"/>
    <w:next w:val="771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2"/>
    <w:next w:val="772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3"/>
    <w:next w:val="773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4"/>
    <w:next w:val="774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5"/>
    <w:next w:val="775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6 Colorful - Accent 6"/>
    <w:next w:val="776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"/>
    <w:next w:val="777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1"/>
    <w:next w:val="778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2"/>
    <w:next w:val="779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3"/>
    <w:next w:val="780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4"/>
    <w:next w:val="781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5"/>
    <w:next w:val="782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7 Colorful - Accent 6"/>
    <w:next w:val="783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4">
    <w:name w:val="Heading 1 Char"/>
    <w:next w:val="784"/>
    <w:link w:val="74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5">
    <w:name w:val="Heading 2 Char"/>
    <w:next w:val="785"/>
    <w:link w:val="74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6">
    <w:name w:val="Heading 3 Char"/>
    <w:next w:val="786"/>
    <w:link w:val="74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7">
    <w:name w:val="Heading 4 Char"/>
    <w:next w:val="787"/>
    <w:link w:val="74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8">
    <w:name w:val="Heading 5 Char"/>
    <w:next w:val="788"/>
    <w:link w:val="74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9">
    <w:name w:val="Heading 6 Char"/>
    <w:next w:val="789"/>
    <w:link w:val="74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90">
    <w:name w:val="Heading 7 Char"/>
    <w:next w:val="790"/>
    <w:link w:val="74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1">
    <w:name w:val="Heading 8 Char"/>
    <w:next w:val="791"/>
    <w:link w:val="74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9 Char"/>
    <w:next w:val="792"/>
    <w:link w:val="75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3">
    <w:name w:val="List Paragraph"/>
    <w:basedOn w:val="741"/>
    <w:next w:val="793"/>
    <w:link w:val="741"/>
    <w:uiPriority w:val="34"/>
    <w:qFormat/>
    <w:pPr>
      <w:pBdr/>
      <w:spacing/>
      <w:ind w:left="720"/>
      <w:contextualSpacing w:val="true"/>
    </w:pPr>
  </w:style>
  <w:style w:type="paragraph" w:styleId="794">
    <w:name w:val="No Spacing"/>
    <w:next w:val="794"/>
    <w:link w:val="741"/>
    <w:uiPriority w:val="1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795">
    <w:name w:val="Title"/>
    <w:basedOn w:val="741"/>
    <w:next w:val="741"/>
    <w:link w:val="79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96">
    <w:name w:val="Title Char"/>
    <w:next w:val="796"/>
    <w:link w:val="795"/>
    <w:uiPriority w:val="10"/>
    <w:pPr>
      <w:pBdr/>
      <w:spacing/>
      <w:ind/>
    </w:pPr>
    <w:rPr>
      <w:sz w:val="48"/>
      <w:szCs w:val="48"/>
    </w:rPr>
  </w:style>
  <w:style w:type="paragraph" w:styleId="797">
    <w:name w:val="Subtitle"/>
    <w:basedOn w:val="741"/>
    <w:next w:val="741"/>
    <w:link w:val="79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98">
    <w:name w:val="Subtitle Char"/>
    <w:next w:val="798"/>
    <w:link w:val="797"/>
    <w:uiPriority w:val="11"/>
    <w:pPr>
      <w:pBdr/>
      <w:spacing/>
      <w:ind/>
    </w:pPr>
    <w:rPr>
      <w:sz w:val="24"/>
      <w:szCs w:val="24"/>
    </w:rPr>
  </w:style>
  <w:style w:type="paragraph" w:styleId="799">
    <w:name w:val="Quote"/>
    <w:basedOn w:val="741"/>
    <w:next w:val="741"/>
    <w:link w:val="800"/>
    <w:uiPriority w:val="29"/>
    <w:qFormat/>
    <w:pPr>
      <w:pBdr/>
      <w:spacing/>
      <w:ind w:right="720" w:left="720"/>
    </w:pPr>
    <w:rPr>
      <w:i/>
    </w:rPr>
  </w:style>
  <w:style w:type="character" w:styleId="800">
    <w:name w:val="Quote Char"/>
    <w:next w:val="800"/>
    <w:link w:val="799"/>
    <w:uiPriority w:val="29"/>
    <w:pPr>
      <w:pBdr/>
      <w:spacing/>
      <w:ind/>
    </w:pPr>
    <w:rPr>
      <w:i/>
    </w:rPr>
  </w:style>
  <w:style w:type="paragraph" w:styleId="801">
    <w:name w:val="Intense Quote"/>
    <w:basedOn w:val="741"/>
    <w:next w:val="741"/>
    <w:link w:val="80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02">
    <w:name w:val="Intense Quote Char"/>
    <w:next w:val="802"/>
    <w:link w:val="801"/>
    <w:uiPriority w:val="30"/>
    <w:pPr>
      <w:pBdr/>
      <w:spacing/>
      <w:ind/>
    </w:pPr>
    <w:rPr>
      <w:i/>
    </w:rPr>
  </w:style>
  <w:style w:type="paragraph" w:styleId="803">
    <w:name w:val="Header"/>
    <w:basedOn w:val="741"/>
    <w:next w:val="803"/>
    <w:link w:val="80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4">
    <w:name w:val="Header Char"/>
    <w:basedOn w:val="751"/>
    <w:next w:val="804"/>
    <w:link w:val="803"/>
    <w:uiPriority w:val="99"/>
    <w:pPr>
      <w:pBdr/>
      <w:spacing/>
      <w:ind/>
    </w:pPr>
  </w:style>
  <w:style w:type="paragraph" w:styleId="805">
    <w:name w:val="Footer"/>
    <w:basedOn w:val="741"/>
    <w:next w:val="805"/>
    <w:link w:val="80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6">
    <w:name w:val="Footer Char"/>
    <w:basedOn w:val="751"/>
    <w:next w:val="806"/>
    <w:link w:val="741"/>
    <w:uiPriority w:val="99"/>
    <w:pPr>
      <w:pBdr/>
      <w:spacing/>
      <w:ind/>
    </w:pPr>
  </w:style>
  <w:style w:type="paragraph" w:styleId="807">
    <w:name w:val="Caption"/>
    <w:basedOn w:val="741"/>
    <w:next w:val="741"/>
    <w:link w:val="741"/>
    <w:uiPriority w:val="35"/>
    <w:semiHidden/>
    <w:unhideWhenUsed/>
    <w:qFormat/>
    <w:pPr>
      <w:pBdr/>
      <w:spacing w:line="276" w:lineRule="auto"/>
      <w:ind/>
    </w:pPr>
    <w:rPr>
      <w:b/>
      <w:bCs/>
      <w:color w:val="4472c4"/>
      <w:sz w:val="18"/>
      <w:szCs w:val="18"/>
    </w:rPr>
  </w:style>
  <w:style w:type="character" w:styleId="808">
    <w:name w:val="Footer Char1"/>
    <w:next w:val="808"/>
    <w:link w:val="805"/>
    <w:uiPriority w:val="99"/>
    <w:pPr>
      <w:pBdr/>
      <w:spacing/>
      <w:ind/>
    </w:pPr>
  </w:style>
  <w:style w:type="table" w:styleId="809">
    <w:name w:val="Table Grid"/>
    <w:basedOn w:val="752"/>
    <w:next w:val="809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Table Grid Light"/>
    <w:basedOn w:val="752"/>
    <w:next w:val="810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1"/>
    <w:basedOn w:val="752"/>
    <w:next w:val="811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2"/>
    <w:basedOn w:val="752"/>
    <w:next w:val="812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3"/>
    <w:basedOn w:val="752"/>
    <w:next w:val="81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4"/>
    <w:basedOn w:val="752"/>
    <w:next w:val="81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5"/>
    <w:basedOn w:val="752"/>
    <w:next w:val="81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"/>
    <w:basedOn w:val="752"/>
    <w:next w:val="81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 - Accent 1"/>
    <w:basedOn w:val="752"/>
    <w:next w:val="81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5b3" w:sz="4" w:space="0"/>
        <w:left w:val="single" w:color="e7c5b3" w:sz="4" w:space="0"/>
        <w:bottom w:val="single" w:color="e7c5b3" w:sz="4" w:space="0"/>
        <w:right w:val="single" w:color="e7c5b3" w:sz="4" w:space="0"/>
        <w:insideH w:val="single" w:color="e7c5b3" w:sz="4" w:space="0"/>
        <w:insideV w:val="single" w:color="e7c5b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– Accent 2"/>
    <w:basedOn w:val="752"/>
    <w:next w:val="81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3"/>
    <w:basedOn w:val="752"/>
    <w:next w:val="81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4"/>
    <w:basedOn w:val="752"/>
    <w:next w:val="82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e5ff" w:sz="4" w:space="0"/>
        <w:left w:val="single" w:color="98e5ff" w:sz="4" w:space="0"/>
        <w:bottom w:val="single" w:color="98e5ff" w:sz="4" w:space="0"/>
        <w:right w:val="single" w:color="98e5ff" w:sz="4" w:space="0"/>
        <w:insideH w:val="single" w:color="98e5ff" w:sz="4" w:space="0"/>
        <w:insideV w:val="single" w:color="98e5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5"/>
    <w:basedOn w:val="752"/>
    <w:next w:val="82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6"/>
    <w:basedOn w:val="752"/>
    <w:next w:val="82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"/>
    <w:basedOn w:val="752"/>
    <w:next w:val="82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1"/>
    <w:basedOn w:val="752"/>
    <w:next w:val="82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c87d53" w:sz="4" w:space="0"/>
        <w:right w:val="none" w:color="000000" w:sz="0" w:space="0"/>
        <w:insideH w:val="single" w:color="c87d53" w:sz="4" w:space="0"/>
        <w:insideV w:val="single" w:color="c87d5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2"/>
    <w:basedOn w:val="752"/>
    <w:next w:val="82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84b1f4" w:sz="4" w:space="0"/>
        <w:right w:val="none" w:color="000000" w:sz="0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3"/>
    <w:basedOn w:val="752"/>
    <w:next w:val="82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4"/>
    <w:basedOn w:val="752"/>
    <w:next w:val="82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5d8ff" w:sz="4" w:space="0"/>
        <w:right w:val="none" w:color="000000" w:sz="0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5"/>
    <w:basedOn w:val="752"/>
    <w:next w:val="82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59b5b" w:sz="4" w:space="0"/>
        <w:right w:val="none" w:color="000000" w:sz="0" w:space="0"/>
        <w:insideH w:val="single" w:color="d59b5b" w:sz="4" w:space="0"/>
        <w:insideV w:val="single" w:color="d59b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6"/>
    <w:basedOn w:val="752"/>
    <w:next w:val="82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"/>
    <w:basedOn w:val="752"/>
    <w:next w:val="83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1"/>
    <w:basedOn w:val="752"/>
    <w:next w:val="83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c87d53" w:sz="4" w:space="0"/>
        <w:right w:val="none" w:color="000000" w:sz="0" w:space="0"/>
        <w:insideH w:val="single" w:color="c87d53" w:sz="4" w:space="0"/>
        <w:insideV w:val="single" w:color="c87d5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2"/>
    <w:basedOn w:val="752"/>
    <w:next w:val="83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84b1f4" w:sz="4" w:space="0"/>
        <w:right w:val="none" w:color="000000" w:sz="0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3"/>
    <w:basedOn w:val="752"/>
    <w:next w:val="83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4"/>
    <w:basedOn w:val="752"/>
    <w:next w:val="83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5d8ff" w:sz="4" w:space="0"/>
        <w:right w:val="none" w:color="000000" w:sz="0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5"/>
    <w:basedOn w:val="752"/>
    <w:next w:val="83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d59b5b" w:sz="4" w:space="0"/>
        <w:right w:val="none" w:color="000000" w:sz="0" w:space="0"/>
        <w:insideH w:val="single" w:color="d59b5b" w:sz="4" w:space="0"/>
        <w:insideV w:val="single" w:color="d59b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6"/>
    <w:basedOn w:val="752"/>
    <w:next w:val="83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"/>
    <w:basedOn w:val="752"/>
    <w:next w:val="837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1"/>
    <w:basedOn w:val="752"/>
    <w:next w:val="838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single" w:color="ddaf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2"/>
    <w:basedOn w:val="752"/>
    <w:next w:val="839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single" w:color="8ab5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3"/>
    <w:basedOn w:val="752"/>
    <w:next w:val="840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4"/>
    <w:basedOn w:val="752"/>
    <w:next w:val="841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dbff" w:sz="4" w:space="0"/>
        <w:left w:val="single" w:color="6fdbff" w:sz="4" w:space="0"/>
        <w:bottom w:val="single" w:color="6fdbff" w:sz="4" w:space="0"/>
        <w:right w:val="single" w:color="6fdbff" w:sz="4" w:space="0"/>
        <w:insideH w:val="single" w:color="6fdbff" w:sz="4" w:space="0"/>
        <w:insideV w:val="single" w:color="6fdb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5"/>
    <w:basedOn w:val="752"/>
    <w:next w:val="842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6"/>
    <w:basedOn w:val="752"/>
    <w:next w:val="843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"/>
    <w:basedOn w:val="752"/>
    <w:next w:val="84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- Accent 1"/>
    <w:basedOn w:val="752"/>
    <w:next w:val="84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8e2f3" w:fill="d8e2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 - Accent 2"/>
    <w:basedOn w:val="752"/>
    <w:next w:val="84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be5d6" w:fill="fbe5d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3"/>
    <w:basedOn w:val="752"/>
    <w:next w:val="84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cecec" w:fill="ecec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- Accent 4"/>
    <w:basedOn w:val="752"/>
    <w:next w:val="84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2cb" w:fill="fff2c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- Accent 5"/>
    <w:basedOn w:val="752"/>
    <w:next w:val="84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deaf6" w:fill="ddeaf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- Accent 6"/>
    <w:basedOn w:val="752"/>
    <w:next w:val="85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1efd8" w:fill="e1ef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urful"/>
    <w:basedOn w:val="752"/>
    <w:next w:val="85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urful – Accent 1"/>
    <w:basedOn w:val="752"/>
    <w:next w:val="85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1b7a0" w:sz="4" w:space="0"/>
        <w:left w:val="single" w:color="e1b7a0" w:sz="4" w:space="0"/>
        <w:bottom w:val="single" w:color="e1b7a0" w:sz="4" w:space="0"/>
        <w:right w:val="single" w:color="e1b7a0" w:sz="4" w:space="0"/>
        <w:insideH w:val="single" w:color="e1b7a0" w:sz="4" w:space="0"/>
        <w:insideV w:val="single" w:color="e1b7a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urful – Accent 2"/>
    <w:basedOn w:val="752"/>
    <w:next w:val="85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4" w:space="0"/>
        <w:left w:val="single" w:color="84b1f4" w:sz="4" w:space="0"/>
        <w:bottom w:val="single" w:color="84b1f4" w:sz="4" w:space="0"/>
        <w:right w:val="single" w:color="84b1f4" w:sz="4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urful – Accent 3"/>
    <w:basedOn w:val="752"/>
    <w:next w:val="85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urful – Accent 4"/>
    <w:basedOn w:val="752"/>
    <w:next w:val="85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4" w:space="0"/>
        <w:left w:val="single" w:color="65d8ff" w:sz="4" w:space="0"/>
        <w:bottom w:val="single" w:color="65d8ff" w:sz="4" w:space="0"/>
        <w:right w:val="single" w:color="65d8ff" w:sz="4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urful – Accent 5"/>
    <w:basedOn w:val="752"/>
    <w:next w:val="85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59b5b" w:sz="4" w:space="0"/>
        <w:left w:val="single" w:color="d59b5b" w:sz="4" w:space="0"/>
        <w:bottom w:val="single" w:color="d59b5b" w:sz="4" w:space="0"/>
        <w:right w:val="single" w:color="d59b5b" w:sz="4" w:space="0"/>
        <w:insideH w:val="single" w:color="d59b5b" w:sz="4" w:space="0"/>
        <w:insideV w:val="single" w:color="d59b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urful – Accent 6"/>
    <w:basedOn w:val="752"/>
    <w:next w:val="85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7ad70" w:sz="4" w:space="0"/>
        <w:left w:val="single" w:color="47ad70" w:sz="4" w:space="0"/>
        <w:bottom w:val="single" w:color="47ad70" w:sz="4" w:space="0"/>
        <w:right w:val="single" w:color="47ad70" w:sz="4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urful"/>
    <w:basedOn w:val="752"/>
    <w:next w:val="85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urful – Accent 1"/>
    <w:basedOn w:val="752"/>
    <w:next w:val="85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e1b7a0" w:sz="4" w:space="0"/>
        <w:right w:val="single" w:color="e1b7a0" w:sz="4" w:space="0"/>
        <w:insideH w:val="single" w:color="e1b7a0" w:sz="4" w:space="0"/>
        <w:insideV w:val="single" w:color="e1b7a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urful – Accent 2"/>
    <w:basedOn w:val="752"/>
    <w:next w:val="86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84b1f4" w:sz="4" w:space="0"/>
        <w:right w:val="single" w:color="84b1f4" w:sz="4" w:space="0"/>
        <w:insideH w:val="single" w:color="84b1f4" w:sz="4" w:space="0"/>
        <w:insideV w:val="single" w:color="84b1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urful – Accent 3"/>
    <w:basedOn w:val="752"/>
    <w:next w:val="86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urful – Accent 4"/>
    <w:basedOn w:val="752"/>
    <w:next w:val="86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5d8ff" w:sz="4" w:space="0"/>
        <w:right w:val="single" w:color="65d8ff" w:sz="4" w:space="0"/>
        <w:insideH w:val="single" w:color="65d8ff" w:sz="4" w:space="0"/>
        <w:insideV w:val="single" w:color="65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urful – Accent 5"/>
    <w:basedOn w:val="752"/>
    <w:next w:val="86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urful – Accent 6"/>
    <w:basedOn w:val="752"/>
    <w:next w:val="86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"/>
    <w:basedOn w:val="752"/>
    <w:next w:val="86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1"/>
    <w:basedOn w:val="752"/>
    <w:next w:val="86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2"/>
    <w:basedOn w:val="752"/>
    <w:next w:val="86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3"/>
    <w:basedOn w:val="752"/>
    <w:next w:val="86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4"/>
    <w:basedOn w:val="752"/>
    <w:next w:val="86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5"/>
    <w:basedOn w:val="752"/>
    <w:next w:val="87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6"/>
    <w:basedOn w:val="752"/>
    <w:next w:val="87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"/>
    <w:basedOn w:val="752"/>
    <w:next w:val="87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1"/>
    <w:basedOn w:val="752"/>
    <w:next w:val="87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daf95" w:sz="4" w:space="0"/>
        <w:left w:val="none" w:color="000000" w:sz="0" w:space="0"/>
        <w:bottom w:val="single" w:color="ddaf95" w:sz="4" w:space="0"/>
        <w:right w:val="none" w:color="000000" w:sz="0" w:space="0"/>
        <w:insideH w:val="single" w:color="ddaf95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2"/>
    <w:basedOn w:val="752"/>
    <w:next w:val="87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ab5f4" w:sz="4" w:space="0"/>
        <w:left w:val="none" w:color="000000" w:sz="0" w:space="0"/>
        <w:bottom w:val="single" w:color="8ab5f4" w:sz="4" w:space="0"/>
        <w:right w:val="none" w:color="000000" w:sz="0" w:space="0"/>
        <w:insideH w:val="single" w:color="8ab5f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3"/>
    <w:basedOn w:val="752"/>
    <w:next w:val="87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4"/>
    <w:basedOn w:val="752"/>
    <w:next w:val="87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dbff" w:sz="4" w:space="0"/>
        <w:left w:val="none" w:color="000000" w:sz="0" w:space="0"/>
        <w:bottom w:val="single" w:color="6fdbff" w:sz="4" w:space="0"/>
        <w:right w:val="none" w:color="000000" w:sz="0" w:space="0"/>
        <w:insideH w:val="single" w:color="6fdbf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5"/>
    <w:basedOn w:val="752"/>
    <w:next w:val="87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6a2" w:sz="4" w:space="0"/>
        <w:left w:val="none" w:color="000000" w:sz="0" w:space="0"/>
        <w:bottom w:val="single" w:color="e7c6a2" w:sz="4" w:space="0"/>
        <w:right w:val="none" w:color="000000" w:sz="0" w:space="0"/>
        <w:insideH w:val="single" w:color="e7c6a2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6"/>
    <w:basedOn w:val="752"/>
    <w:next w:val="87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4d3ad" w:sz="4" w:space="0"/>
        <w:left w:val="none" w:color="000000" w:sz="0" w:space="0"/>
        <w:bottom w:val="single" w:color="94d3ad" w:sz="4" w:space="0"/>
        <w:right w:val="none" w:color="000000" w:sz="0" w:space="0"/>
        <w:insideH w:val="single" w:color="94d3a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"/>
    <w:basedOn w:val="752"/>
    <w:next w:val="87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1"/>
    <w:basedOn w:val="752"/>
    <w:next w:val="88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7244" w:sz="4" w:space="0"/>
        <w:left w:val="single" w:color="c47244" w:sz="4" w:space="0"/>
        <w:bottom w:val="single" w:color="c47244" w:sz="4" w:space="0"/>
        <w:right w:val="single" w:color="c4724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2"/>
    <w:basedOn w:val="752"/>
    <w:next w:val="88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4" w:space="0"/>
        <w:left w:val="single" w:color="84b1f4" w:sz="4" w:space="0"/>
        <w:bottom w:val="single" w:color="84b1f4" w:sz="4" w:space="0"/>
        <w:right w:val="single" w:color="84b1f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3"/>
    <w:basedOn w:val="752"/>
    <w:next w:val="88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4"/>
    <w:basedOn w:val="752"/>
    <w:next w:val="88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4" w:space="0"/>
        <w:left w:val="single" w:color="65d8ff" w:sz="4" w:space="0"/>
        <w:bottom w:val="single" w:color="65d8ff" w:sz="4" w:space="0"/>
        <w:right w:val="single" w:color="65d8f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5"/>
    <w:basedOn w:val="752"/>
    <w:next w:val="88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c29b" w:sz="4" w:space="0"/>
        <w:left w:val="single" w:color="e5c29b" w:sz="4" w:space="0"/>
        <w:bottom w:val="single" w:color="e5c29b" w:sz="4" w:space="0"/>
        <w:right w:val="single" w:color="e5c2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6"/>
    <w:basedOn w:val="752"/>
    <w:next w:val="88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ed0a9" w:sz="4" w:space="0"/>
        <w:left w:val="single" w:color="8ed0a9" w:sz="4" w:space="0"/>
        <w:bottom w:val="single" w:color="8ed0a9" w:sz="4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"/>
    <w:basedOn w:val="752"/>
    <w:next w:val="88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 - Accent 1"/>
    <w:basedOn w:val="752"/>
    <w:next w:val="88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2"/>
    <w:basedOn w:val="752"/>
    <w:next w:val="88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3"/>
    <w:basedOn w:val="752"/>
    <w:next w:val="88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4"/>
    <w:basedOn w:val="752"/>
    <w:next w:val="89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dbff" w:sz="4" w:space="0"/>
        <w:left w:val="single" w:color="6fdbff" w:sz="4" w:space="0"/>
        <w:bottom w:val="single" w:color="6fdbff" w:sz="4" w:space="0"/>
        <w:right w:val="single" w:color="6fdbff" w:sz="4" w:space="0"/>
        <w:insideH w:val="single" w:color="6fdbf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5"/>
    <w:basedOn w:val="752"/>
    <w:next w:val="89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6"/>
    <w:basedOn w:val="752"/>
    <w:next w:val="89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"/>
    <w:basedOn w:val="752"/>
    <w:next w:val="89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1"/>
    <w:basedOn w:val="752"/>
    <w:next w:val="89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7244" w:sz="32" w:space="0"/>
        <w:left w:val="single" w:color="c47244" w:sz="32" w:space="0"/>
        <w:bottom w:val="single" w:color="c47244" w:sz="32" w:space="0"/>
        <w:right w:val="single" w:color="c47244" w:sz="32" w:space="0"/>
        <w:insideH w:val="none" w:color="000000" w:sz="0" w:space="0"/>
        <w:insideV w:val="none" w:color="000000" w:sz="0" w:space="0"/>
      </w:tblBorders>
      <w:shd w:val="clear" w:color="4472c4" w:fill="4472c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2"/>
    <w:basedOn w:val="752"/>
    <w:next w:val="89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32" w:space="0"/>
        <w:left w:val="single" w:color="84b1f4" w:sz="32" w:space="0"/>
        <w:bottom w:val="single" w:color="84b1f4" w:sz="32" w:space="0"/>
        <w:right w:val="single" w:color="84b1f4" w:sz="32" w:space="0"/>
        <w:insideH w:val="none" w:color="000000" w:sz="0" w:space="0"/>
        <w:insideV w:val="none" w:color="000000" w:sz="0" w:space="0"/>
      </w:tblBorders>
      <w:shd w:val="clear" w:color="f4b184" w:fill="f4b18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3"/>
    <w:basedOn w:val="752"/>
    <w:next w:val="89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shd w:val="clear" w:color="c9c9c9" w:fill="c9c9c9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4"/>
    <w:basedOn w:val="752"/>
    <w:next w:val="89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32" w:space="0"/>
        <w:left w:val="single" w:color="65d8ff" w:sz="32" w:space="0"/>
        <w:bottom w:val="single" w:color="65d8ff" w:sz="32" w:space="0"/>
        <w:right w:val="single" w:color="65d8ff" w:sz="32" w:space="0"/>
        <w:insideH w:val="none" w:color="000000" w:sz="0" w:space="0"/>
        <w:insideV w:val="none" w:color="000000" w:sz="0" w:space="0"/>
      </w:tblBorders>
      <w:shd w:val="clear" w:color="ffd865" w:fill="ffd86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- Accent 5"/>
    <w:basedOn w:val="752"/>
    <w:next w:val="89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c29b" w:sz="32" w:space="0"/>
        <w:left w:val="single" w:color="e5c29b" w:sz="32" w:space="0"/>
        <w:bottom w:val="single" w:color="e5c29b" w:sz="32" w:space="0"/>
        <w:right w:val="single" w:color="e5c29b" w:sz="32" w:space="0"/>
        <w:insideH w:val="none" w:color="000000" w:sz="0" w:space="0"/>
        <w:insideV w:val="none" w:color="000000" w:sz="0" w:space="0"/>
      </w:tblBorders>
      <w:shd w:val="clear" w:color="9bc2e5" w:fill="9bc2e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6"/>
    <w:basedOn w:val="752"/>
    <w:next w:val="89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ed0a9" w:sz="32" w:space="0"/>
        <w:left w:val="single" w:color="8ed0a9" w:sz="32" w:space="0"/>
        <w:bottom w:val="single" w:color="8ed0a9" w:sz="32" w:space="0"/>
        <w:right w:val="single" w:color="8ed0a9" w:sz="32" w:space="0"/>
        <w:insideH w:val="none" w:color="000000" w:sz="0" w:space="0"/>
        <w:insideV w:val="none" w:color="000000" w:sz="0" w:space="0"/>
      </w:tblBorders>
      <w:shd w:val="clear" w:color="a9d08e" w:fill="a9d08e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urful"/>
    <w:basedOn w:val="752"/>
    <w:next w:val="90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urful – Accent 1"/>
    <w:basedOn w:val="752"/>
    <w:next w:val="90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7244" w:sz="4" w:space="0"/>
        <w:left w:val="none" w:color="000000" w:sz="0" w:space="0"/>
        <w:bottom w:val="single" w:color="c4724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urful – Accent 2"/>
    <w:basedOn w:val="752"/>
    <w:next w:val="90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4b1f4" w:sz="4" w:space="0"/>
        <w:left w:val="none" w:color="000000" w:sz="0" w:space="0"/>
        <w:bottom w:val="single" w:color="84b1f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urful – Accent 3"/>
    <w:basedOn w:val="752"/>
    <w:next w:val="90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urful – Accent 4"/>
    <w:basedOn w:val="752"/>
    <w:next w:val="90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5d8ff" w:sz="4" w:space="0"/>
        <w:left w:val="none" w:color="000000" w:sz="0" w:space="0"/>
        <w:bottom w:val="single" w:color="65d8f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urful – Accent 5"/>
    <w:basedOn w:val="752"/>
    <w:next w:val="90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5c29b" w:sz="4" w:space="0"/>
        <w:left w:val="none" w:color="000000" w:sz="0" w:space="0"/>
        <w:bottom w:val="single" w:color="e5c2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urful – Accent 6"/>
    <w:basedOn w:val="752"/>
    <w:next w:val="90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ed0a9" w:sz="4" w:space="0"/>
        <w:left w:val="none" w:color="000000" w:sz="0" w:space="0"/>
        <w:bottom w:val="single" w:color="8ed0a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urful"/>
    <w:basedOn w:val="752"/>
    <w:next w:val="90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urful – Accent 1"/>
    <w:basedOn w:val="752"/>
    <w:next w:val="90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4724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urful – Accent 2"/>
    <w:basedOn w:val="752"/>
    <w:next w:val="90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4b1f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urful – Accent 3"/>
    <w:basedOn w:val="752"/>
    <w:next w:val="91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urful – Accent 4"/>
    <w:basedOn w:val="752"/>
    <w:next w:val="91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65d8f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urful – Accent 5"/>
    <w:basedOn w:val="752"/>
    <w:next w:val="91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e5c2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urful – Accent 6"/>
    <w:basedOn w:val="752"/>
    <w:next w:val="91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"/>
    <w:basedOn w:val="752"/>
    <w:next w:val="914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 1"/>
    <w:basedOn w:val="752"/>
    <w:next w:val="915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ned - Accent 2"/>
    <w:basedOn w:val="752"/>
    <w:next w:val="916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 3"/>
    <w:basedOn w:val="752"/>
    <w:next w:val="917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ned - Accent 4"/>
    <w:basedOn w:val="752"/>
    <w:next w:val="918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ned - Accent 5"/>
    <w:basedOn w:val="752"/>
    <w:next w:val="919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 6"/>
    <w:basedOn w:val="752"/>
    <w:next w:val="920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"/>
    <w:basedOn w:val="752"/>
    <w:next w:val="921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&amp; Lined - Accent 1"/>
    <w:basedOn w:val="752"/>
    <w:next w:val="922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754125" w:sz="4" w:space="0"/>
        <w:left w:val="single" w:color="754125" w:sz="4" w:space="0"/>
        <w:bottom w:val="single" w:color="754125" w:sz="4" w:space="0"/>
        <w:right w:val="single" w:color="754125" w:sz="4" w:space="0"/>
        <w:insideH w:val="single" w:color="754125" w:sz="4" w:space="0"/>
        <w:insideV w:val="single" w:color="75412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 2"/>
    <w:basedOn w:val="752"/>
    <w:next w:val="923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0d4699" w:sz="4" w:space="0"/>
        <w:left w:val="single" w:color="0d4699" w:sz="4" w:space="0"/>
        <w:bottom w:val="single" w:color="0d4699" w:sz="4" w:space="0"/>
        <w:right w:val="single" w:color="0d4699" w:sz="4" w:space="0"/>
        <w:insideH w:val="single" w:color="0d4699" w:sz="4" w:space="0"/>
        <w:insideV w:val="single" w:color="0d46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 3"/>
    <w:basedOn w:val="752"/>
    <w:next w:val="924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&amp; Lined - Accent 4"/>
    <w:basedOn w:val="752"/>
    <w:next w:val="925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007095" w:sz="4" w:space="0"/>
        <w:left w:val="single" w:color="007095" w:sz="4" w:space="0"/>
        <w:bottom w:val="single" w:color="007095" w:sz="4" w:space="0"/>
        <w:right w:val="single" w:color="007095" w:sz="4" w:space="0"/>
        <w:insideH w:val="single" w:color="007095" w:sz="4" w:space="0"/>
        <w:insideV w:val="single" w:color="0070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&amp; Lined - Accent 5"/>
    <w:basedOn w:val="752"/>
    <w:next w:val="926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8d5a24" w:sz="4" w:space="0"/>
        <w:left w:val="single" w:color="8d5a24" w:sz="4" w:space="0"/>
        <w:bottom w:val="single" w:color="8d5a24" w:sz="4" w:space="0"/>
        <w:right w:val="single" w:color="8d5a24" w:sz="4" w:space="0"/>
        <w:insideH w:val="single" w:color="8d5a24" w:sz="4" w:space="0"/>
        <w:insideV w:val="single" w:color="8d5a2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 - Accent 6"/>
    <w:basedOn w:val="752"/>
    <w:next w:val="927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296441" w:sz="4" w:space="0"/>
        <w:left w:val="single" w:color="296441" w:sz="4" w:space="0"/>
        <w:bottom w:val="single" w:color="296441" w:sz="4" w:space="0"/>
        <w:right w:val="single" w:color="296441" w:sz="4" w:space="0"/>
        <w:insideH w:val="single" w:color="296441" w:sz="4" w:space="0"/>
        <w:insideV w:val="single" w:color="29644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"/>
    <w:basedOn w:val="752"/>
    <w:next w:val="92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- Accent 1"/>
    <w:basedOn w:val="752"/>
    <w:next w:val="92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7c5b3" w:sz="4" w:space="0"/>
        <w:left w:val="single" w:color="e7c5b3" w:sz="4" w:space="0"/>
        <w:bottom w:val="single" w:color="e7c5b3" w:sz="4" w:space="0"/>
        <w:right w:val="single" w:color="e7c5b3" w:sz="4" w:space="0"/>
        <w:insideH w:val="single" w:color="e7c5b3" w:sz="4" w:space="0"/>
        <w:insideV w:val="single" w:color="e7c5b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2"/>
    <w:basedOn w:val="752"/>
    <w:next w:val="93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3"/>
    <w:basedOn w:val="752"/>
    <w:next w:val="93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4"/>
    <w:basedOn w:val="752"/>
    <w:next w:val="93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e5ff" w:sz="4" w:space="0"/>
        <w:left w:val="single" w:color="98e5ff" w:sz="4" w:space="0"/>
        <w:bottom w:val="single" w:color="98e5ff" w:sz="4" w:space="0"/>
        <w:right w:val="single" w:color="98e5ff" w:sz="4" w:space="0"/>
        <w:insideH w:val="single" w:color="98e5ff" w:sz="4" w:space="0"/>
        <w:insideV w:val="single" w:color="98e5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5"/>
    <w:basedOn w:val="752"/>
    <w:next w:val="93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6"/>
    <w:basedOn w:val="752"/>
    <w:next w:val="93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5">
    <w:name w:val="Hyperlink"/>
    <w:next w:val="935"/>
    <w:link w:val="741"/>
    <w:uiPriority w:val="99"/>
    <w:unhideWhenUsed/>
    <w:pPr>
      <w:pBdr/>
      <w:spacing/>
      <w:ind/>
    </w:pPr>
    <w:rPr>
      <w:color w:val="0563c1"/>
      <w:u w:val="single"/>
    </w:rPr>
  </w:style>
  <w:style w:type="paragraph" w:styleId="936">
    <w:name w:val="footnote text"/>
    <w:basedOn w:val="741"/>
    <w:next w:val="936"/>
    <w:link w:val="937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37">
    <w:name w:val="Footnote Text Char"/>
    <w:next w:val="937"/>
    <w:link w:val="936"/>
    <w:uiPriority w:val="99"/>
    <w:pPr>
      <w:pBdr/>
      <w:spacing/>
      <w:ind/>
    </w:pPr>
    <w:rPr>
      <w:sz w:val="18"/>
    </w:rPr>
  </w:style>
  <w:style w:type="character" w:styleId="938">
    <w:name w:val="footnote reference"/>
    <w:next w:val="938"/>
    <w:link w:val="741"/>
    <w:uiPriority w:val="99"/>
    <w:unhideWhenUsed/>
    <w:pPr>
      <w:pBdr/>
      <w:spacing/>
      <w:ind/>
    </w:pPr>
    <w:rPr>
      <w:vertAlign w:val="superscript"/>
    </w:rPr>
  </w:style>
  <w:style w:type="paragraph" w:styleId="939">
    <w:name w:val="endnote text"/>
    <w:basedOn w:val="741"/>
    <w:next w:val="939"/>
    <w:link w:val="940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40">
    <w:name w:val="Endnote Text Char"/>
    <w:next w:val="940"/>
    <w:link w:val="939"/>
    <w:uiPriority w:val="99"/>
    <w:pPr>
      <w:pBdr/>
      <w:spacing/>
      <w:ind/>
    </w:pPr>
    <w:rPr>
      <w:sz w:val="20"/>
    </w:rPr>
  </w:style>
  <w:style w:type="character" w:styleId="941">
    <w:name w:val="endnote reference"/>
    <w:next w:val="941"/>
    <w:link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942">
    <w:name w:val="toc 1"/>
    <w:basedOn w:val="741"/>
    <w:next w:val="741"/>
    <w:link w:val="741"/>
    <w:uiPriority w:val="39"/>
    <w:unhideWhenUsed/>
    <w:pPr>
      <w:pBdr/>
      <w:spacing w:after="57"/>
      <w:ind w:right="0" w:firstLine="0" w:left="0"/>
    </w:pPr>
  </w:style>
  <w:style w:type="paragraph" w:styleId="943">
    <w:name w:val="toc 2"/>
    <w:basedOn w:val="741"/>
    <w:next w:val="741"/>
    <w:link w:val="741"/>
    <w:uiPriority w:val="39"/>
    <w:unhideWhenUsed/>
    <w:pPr>
      <w:pBdr/>
      <w:spacing w:after="57"/>
      <w:ind w:right="0" w:firstLine="0" w:left="283"/>
    </w:pPr>
  </w:style>
  <w:style w:type="paragraph" w:styleId="944">
    <w:name w:val="toc 3"/>
    <w:basedOn w:val="741"/>
    <w:next w:val="741"/>
    <w:link w:val="741"/>
    <w:uiPriority w:val="39"/>
    <w:unhideWhenUsed/>
    <w:pPr>
      <w:pBdr/>
      <w:spacing w:after="57"/>
      <w:ind w:right="0" w:firstLine="0" w:left="567"/>
    </w:pPr>
  </w:style>
  <w:style w:type="paragraph" w:styleId="945">
    <w:name w:val="toc 4"/>
    <w:basedOn w:val="741"/>
    <w:next w:val="741"/>
    <w:link w:val="741"/>
    <w:uiPriority w:val="39"/>
    <w:unhideWhenUsed/>
    <w:pPr>
      <w:pBdr/>
      <w:spacing w:after="57"/>
      <w:ind w:right="0" w:firstLine="0" w:left="850"/>
    </w:pPr>
  </w:style>
  <w:style w:type="paragraph" w:styleId="946">
    <w:name w:val="toc 5"/>
    <w:basedOn w:val="741"/>
    <w:next w:val="741"/>
    <w:link w:val="741"/>
    <w:uiPriority w:val="39"/>
    <w:unhideWhenUsed/>
    <w:pPr>
      <w:pBdr/>
      <w:spacing w:after="57"/>
      <w:ind w:right="0" w:firstLine="0" w:left="1134"/>
    </w:pPr>
  </w:style>
  <w:style w:type="paragraph" w:styleId="947">
    <w:name w:val="toc 6"/>
    <w:basedOn w:val="741"/>
    <w:next w:val="741"/>
    <w:link w:val="741"/>
    <w:uiPriority w:val="39"/>
    <w:unhideWhenUsed/>
    <w:pPr>
      <w:pBdr/>
      <w:spacing w:after="57"/>
      <w:ind w:right="0" w:firstLine="0" w:left="1417"/>
    </w:pPr>
  </w:style>
  <w:style w:type="paragraph" w:styleId="948">
    <w:name w:val="toc 7"/>
    <w:basedOn w:val="741"/>
    <w:next w:val="741"/>
    <w:link w:val="741"/>
    <w:uiPriority w:val="39"/>
    <w:unhideWhenUsed/>
    <w:pPr>
      <w:pBdr/>
      <w:spacing w:after="57"/>
      <w:ind w:right="0" w:firstLine="0" w:left="1701"/>
    </w:pPr>
  </w:style>
  <w:style w:type="paragraph" w:styleId="949">
    <w:name w:val="toc 8"/>
    <w:basedOn w:val="741"/>
    <w:next w:val="741"/>
    <w:link w:val="741"/>
    <w:uiPriority w:val="39"/>
    <w:unhideWhenUsed/>
    <w:pPr>
      <w:pBdr/>
      <w:spacing w:after="57"/>
      <w:ind w:right="0" w:firstLine="0" w:left="1984"/>
    </w:pPr>
  </w:style>
  <w:style w:type="paragraph" w:styleId="950">
    <w:name w:val="toc 9"/>
    <w:basedOn w:val="741"/>
    <w:next w:val="741"/>
    <w:link w:val="741"/>
    <w:uiPriority w:val="39"/>
    <w:unhideWhenUsed/>
    <w:pPr>
      <w:pBdr/>
      <w:spacing w:after="57"/>
      <w:ind w:right="0" w:firstLine="0" w:left="2268"/>
    </w:pPr>
  </w:style>
  <w:style w:type="paragraph" w:styleId="951">
    <w:name w:val="TOC Heading"/>
    <w:next w:val="951"/>
    <w:link w:val="741"/>
    <w:uiPriority w:val="39"/>
    <w:unhideWhenUsed/>
    <w:pPr>
      <w:pBdr/>
      <w:spacing w:after="160" w:line="259" w:lineRule="auto"/>
      <w:ind/>
    </w:pPr>
    <w:rPr>
      <w:sz w:val="22"/>
      <w:szCs w:val="22"/>
      <w:lang w:val="ru-RU" w:eastAsia="en-US" w:bidi="ar-SA"/>
    </w:rPr>
  </w:style>
  <w:style w:type="paragraph" w:styleId="952">
    <w:name w:val="table of figures"/>
    <w:basedOn w:val="741"/>
    <w:next w:val="741"/>
    <w:link w:val="741"/>
    <w:uiPriority w:val="99"/>
    <w:unhideWhenUsed/>
    <w:pPr>
      <w:pBdr/>
      <w:spacing w:after="0" w:afterAutospacing="0"/>
      <w:ind/>
    </w:pPr>
  </w:style>
  <w:style w:type="paragraph" w:styleId="953">
    <w:name w:val="Normal (Web)"/>
    <w:basedOn w:val="741"/>
    <w:next w:val="953"/>
    <w:link w:val="741"/>
    <w:uiPriority w:val="99"/>
    <w:semiHidden/>
    <w:unhideWhenUsed/>
    <w:pPr>
      <w:pBdr/>
      <w:spacing w:after="100" w:afterAutospacing="1" w:before="100" w:beforeAutospacing="1"/>
      <w:ind/>
    </w:pPr>
    <w:rPr>
      <w:rFonts w:eastAsia="Times New Roman" w:cs="Times New Roman"/>
      <w:sz w:val="24"/>
      <w:szCs w:val="24"/>
    </w:rPr>
  </w:style>
  <w:style w:type="character" w:styleId="954">
    <w:name w:val="Strong"/>
    <w:next w:val="954"/>
    <w:link w:val="741"/>
    <w:uiPriority w:val="22"/>
    <w:qFormat/>
    <w:pPr>
      <w:pBdr/>
      <w:spacing/>
      <w:ind/>
    </w:pPr>
    <w:rPr>
      <w:b/>
      <w:bCs/>
    </w:rPr>
  </w:style>
  <w:style w:type="paragraph" w:styleId="955">
    <w:name w:val="Без интервала"/>
    <w:next w:val="805"/>
    <w:link w:val="752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ar-SA"/>
    </w:rPr>
  </w:style>
  <w:style w:type="character" w:styleId="956">
    <w:name w:val="fontstyle01"/>
    <w:next w:val="956"/>
    <w:link w:val="741"/>
    <w:pPr>
      <w:pBdr/>
      <w:spacing/>
      <w:ind/>
    </w:pPr>
    <w:rPr>
      <w:rFonts w:ascii="TimesNewRomanPSMT" w:hAnsi="TimesNewRomanPSMT"/>
      <w:color w:val="000000"/>
      <w:sz w:val="20"/>
      <w:szCs w:val="20"/>
    </w:rPr>
  </w:style>
  <w:style w:type="paragraph" w:styleId="957" w:customStyle="1">
    <w:name w:val="Default"/>
    <w:pPr>
      <w:keepNext w:val="false"/>
      <w:keepLines w:val="false"/>
      <w:pageBreakBefore w:val="false"/>
      <w:widowControl w:val="true"/>
      <w:suppressLineNumbers w:val="false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between w:val="singl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EUAlbertina" w:hAnsi="EUAlbertina" w:eastAsia="PMingLiU" w:cs="EUAlbertin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en-US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ONLYOFFICE/8.2.0.143</Application>
  <DocSecurity>4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Bazilevschi Larisa</dc:creator>
  <cp:revision>21</cp:revision>
  <dcterms:created xsi:type="dcterms:W3CDTF">2024-09-03T13:29:00Z</dcterms:created>
  <dcterms:modified xsi:type="dcterms:W3CDTF">2026-01-19T15:19:50Z</dcterms:modified>
  <cp:version>1048576</cp:version>
</cp:coreProperties>
</file>