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b/>
                <w:bCs w:val="0"/>
                <w:i/>
                <w:iCs/>
                <w:sz w:val="22"/>
                <w:szCs w:val="22"/>
                <w:u w:val="single"/>
                <w:lang w:val="ro-RO"/>
              </w:rPr>
              <w:t>Utilajului pentru intervenție operativă la depistarea deteriorărilor liniilor de cablu 04kV-10kV(repetat)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bCs/>
                <w:sz w:val="22"/>
                <w:szCs w:val="22"/>
                <w:vertAlign w:val="baseline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42950000-0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Tester portabil de înaltă tensiune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ind w:firstLine="440" w:firstLineChars="200"/>
              <w:jc w:val="both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90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42950000-0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Receptor de unde acustice pentru localizarea defectelor acustice și electromagnetice a liniilor de cablu.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ind w:firstLine="440" w:firstLineChars="200"/>
              <w:jc w:val="both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90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1E5551C3"/>
    <w:rsid w:val="56A62C96"/>
    <w:rsid w:val="597E005A"/>
    <w:rsid w:val="660E24D9"/>
    <w:rsid w:val="661B5B07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2022-10-26T11:02:27Z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03A0F3715595408D82F6E95E408F1C8E</vt:lpwstr>
  </property>
</Properties>
</file>