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794DFE9C" w14:textId="429D37A7" w:rsidR="0047783A" w:rsidRDefault="000724EA" w:rsidP="004F7A0E">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60474E" w:rsidRPr="00DF736D">
        <w:rPr>
          <w:rFonts w:ascii="Times New Roman" w:hAnsi="Times New Roman"/>
          <w:sz w:val="22"/>
          <w:szCs w:val="22"/>
        </w:rPr>
        <w:t>C</w:t>
      </w:r>
      <w:r w:rsidR="003F7AF5" w:rsidRPr="00DF736D">
        <w:rPr>
          <w:rFonts w:ascii="Times New Roman" w:hAnsi="Times New Roman"/>
          <w:sz w:val="22"/>
          <w:szCs w:val="22"/>
        </w:rPr>
        <w:t>ontact details</w:t>
      </w:r>
      <w:r w:rsidR="0060474E" w:rsidRPr="00DF736D">
        <w:rPr>
          <w:rFonts w:ascii="Times New Roman" w:hAnsi="Times New Roman"/>
          <w:sz w:val="22"/>
          <w:szCs w:val="22"/>
        </w:rPr>
        <w:t>:</w:t>
      </w:r>
    </w:p>
    <w:p w14:paraId="452B5E6E" w14:textId="77777777" w:rsidR="00AB4246" w:rsidRPr="00AB4246" w:rsidRDefault="00AB4246" w:rsidP="00AB4246">
      <w:pPr>
        <w:snapToGrid w:val="0"/>
        <w:spacing w:before="0" w:after="0"/>
        <w:ind w:left="567"/>
        <w:rPr>
          <w:rFonts w:ascii="Times New Roman" w:hAnsi="Times New Roman"/>
          <w:snapToGrid/>
          <w:sz w:val="22"/>
          <w:szCs w:val="22"/>
        </w:rPr>
      </w:pPr>
      <w:r w:rsidRPr="00AB4246">
        <w:rPr>
          <w:rFonts w:ascii="Times New Roman" w:hAnsi="Times New Roman"/>
          <w:snapToGrid/>
          <w:sz w:val="22"/>
          <w:szCs w:val="22"/>
        </w:rPr>
        <w:t>Contact name: Olga Gherman</w:t>
      </w:r>
    </w:p>
    <w:p w14:paraId="2BD27BA7" w14:textId="77777777" w:rsidR="00AB4246" w:rsidRPr="00AB4246" w:rsidRDefault="00AB4246" w:rsidP="00AB4246">
      <w:pPr>
        <w:snapToGrid w:val="0"/>
        <w:spacing w:before="0" w:after="0"/>
        <w:ind w:left="1418" w:hanging="851"/>
        <w:jc w:val="both"/>
        <w:rPr>
          <w:rFonts w:ascii="Times New Roman" w:hAnsi="Times New Roman"/>
          <w:snapToGrid/>
          <w:sz w:val="22"/>
          <w:szCs w:val="22"/>
        </w:rPr>
      </w:pPr>
      <w:r w:rsidRPr="00AB4246">
        <w:rPr>
          <w:rFonts w:ascii="Times New Roman" w:hAnsi="Times New Roman"/>
          <w:snapToGrid/>
          <w:sz w:val="22"/>
          <w:szCs w:val="22"/>
        </w:rPr>
        <w:t xml:space="preserve">Address: </w:t>
      </w:r>
      <w:r w:rsidRPr="00AB4246">
        <w:rPr>
          <w:rFonts w:ascii="Times New Roman" w:hAnsi="Times New Roman"/>
          <w:i/>
          <w:snapToGrid/>
          <w:sz w:val="22"/>
          <w:szCs w:val="22"/>
        </w:rPr>
        <w:t>Technical University of Moldova, MD-2004, Chisinau, 186 Stefan cel Mare si Sfant Avenue, off 111</w:t>
      </w:r>
    </w:p>
    <w:p w14:paraId="44DE7967" w14:textId="58DC9BD0" w:rsidR="00AB4246" w:rsidRDefault="00AB4246" w:rsidP="00AB4246">
      <w:pPr>
        <w:snapToGrid w:val="0"/>
        <w:spacing w:before="0" w:after="0"/>
        <w:ind w:left="567"/>
        <w:jc w:val="both"/>
        <w:rPr>
          <w:snapToGrid/>
        </w:rPr>
      </w:pPr>
      <w:r w:rsidRPr="00AB4246">
        <w:rPr>
          <w:rFonts w:ascii="Times New Roman" w:hAnsi="Times New Roman"/>
          <w:snapToGrid/>
          <w:sz w:val="22"/>
          <w:szCs w:val="22"/>
        </w:rPr>
        <w:t xml:space="preserve">E-mail: </w:t>
      </w:r>
      <w:hyperlink r:id="rId11" w:history="1">
        <w:r w:rsidRPr="00AB4246">
          <w:rPr>
            <w:rFonts w:ascii="Times New Roman" w:hAnsi="Times New Roman"/>
            <w:snapToGrid/>
            <w:color w:val="0000FF"/>
            <w:sz w:val="22"/>
            <w:szCs w:val="22"/>
            <w:u w:val="single"/>
          </w:rPr>
          <w:t>olga.gherman@adm.utm.md</w:t>
        </w:r>
      </w:hyperlink>
    </w:p>
    <w:p w14:paraId="22527034" w14:textId="08E8290D" w:rsidR="00AB4246" w:rsidRPr="00AB4246" w:rsidRDefault="00AB4246" w:rsidP="00AB4246">
      <w:pPr>
        <w:snapToGrid w:val="0"/>
        <w:spacing w:before="0" w:after="0"/>
        <w:ind w:left="567"/>
        <w:jc w:val="both"/>
        <w:rPr>
          <w:rFonts w:ascii="Times New Roman" w:hAnsi="Times New Roman"/>
          <w:snapToGrid/>
          <w:sz w:val="22"/>
          <w:szCs w:val="22"/>
        </w:rPr>
      </w:pPr>
      <w:r>
        <w:rPr>
          <w:rFonts w:ascii="Times New Roman" w:hAnsi="Times New Roman"/>
          <w:snapToGrid/>
          <w:sz w:val="22"/>
          <w:szCs w:val="22"/>
        </w:rPr>
        <w:t>Mobile number: +373 78 66 23 02</w:t>
      </w:r>
    </w:p>
    <w:p w14:paraId="246CC841" w14:textId="77777777" w:rsidR="0060474E" w:rsidRDefault="0060474E" w:rsidP="004F7A0E">
      <w:pPr>
        <w:ind w:left="1134" w:hanging="567"/>
        <w:rPr>
          <w:rFonts w:ascii="Times New Roman" w:hAnsi="Times New Roman"/>
          <w:sz w:val="22"/>
          <w:szCs w:val="22"/>
        </w:rPr>
      </w:pPr>
    </w:p>
    <w:p w14:paraId="402D9C62" w14:textId="47D5C5B0"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0D5433B" w14:textId="77777777"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5BE89E02"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Pr="006E67AA">
        <w:rPr>
          <w:rFonts w:ascii="Times New Roman" w:hAnsi="Times New Roman"/>
          <w:sz w:val="22"/>
          <w:szCs w:val="22"/>
        </w:rPr>
        <w:t xml:space="preserve">The activities must comply with the rules lay down in the Communication and Visibility Manual for EU External Actions published </w:t>
      </w:r>
      <w:r w:rsidR="00FD659C" w:rsidRPr="006E67AA">
        <w:rPr>
          <w:rFonts w:ascii="Times New Roman" w:hAnsi="Times New Roman"/>
          <w:sz w:val="22"/>
          <w:szCs w:val="22"/>
        </w:rPr>
        <w:t xml:space="preserve">on the  </w:t>
      </w:r>
      <w:r w:rsidR="00F72977" w:rsidRPr="006E67AA">
        <w:rPr>
          <w:rFonts w:ascii="Times New Roman" w:hAnsi="Times New Roman"/>
          <w:sz w:val="22"/>
          <w:szCs w:val="22"/>
        </w:rPr>
        <w:t>w</w:t>
      </w:r>
      <w:r w:rsidR="00FD659C" w:rsidRPr="006E67AA">
        <w:rPr>
          <w:rFonts w:ascii="Times New Roman" w:hAnsi="Times New Roman"/>
          <w:sz w:val="22"/>
          <w:szCs w:val="22"/>
        </w:rPr>
        <w:t>ebsite</w:t>
      </w:r>
      <w:r w:rsidR="00F72977" w:rsidRPr="006E67AA">
        <w:rPr>
          <w:rFonts w:ascii="Times New Roman" w:hAnsi="Times New Roman"/>
          <w:sz w:val="22"/>
          <w:szCs w:val="22"/>
        </w:rPr>
        <w:t xml:space="preserve"> of DG International </w:t>
      </w:r>
      <w:r w:rsidR="00AA3AAB" w:rsidRPr="006E67AA">
        <w:rPr>
          <w:rFonts w:ascii="Times New Roman" w:hAnsi="Times New Roman"/>
          <w:sz w:val="22"/>
          <w:szCs w:val="22"/>
        </w:rPr>
        <w:t>Partnerships</w:t>
      </w:r>
      <w:r w:rsidR="00FD659C" w:rsidRPr="006E67AA">
        <w:rPr>
          <w:rFonts w:ascii="Times New Roman" w:hAnsi="Times New Roman"/>
          <w:sz w:val="22"/>
          <w:szCs w:val="22"/>
        </w:rPr>
        <w:t>:</w:t>
      </w:r>
      <w:r w:rsidR="003D6B6C" w:rsidRPr="006E67AA">
        <w:rPr>
          <w:rFonts w:ascii="Times New Roman" w:hAnsi="Times New Roman"/>
          <w:sz w:val="22"/>
          <w:szCs w:val="22"/>
        </w:rPr>
        <w:t xml:space="preserve"> </w:t>
      </w:r>
      <w:hyperlink r:id="rId12"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r w:rsidRPr="009C738A">
        <w:rPr>
          <w:rFonts w:ascii="Times New Roman" w:hAnsi="Times New Roman"/>
          <w:sz w:val="22"/>
          <w:szCs w:val="22"/>
        </w:rPr>
        <w:t>.&gt;</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3"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3"/>
    </w:p>
    <w:p w14:paraId="74EACF82" w14:textId="4462869E" w:rsidR="009679FA" w:rsidRDefault="0047783A" w:rsidP="00D50FCB">
      <w:pPr>
        <w:pStyle w:val="Heading2"/>
        <w:keepNext w:val="0"/>
        <w:numPr>
          <w:ilvl w:val="1"/>
          <w:numId w:val="0"/>
        </w:numPr>
        <w:ind w:left="1134" w:hanging="708"/>
        <w:jc w:val="both"/>
        <w:rPr>
          <w:rFonts w:ascii="Times New Roman" w:hAnsi="Times New Roman"/>
          <w:sz w:val="22"/>
          <w:szCs w:val="22"/>
          <w:lang w:val="en-IE"/>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9679FA" w:rsidRPr="00A7016F">
        <w:rPr>
          <w:rFonts w:ascii="Times New Roman" w:hAnsi="Times New Roman"/>
          <w:sz w:val="22"/>
          <w:szCs w:val="22"/>
          <w:lang w:val="en-IE"/>
        </w:rPr>
        <w:t xml:space="preserve">All goods purchased can originate </w:t>
      </w:r>
      <w:r w:rsidR="006C3263">
        <w:rPr>
          <w:rFonts w:ascii="Times New Roman" w:hAnsi="Times New Roman"/>
          <w:sz w:val="22"/>
          <w:szCs w:val="22"/>
          <w:lang w:val="en-IE"/>
        </w:rPr>
        <w:t>i</w:t>
      </w:r>
      <w:r w:rsidR="0039277B">
        <w:rPr>
          <w:rFonts w:ascii="Times New Roman" w:hAnsi="Times New Roman"/>
          <w:sz w:val="22"/>
          <w:szCs w:val="22"/>
          <w:lang w:val="en-IE"/>
        </w:rPr>
        <w:t xml:space="preserve">n </w:t>
      </w:r>
      <w:r w:rsidR="009679FA" w:rsidRPr="00A7016F">
        <w:rPr>
          <w:rFonts w:ascii="Times New Roman" w:hAnsi="Times New Roman"/>
          <w:sz w:val="22"/>
          <w:szCs w:val="22"/>
          <w:lang w:val="en-IE"/>
        </w:rPr>
        <w:t>any country.</w:t>
      </w:r>
    </w:p>
    <w:p w14:paraId="12D3425A" w14:textId="5AA4DBF6" w:rsidR="00725DC7" w:rsidRDefault="00725DC7" w:rsidP="00725DC7">
      <w:pPr>
        <w:rPr>
          <w:lang w:val="en-IE"/>
        </w:rPr>
      </w:pPr>
    </w:p>
    <w:p w14:paraId="01974935" w14:textId="77777777" w:rsidR="00725DC7" w:rsidRPr="00725DC7" w:rsidRDefault="00725DC7" w:rsidP="00725DC7">
      <w:pPr>
        <w:rPr>
          <w:lang w:val="en-IE"/>
        </w:rPr>
      </w:pP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4" w:name="_Toc124934901"/>
      <w:r w:rsidRPr="003D6B6C">
        <w:rPr>
          <w:rFonts w:ascii="Times New Roman" w:hAnsi="Times New Roman"/>
          <w:b/>
          <w:sz w:val="24"/>
          <w:szCs w:val="24"/>
        </w:rPr>
        <w:lastRenderedPageBreak/>
        <w:t>Article 11</w:t>
      </w:r>
      <w:r w:rsidRPr="003D6B6C">
        <w:rPr>
          <w:rFonts w:ascii="Times New Roman" w:hAnsi="Times New Roman"/>
          <w:b/>
          <w:sz w:val="24"/>
          <w:szCs w:val="24"/>
        </w:rPr>
        <w:tab/>
        <w:t>Performance guarantee</w:t>
      </w:r>
      <w:bookmarkEnd w:id="4"/>
    </w:p>
    <w:p w14:paraId="20BFEFF7" w14:textId="4E7A3BFE" w:rsidR="00D25711" w:rsidRPr="003D6B6C" w:rsidRDefault="00F355C1" w:rsidP="00871F4C">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725DC7">
        <w:rPr>
          <w:rFonts w:ascii="Times New Roman" w:hAnsi="Times New Roman"/>
          <w:sz w:val="22"/>
          <w:szCs w:val="22"/>
        </w:rPr>
        <w:t>No performance guarantee is required</w:t>
      </w:r>
      <w:r w:rsidR="00725DC7" w:rsidRPr="00725DC7">
        <w:rPr>
          <w:rFonts w:ascii="Times New Roman" w:hAnsi="Times New Roman"/>
          <w:sz w:val="22"/>
          <w:szCs w:val="22"/>
        </w:rPr>
        <w:t>.</w:t>
      </w:r>
    </w:p>
    <w:p w14:paraId="674BFA44"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5"/>
      <w:r w:rsidR="0086688D" w:rsidRPr="003D6B6C">
        <w:rPr>
          <w:rFonts w:ascii="Times New Roman" w:hAnsi="Times New Roman"/>
          <w:b/>
          <w:sz w:val="24"/>
          <w:szCs w:val="24"/>
        </w:rPr>
        <w:t>Programme of implementation of tasks</w:t>
      </w:r>
    </w:p>
    <w:p w14:paraId="68CCF8F0" w14:textId="0942CC2E"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3E7C99" w:rsidRPr="003E7C99">
        <w:rPr>
          <w:rFonts w:ascii="Times New Roman" w:hAnsi="Times New Roman"/>
          <w:sz w:val="22"/>
          <w:szCs w:val="22"/>
        </w:rPr>
        <w:t>The start date for implementation shall be the date of signature of the contract by both parties.</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2F8BD640" w14:textId="77777777" w:rsidR="00C12894" w:rsidRPr="00C12894" w:rsidRDefault="00C52305" w:rsidP="00C12894">
      <w:pPr>
        <w:ind w:left="1134" w:hanging="709"/>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C12894" w:rsidRPr="00C12894">
        <w:rPr>
          <w:rFonts w:ascii="Times New Roman" w:hAnsi="Times New Roman"/>
          <w:sz w:val="22"/>
          <w:szCs w:val="22"/>
        </w:rPr>
        <w:t xml:space="preserve">The applicable tax and customs arrangements are the following: </w:t>
      </w:r>
    </w:p>
    <w:p w14:paraId="22A733F6" w14:textId="77777777" w:rsidR="00C12894" w:rsidRPr="00C12894" w:rsidRDefault="00C12894" w:rsidP="0076133A">
      <w:pPr>
        <w:numPr>
          <w:ilvl w:val="0"/>
          <w:numId w:val="25"/>
        </w:numPr>
        <w:ind w:left="1134" w:firstLine="0"/>
        <w:jc w:val="both"/>
        <w:rPr>
          <w:rFonts w:ascii="Times New Roman" w:hAnsi="Times New Roman"/>
          <w:sz w:val="22"/>
          <w:szCs w:val="22"/>
        </w:rPr>
      </w:pPr>
      <w:r w:rsidRPr="00C12894">
        <w:rPr>
          <w:rFonts w:ascii="Times New Roman" w:hAnsi="Times New Roman"/>
          <w:sz w:val="22"/>
          <w:szCs w:val="22"/>
          <w:lang w:val="fr-BE"/>
        </w:rPr>
        <w:t>The European Commission and the Republic of Moldova have agreed, according to the Annex No. 1 of  the Government Decision no. 246 of 08.04.2010, to allow full exemption from the following taxes : VAT and customs duties.</w:t>
      </w:r>
    </w:p>
    <w:p w14:paraId="48D154D1" w14:textId="77777777" w:rsidR="001D42B2" w:rsidRDefault="001D42B2" w:rsidP="001D42B2">
      <w:pPr>
        <w:spacing w:before="240"/>
        <w:ind w:left="1134" w:hanging="1134"/>
        <w:jc w:val="both"/>
        <w:rPr>
          <w:rFonts w:ascii="Times New Roman" w:hAnsi="Times New Roman"/>
          <w:b/>
          <w:snapToGrid/>
          <w:sz w:val="24"/>
          <w:szCs w:val="24"/>
        </w:rPr>
      </w:pPr>
      <w:bookmarkStart w:id="6" w:name="_Toc124934908"/>
      <w:bookmarkStart w:id="7" w:name="_Toc124934907"/>
      <w:r>
        <w:rPr>
          <w:rFonts w:ascii="Times New Roman" w:hAnsi="Times New Roman"/>
          <w:b/>
          <w:sz w:val="24"/>
          <w:szCs w:val="24"/>
        </w:rPr>
        <w:t>Article 18</w:t>
      </w:r>
      <w:r>
        <w:rPr>
          <w:rFonts w:ascii="Times New Roman" w:hAnsi="Times New Roman"/>
          <w:b/>
          <w:sz w:val="24"/>
          <w:szCs w:val="24"/>
        </w:rPr>
        <w:tab/>
        <w:t>Commencement order</w:t>
      </w:r>
      <w:bookmarkEnd w:id="7"/>
      <w:r>
        <w:rPr>
          <w:rFonts w:ascii="Times New Roman" w:hAnsi="Times New Roman"/>
          <w:b/>
          <w:sz w:val="24"/>
          <w:szCs w:val="24"/>
        </w:rPr>
        <w:t xml:space="preserve"> </w:t>
      </w:r>
    </w:p>
    <w:p w14:paraId="21AFB277" w14:textId="77777777" w:rsidR="001D42B2" w:rsidRDefault="001D42B2" w:rsidP="001D42B2">
      <w:pPr>
        <w:ind w:left="1134" w:hanging="709"/>
        <w:jc w:val="both"/>
        <w:rPr>
          <w:rFonts w:ascii="Times New Roman" w:hAnsi="Times New Roman"/>
          <w:sz w:val="22"/>
          <w:szCs w:val="22"/>
        </w:rPr>
      </w:pPr>
      <w:r>
        <w:rPr>
          <w:rFonts w:ascii="Times New Roman" w:hAnsi="Times New Roman"/>
          <w:sz w:val="22"/>
          <w:szCs w:val="22"/>
        </w:rPr>
        <w:t>18.1</w:t>
      </w:r>
      <w:r>
        <w:rPr>
          <w:rFonts w:ascii="Times New Roman" w:hAnsi="Times New Roman"/>
          <w:b/>
          <w:sz w:val="22"/>
          <w:szCs w:val="22"/>
        </w:rPr>
        <w:tab/>
      </w:r>
      <w:r>
        <w:rPr>
          <w:rFonts w:ascii="Times New Roman" w:hAnsi="Times New Roman"/>
          <w:sz w:val="22"/>
          <w:szCs w:val="22"/>
        </w:rPr>
        <w:t>The supply contract shall enter into force from the date of signature from both sides.</w:t>
      </w:r>
    </w:p>
    <w:p w14:paraId="40415148" w14:textId="430065F1"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6"/>
      <w:r w:rsidRPr="003D6B6C">
        <w:rPr>
          <w:rFonts w:ascii="Times New Roman" w:hAnsi="Times New Roman"/>
          <w:b/>
          <w:sz w:val="24"/>
          <w:szCs w:val="24"/>
        </w:rPr>
        <w:t xml:space="preserve"> of the tasks</w:t>
      </w:r>
    </w:p>
    <w:p w14:paraId="24D80EC0" w14:textId="3C552D38"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0E268E" w:rsidRPr="000E268E">
        <w:rPr>
          <w:rFonts w:ascii="Times New Roman" w:hAnsi="Times New Roman"/>
          <w:sz w:val="22"/>
          <w:szCs w:val="22"/>
        </w:rPr>
        <w:t xml:space="preserve">The implementation period of the </w:t>
      </w:r>
      <w:r w:rsidR="000E268E" w:rsidRPr="0047091A">
        <w:rPr>
          <w:rFonts w:ascii="Times New Roman" w:hAnsi="Times New Roman"/>
          <w:sz w:val="22"/>
          <w:szCs w:val="22"/>
        </w:rPr>
        <w:t xml:space="preserve">task </w:t>
      </w:r>
      <w:r w:rsidR="001D42B2">
        <w:rPr>
          <w:rFonts w:ascii="Times New Roman" w:hAnsi="Times New Roman"/>
          <w:sz w:val="22"/>
          <w:szCs w:val="22"/>
        </w:rPr>
        <w:t xml:space="preserve">should shall not exceed </w:t>
      </w:r>
      <w:r w:rsidR="00C74CC4">
        <w:rPr>
          <w:rFonts w:ascii="Times New Roman" w:hAnsi="Times New Roman"/>
          <w:sz w:val="22"/>
          <w:szCs w:val="22"/>
        </w:rPr>
        <w:t>3</w:t>
      </w:r>
      <w:r w:rsidR="000E268E" w:rsidRPr="0047091A">
        <w:rPr>
          <w:rFonts w:ascii="Times New Roman" w:hAnsi="Times New Roman"/>
          <w:sz w:val="22"/>
          <w:szCs w:val="22"/>
        </w:rPr>
        <w:t>0</w:t>
      </w:r>
      <w:r w:rsidR="001D42B2">
        <w:rPr>
          <w:rFonts w:ascii="Times New Roman" w:hAnsi="Times New Roman"/>
          <w:sz w:val="22"/>
          <w:szCs w:val="22"/>
        </w:rPr>
        <w:t xml:space="preserve"> (thirty) calendar</w:t>
      </w:r>
      <w:r w:rsidR="000E268E" w:rsidRPr="0047091A">
        <w:rPr>
          <w:rFonts w:ascii="Times New Roman" w:hAnsi="Times New Roman"/>
          <w:sz w:val="22"/>
          <w:szCs w:val="22"/>
        </w:rPr>
        <w:t xml:space="preserve"> days from</w:t>
      </w:r>
      <w:r w:rsidR="000E268E" w:rsidRPr="000E268E">
        <w:rPr>
          <w:rFonts w:ascii="Times New Roman" w:hAnsi="Times New Roman"/>
          <w:sz w:val="22"/>
          <w:szCs w:val="22"/>
        </w:rPr>
        <w:t xml:space="preserve"> the </w:t>
      </w:r>
      <w:r w:rsidR="001D42B2">
        <w:rPr>
          <w:rFonts w:ascii="Times New Roman" w:hAnsi="Times New Roman"/>
          <w:sz w:val="22"/>
          <w:szCs w:val="22"/>
        </w:rPr>
        <w:t>commencement date.</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8"/>
    </w:p>
    <w:p w14:paraId="0506BF5F" w14:textId="581BDD0D"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B10DB1" w:rsidRPr="00B10DB1">
        <w:rPr>
          <w:rFonts w:ascii="Times New Roman" w:hAnsi="Times New Roman"/>
          <w:sz w:val="22"/>
          <w:szCs w:val="22"/>
        </w:rPr>
        <w:t>In case the quality or quantity of supplies will be supplied in unsatisfactory conditions/quality the Contacting Authority reserves the right to reduce the total amount of the contract by the amount of such goods supplied in the insufficient quantity and/or unsatisfactory quality</w:t>
      </w:r>
      <w:r w:rsidR="00B10DB1">
        <w:rPr>
          <w:rFonts w:ascii="Times New Roman" w:hAnsi="Times New Roman"/>
          <w:sz w:val="22"/>
          <w:szCs w:val="22"/>
        </w:rPr>
        <w:t>.</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9"/>
    </w:p>
    <w:p w14:paraId="64178ACF" w14:textId="5CF9551C" w:rsidR="0047783A" w:rsidRPr="003D6B6C" w:rsidRDefault="005B0129" w:rsidP="005D03AA">
      <w:pPr>
        <w:ind w:left="1134" w:hanging="709"/>
        <w:jc w:val="both"/>
        <w:rPr>
          <w:rFonts w:ascii="Times New Roman" w:hAnsi="Times New Roman"/>
          <w:b/>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B439E0" w:rsidRPr="00B439E0">
        <w:rPr>
          <w:rFonts w:ascii="Times New Roman" w:hAnsi="Times New Roman"/>
          <w:bCs/>
          <w:sz w:val="22"/>
          <w:szCs w:val="22"/>
        </w:rPr>
        <w:t>The goods will be inspected and tested at the Contracting Authority premises</w:t>
      </w:r>
      <w:r w:rsidR="00B439E0">
        <w:rPr>
          <w:rFonts w:ascii="Times New Roman" w:hAnsi="Times New Roman"/>
          <w:bCs/>
          <w:sz w:val="22"/>
          <w:szCs w:val="22"/>
        </w:rPr>
        <w:t>.</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0"/>
      <w:r w:rsidR="005B0129" w:rsidRPr="003D6B6C">
        <w:rPr>
          <w:rFonts w:ascii="Times New Roman" w:hAnsi="Times New Roman"/>
          <w:b/>
          <w:sz w:val="24"/>
          <w:szCs w:val="24"/>
        </w:rPr>
        <w:t>General principles for payments</w:t>
      </w:r>
    </w:p>
    <w:p w14:paraId="1385CD81" w14:textId="52382CDD" w:rsidR="00275E10" w:rsidRPr="00275E10" w:rsidRDefault="0047783A" w:rsidP="00275E10">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275E10" w:rsidRPr="00275E10">
        <w:rPr>
          <w:rFonts w:ascii="Times New Roman" w:hAnsi="Times New Roman"/>
          <w:sz w:val="22"/>
          <w:szCs w:val="22"/>
        </w:rPr>
        <w:t xml:space="preserve">Payments shall be made in </w:t>
      </w:r>
      <w:r w:rsidR="00CE28C6">
        <w:rPr>
          <w:rFonts w:ascii="Times New Roman" w:hAnsi="Times New Roman"/>
          <w:sz w:val="22"/>
          <w:szCs w:val="22"/>
        </w:rPr>
        <w:t xml:space="preserve">EUR or </w:t>
      </w:r>
      <w:r w:rsidR="00275E10" w:rsidRPr="00275E10">
        <w:rPr>
          <w:rFonts w:ascii="Times New Roman" w:hAnsi="Times New Roman"/>
          <w:sz w:val="22"/>
          <w:szCs w:val="22"/>
        </w:rPr>
        <w:t>national currency in accordance with Articles 20.6 and 29.4 of the general conditions into the bank account notified by the contractor to the contracting authority (Annex V, Financial Identification Form).</w:t>
      </w:r>
    </w:p>
    <w:p w14:paraId="0F299858" w14:textId="149F370E" w:rsidR="00275E10" w:rsidRPr="00275E10" w:rsidRDefault="00275E10" w:rsidP="00275E10">
      <w:pPr>
        <w:tabs>
          <w:tab w:val="right" w:pos="9885"/>
        </w:tabs>
        <w:ind w:left="1134"/>
        <w:jc w:val="both"/>
        <w:rPr>
          <w:rFonts w:ascii="Times New Roman" w:hAnsi="Times New Roman"/>
          <w:sz w:val="22"/>
          <w:szCs w:val="22"/>
        </w:rPr>
      </w:pPr>
      <w:r w:rsidRPr="00275E10">
        <w:rPr>
          <w:rFonts w:ascii="Times New Roman" w:hAnsi="Times New Roman"/>
          <w:sz w:val="22"/>
          <w:szCs w:val="22"/>
        </w:rPr>
        <w:t xml:space="preserve">The payment will be made upon the receipt of Commercial invoice, dully signed Certifying document of handing over the goods (Act of Acceptance), which are mentioned in the Technical Specifications (Annex II to the Contract) and Tax Invoice (converted at the official exchange rate of the National Bank of Moldova at the date of goods shipment) within 5 working days. </w:t>
      </w:r>
    </w:p>
    <w:p w14:paraId="05D86986" w14:textId="08AB6DE3" w:rsidR="0047783A" w:rsidRPr="003D6B6C" w:rsidRDefault="00C70E2C" w:rsidP="005D03AA">
      <w:pPr>
        <w:tabs>
          <w:tab w:val="right" w:pos="9885"/>
        </w:tabs>
        <w:ind w:left="1134"/>
        <w:jc w:val="both"/>
        <w:rPr>
          <w:rFonts w:ascii="Times New Roman" w:hAnsi="Times New Roman"/>
          <w:sz w:val="22"/>
          <w:szCs w:val="22"/>
        </w:rPr>
      </w:pPr>
      <w:r w:rsidRPr="000E2FD5">
        <w:rPr>
          <w:rFonts w:ascii="Times New Roman" w:hAnsi="Times New Roman"/>
          <w:sz w:val="22"/>
          <w:szCs w:val="22"/>
        </w:rPr>
        <w:t>Pre-financing is not applicable to this contract</w:t>
      </w:r>
      <w:r w:rsidR="000E2FD5" w:rsidRPr="000E2FD5">
        <w:rPr>
          <w:rFonts w:ascii="Times New Roman" w:hAnsi="Times New Roman"/>
          <w:sz w:val="22"/>
          <w:szCs w:val="22"/>
        </w:rPr>
        <w:t>.</w:t>
      </w:r>
    </w:p>
    <w:p w14:paraId="53F35545" w14:textId="77777777" w:rsidR="00407C90" w:rsidRPr="009557A7" w:rsidRDefault="00407C90" w:rsidP="00407C90">
      <w:pPr>
        <w:keepNext/>
        <w:keepLines/>
        <w:tabs>
          <w:tab w:val="left" w:pos="1134"/>
        </w:tabs>
        <w:spacing w:before="240"/>
        <w:ind w:left="1134" w:hanging="1134"/>
        <w:rPr>
          <w:rFonts w:ascii="Times New Roman" w:hAnsi="Times New Roman"/>
          <w:b/>
          <w:sz w:val="24"/>
          <w:szCs w:val="24"/>
        </w:rPr>
      </w:pPr>
      <w:bookmarkStart w:id="11" w:name="_GoBack"/>
      <w:bookmarkEnd w:id="11"/>
      <w:r w:rsidRPr="009557A7">
        <w:rPr>
          <w:rFonts w:ascii="Times New Roman" w:hAnsi="Times New Roman"/>
          <w:b/>
          <w:sz w:val="24"/>
          <w:szCs w:val="24"/>
        </w:rPr>
        <w:lastRenderedPageBreak/>
        <w:t>Article 44</w:t>
      </w:r>
      <w:r w:rsidRPr="009557A7">
        <w:rPr>
          <w:rFonts w:ascii="Times New Roman" w:hAnsi="Times New Roman"/>
          <w:b/>
          <w:sz w:val="24"/>
          <w:szCs w:val="24"/>
        </w:rPr>
        <w:tab/>
        <w:t xml:space="preserve">Data </w:t>
      </w:r>
      <w:r w:rsidR="00686E07" w:rsidRPr="009557A7">
        <w:rPr>
          <w:rFonts w:ascii="Times New Roman" w:hAnsi="Times New Roman"/>
          <w:b/>
          <w:sz w:val="24"/>
          <w:szCs w:val="24"/>
        </w:rPr>
        <w:t>p</w:t>
      </w:r>
      <w:r w:rsidRPr="009557A7">
        <w:rPr>
          <w:rFonts w:ascii="Times New Roman" w:hAnsi="Times New Roman"/>
          <w:b/>
          <w:sz w:val="24"/>
          <w:szCs w:val="24"/>
        </w:rPr>
        <w:t>rotection</w:t>
      </w:r>
    </w:p>
    <w:p w14:paraId="5F3FDACE" w14:textId="064AAF12" w:rsidR="009F7E6A" w:rsidRPr="009557A7" w:rsidRDefault="002B5E97" w:rsidP="002B5E97">
      <w:pPr>
        <w:ind w:left="1134" w:hanging="708"/>
        <w:jc w:val="both"/>
        <w:rPr>
          <w:rFonts w:ascii="Times New Roman" w:hAnsi="Times New Roman"/>
          <w:sz w:val="22"/>
          <w:szCs w:val="22"/>
        </w:rPr>
      </w:pPr>
      <w:r w:rsidRPr="009557A7">
        <w:rPr>
          <w:rFonts w:ascii="Times New Roman" w:hAnsi="Times New Roman"/>
          <w:sz w:val="22"/>
          <w:szCs w:val="22"/>
        </w:rPr>
        <w:t>44.</w:t>
      </w:r>
      <w:r w:rsidR="009F7E6A" w:rsidRPr="009557A7">
        <w:rPr>
          <w:rFonts w:ascii="Times New Roman" w:hAnsi="Times New Roman"/>
          <w:sz w:val="22"/>
          <w:szCs w:val="22"/>
        </w:rPr>
        <w:t>1.</w:t>
      </w:r>
      <w:r w:rsidRPr="009557A7">
        <w:rPr>
          <w:rFonts w:ascii="Times New Roman" w:hAnsi="Times New Roman"/>
          <w:sz w:val="22"/>
          <w:szCs w:val="22"/>
        </w:rPr>
        <w:tab/>
      </w:r>
      <w:r w:rsidR="009F7E6A" w:rsidRPr="009557A7">
        <w:rPr>
          <w:rFonts w:ascii="Times New Roman" w:hAnsi="Times New Roman"/>
          <w:sz w:val="22"/>
          <w:szCs w:val="22"/>
        </w:rPr>
        <w:t>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26A97415" w:rsidR="009F7E6A" w:rsidRPr="00F4288C" w:rsidRDefault="002B5E97" w:rsidP="002B5E97">
      <w:pPr>
        <w:ind w:left="1134" w:hanging="708"/>
        <w:jc w:val="both"/>
        <w:rPr>
          <w:rFonts w:ascii="Times New Roman" w:hAnsi="Times New Roman"/>
          <w:sz w:val="22"/>
          <w:szCs w:val="22"/>
          <w:u w:val="single"/>
        </w:rPr>
      </w:pPr>
      <w:r w:rsidRPr="009557A7">
        <w:rPr>
          <w:rFonts w:ascii="Times New Roman" w:hAnsi="Times New Roman"/>
          <w:sz w:val="22"/>
          <w:szCs w:val="22"/>
        </w:rPr>
        <w:t>44.</w:t>
      </w:r>
      <w:r w:rsidR="009F7E6A" w:rsidRPr="009557A7">
        <w:rPr>
          <w:rFonts w:ascii="Times New Roman" w:hAnsi="Times New Roman"/>
          <w:sz w:val="22"/>
          <w:szCs w:val="22"/>
        </w:rPr>
        <w:t>2.</w:t>
      </w:r>
      <w:r w:rsidRPr="009557A7">
        <w:rPr>
          <w:rFonts w:ascii="Times New Roman" w:hAnsi="Times New Roman"/>
          <w:sz w:val="22"/>
          <w:szCs w:val="22"/>
        </w:rPr>
        <w:tab/>
      </w:r>
      <w:r w:rsidR="009F7E6A" w:rsidRPr="009557A7">
        <w:rPr>
          <w:rFonts w:ascii="Times New Roman" w:hAnsi="Times New Roman"/>
          <w:sz w:val="22"/>
          <w:szCs w:val="22"/>
        </w:rPr>
        <w:t xml:space="preserve">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w:t>
      </w:r>
      <w:r w:rsidR="00983FDE" w:rsidRPr="009557A7">
        <w:rPr>
          <w:rFonts w:ascii="Times New Roman" w:hAnsi="Times New Roman"/>
          <w:sz w:val="22"/>
          <w:szCs w:val="22"/>
        </w:rPr>
        <w:t>personnel</w:t>
      </w:r>
      <w:r w:rsidR="009F7E6A" w:rsidRPr="009557A7">
        <w:rPr>
          <w:rFonts w:ascii="Times New Roman" w:hAnsi="Times New Roman"/>
          <w:sz w:val="22"/>
          <w:szCs w:val="22"/>
        </w:rPr>
        <w:t>,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009F7E6A" w:rsidRPr="009557A7">
        <w:rPr>
          <w:rStyle w:val="FootnoteReference"/>
          <w:rFonts w:ascii="Times New Roman" w:hAnsi="Times New Roman"/>
          <w:sz w:val="22"/>
          <w:szCs w:val="22"/>
        </w:rPr>
        <w:footnoteReference w:id="1"/>
      </w:r>
      <w:r w:rsidR="009F7E6A" w:rsidRPr="009557A7">
        <w:rPr>
          <w:rFonts w:ascii="Times New Roman" w:hAnsi="Times New Roman"/>
          <w:sz w:val="22"/>
          <w:szCs w:val="22"/>
        </w:rPr>
        <w:t xml:space="preserve"> and as detailed in the specific privacy statement published at ePRAG.</w:t>
      </w:r>
      <w:r w:rsidR="009F7E6A" w:rsidRPr="009557A7">
        <w:rPr>
          <w:rFonts w:ascii="Times New Roman" w:hAnsi="Times New Roman"/>
          <w:sz w:val="22"/>
          <w:szCs w:val="22"/>
          <w:u w:val="single"/>
        </w:rPr>
        <w:t>]</w:t>
      </w:r>
    </w:p>
    <w:p w14:paraId="016C5FE5" w14:textId="45B5FD56" w:rsidR="001B55AC" w:rsidRPr="003D6B6C" w:rsidRDefault="001B55AC" w:rsidP="005227F8">
      <w:pPr>
        <w:pStyle w:val="ListNumber"/>
        <w:numPr>
          <w:ilvl w:val="0"/>
          <w:numId w:val="0"/>
        </w:numPr>
        <w:spacing w:before="240"/>
        <w:ind w:left="1134" w:hanging="1134"/>
        <w:jc w:val="center"/>
        <w:rPr>
          <w:sz w:val="22"/>
          <w:szCs w:val="22"/>
        </w:rPr>
      </w:pPr>
      <w:r w:rsidRPr="003D6B6C">
        <w:rPr>
          <w:sz w:val="22"/>
          <w:szCs w:val="22"/>
        </w:rPr>
        <w:t>* * *</w:t>
      </w:r>
    </w:p>
    <w:sectPr w:rsidR="001B55AC" w:rsidRPr="003D6B6C" w:rsidSect="003D6B6C">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2D62" w14:textId="77777777" w:rsidR="00A4104F" w:rsidRPr="006A5F84" w:rsidRDefault="00A4104F">
      <w:r w:rsidRPr="006A5F84">
        <w:separator/>
      </w:r>
    </w:p>
  </w:endnote>
  <w:endnote w:type="continuationSeparator" w:id="0">
    <w:p w14:paraId="121F1AFC" w14:textId="77777777" w:rsidR="00A4104F" w:rsidRPr="006A5F84" w:rsidRDefault="00A4104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7742A910" w:rsidR="007E36E3" w:rsidRPr="00FE689C" w:rsidRDefault="004626B5"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4626B5">
      <w:rPr>
        <w:rFonts w:ascii="Times New Roman" w:hAnsi="Times New Roman"/>
        <w:b/>
        <w:sz w:val="18"/>
        <w:lang w:val="en-GB"/>
      </w:rPr>
      <w:t xml:space="preserve">December </w:t>
    </w:r>
    <w:r w:rsidR="00CA1E77">
      <w:rPr>
        <w:rFonts w:ascii="Times New Roman" w:hAnsi="Times New Roman"/>
        <w:b/>
        <w:sz w:val="18"/>
        <w:lang w:val="en-GB"/>
      </w:rPr>
      <w:t>2021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5C1654">
      <w:rPr>
        <w:rStyle w:val="PageNumber"/>
        <w:rFonts w:ascii="Times New Roman" w:hAnsi="Times New Roman"/>
        <w:noProof/>
        <w:sz w:val="18"/>
        <w:szCs w:val="18"/>
        <w:lang w:val="en-GB"/>
      </w:rPr>
      <w:t>3</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5C1654">
      <w:rPr>
        <w:rStyle w:val="PageNumber"/>
        <w:rFonts w:ascii="Times New Roman" w:hAnsi="Times New Roman"/>
        <w:noProof/>
        <w:sz w:val="18"/>
        <w:szCs w:val="18"/>
        <w:lang w:val="en-GB"/>
      </w:rPr>
      <w:t>3</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AE04" w14:textId="77777777" w:rsidR="00A4104F" w:rsidRPr="006A5F84" w:rsidRDefault="00A4104F">
      <w:r w:rsidRPr="006A5F84">
        <w:separator/>
      </w:r>
    </w:p>
  </w:footnote>
  <w:footnote w:type="continuationSeparator" w:id="0">
    <w:p w14:paraId="1C5E411D" w14:textId="77777777" w:rsidR="00A4104F" w:rsidRPr="006A5F84" w:rsidRDefault="00A4104F">
      <w:r w:rsidRPr="006A5F84">
        <w:continuationSeparator/>
      </w:r>
    </w:p>
  </w:footnote>
  <w:footnote w:id="1">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41A5" w14:textId="77777777" w:rsidR="00CA1E77" w:rsidRDefault="00CA1E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FD3B" w14:textId="77777777" w:rsidR="00CA1E77" w:rsidRDefault="00CA1E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ED22" w14:textId="77777777" w:rsidR="00CA1E77" w:rsidRDefault="00CA1E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116EFB"/>
    <w:multiLevelType w:val="hybridMultilevel"/>
    <w:tmpl w:val="D708E776"/>
    <w:lvl w:ilvl="0" w:tplc="5290D1E4">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 w:numId="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1548"/>
    <w:rsid w:val="000D24E3"/>
    <w:rsid w:val="000D2B44"/>
    <w:rsid w:val="000D40DB"/>
    <w:rsid w:val="000D7995"/>
    <w:rsid w:val="000E268E"/>
    <w:rsid w:val="000E2FD5"/>
    <w:rsid w:val="000E7B75"/>
    <w:rsid w:val="000E7BEA"/>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46D87"/>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96F90"/>
    <w:rsid w:val="001A6941"/>
    <w:rsid w:val="001A6C79"/>
    <w:rsid w:val="001B4DA9"/>
    <w:rsid w:val="001B5454"/>
    <w:rsid w:val="001B55AC"/>
    <w:rsid w:val="001C709F"/>
    <w:rsid w:val="001C75B0"/>
    <w:rsid w:val="001D0532"/>
    <w:rsid w:val="001D1EB9"/>
    <w:rsid w:val="001D20C7"/>
    <w:rsid w:val="001D339B"/>
    <w:rsid w:val="001D42B2"/>
    <w:rsid w:val="001E2362"/>
    <w:rsid w:val="001E4648"/>
    <w:rsid w:val="001F410B"/>
    <w:rsid w:val="001F5048"/>
    <w:rsid w:val="001F5421"/>
    <w:rsid w:val="00200A60"/>
    <w:rsid w:val="002012E1"/>
    <w:rsid w:val="002077B6"/>
    <w:rsid w:val="00211229"/>
    <w:rsid w:val="00211E0F"/>
    <w:rsid w:val="00216ADC"/>
    <w:rsid w:val="00216F0D"/>
    <w:rsid w:val="00217377"/>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5E10"/>
    <w:rsid w:val="00277BEB"/>
    <w:rsid w:val="0028364A"/>
    <w:rsid w:val="00283AC4"/>
    <w:rsid w:val="00290561"/>
    <w:rsid w:val="00294190"/>
    <w:rsid w:val="0029676B"/>
    <w:rsid w:val="00297C14"/>
    <w:rsid w:val="002A0041"/>
    <w:rsid w:val="002A651B"/>
    <w:rsid w:val="002A6DB8"/>
    <w:rsid w:val="002B5E97"/>
    <w:rsid w:val="002B6401"/>
    <w:rsid w:val="002C0038"/>
    <w:rsid w:val="002C649A"/>
    <w:rsid w:val="002C74BB"/>
    <w:rsid w:val="002D0CE1"/>
    <w:rsid w:val="002D1FCC"/>
    <w:rsid w:val="002D2D27"/>
    <w:rsid w:val="002D2FC0"/>
    <w:rsid w:val="002D34D3"/>
    <w:rsid w:val="002D6EED"/>
    <w:rsid w:val="002E5532"/>
    <w:rsid w:val="002F0BB0"/>
    <w:rsid w:val="002F1222"/>
    <w:rsid w:val="002F1F36"/>
    <w:rsid w:val="00322263"/>
    <w:rsid w:val="00324259"/>
    <w:rsid w:val="0032469B"/>
    <w:rsid w:val="003308C6"/>
    <w:rsid w:val="003316E3"/>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0893"/>
    <w:rsid w:val="003D2078"/>
    <w:rsid w:val="003D3CAA"/>
    <w:rsid w:val="003D625C"/>
    <w:rsid w:val="003D6B6C"/>
    <w:rsid w:val="003D7611"/>
    <w:rsid w:val="003E7C71"/>
    <w:rsid w:val="003E7C99"/>
    <w:rsid w:val="003F2FA4"/>
    <w:rsid w:val="003F3B51"/>
    <w:rsid w:val="003F5DFF"/>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26B5"/>
    <w:rsid w:val="00463E3C"/>
    <w:rsid w:val="0047091A"/>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227F8"/>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1654"/>
    <w:rsid w:val="005C36B8"/>
    <w:rsid w:val="005D0163"/>
    <w:rsid w:val="005D03AA"/>
    <w:rsid w:val="005D05B0"/>
    <w:rsid w:val="005D72F7"/>
    <w:rsid w:val="005F3C51"/>
    <w:rsid w:val="005F62D0"/>
    <w:rsid w:val="00602210"/>
    <w:rsid w:val="0060474E"/>
    <w:rsid w:val="006102E5"/>
    <w:rsid w:val="00611A73"/>
    <w:rsid w:val="006219A1"/>
    <w:rsid w:val="00623AB3"/>
    <w:rsid w:val="006311FE"/>
    <w:rsid w:val="0063123B"/>
    <w:rsid w:val="00631317"/>
    <w:rsid w:val="00633829"/>
    <w:rsid w:val="00636E8F"/>
    <w:rsid w:val="00637C8F"/>
    <w:rsid w:val="006408AC"/>
    <w:rsid w:val="00640D24"/>
    <w:rsid w:val="00642E75"/>
    <w:rsid w:val="00643397"/>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3263"/>
    <w:rsid w:val="006C513D"/>
    <w:rsid w:val="006D3BA1"/>
    <w:rsid w:val="006D3DE4"/>
    <w:rsid w:val="006D5CEE"/>
    <w:rsid w:val="006E5450"/>
    <w:rsid w:val="006E54F2"/>
    <w:rsid w:val="006E56FD"/>
    <w:rsid w:val="006E5B49"/>
    <w:rsid w:val="006E67AA"/>
    <w:rsid w:val="006E6880"/>
    <w:rsid w:val="006F43E5"/>
    <w:rsid w:val="006F596C"/>
    <w:rsid w:val="00703B91"/>
    <w:rsid w:val="00704477"/>
    <w:rsid w:val="00711C72"/>
    <w:rsid w:val="0071243A"/>
    <w:rsid w:val="00722016"/>
    <w:rsid w:val="00724C93"/>
    <w:rsid w:val="00724D0C"/>
    <w:rsid w:val="00725082"/>
    <w:rsid w:val="00725DC7"/>
    <w:rsid w:val="0073450F"/>
    <w:rsid w:val="007520CA"/>
    <w:rsid w:val="0075384B"/>
    <w:rsid w:val="007552DC"/>
    <w:rsid w:val="00760195"/>
    <w:rsid w:val="0076133A"/>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645E"/>
    <w:rsid w:val="008272ED"/>
    <w:rsid w:val="00830BE9"/>
    <w:rsid w:val="00833EBD"/>
    <w:rsid w:val="008413B3"/>
    <w:rsid w:val="008428B9"/>
    <w:rsid w:val="00853F9D"/>
    <w:rsid w:val="00855409"/>
    <w:rsid w:val="0085667F"/>
    <w:rsid w:val="008617F3"/>
    <w:rsid w:val="0086688D"/>
    <w:rsid w:val="00866B17"/>
    <w:rsid w:val="00870FD6"/>
    <w:rsid w:val="00871F4C"/>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C6A92"/>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557A7"/>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C738A"/>
    <w:rsid w:val="009D2938"/>
    <w:rsid w:val="009D6A3D"/>
    <w:rsid w:val="009E4F6E"/>
    <w:rsid w:val="009E6BB7"/>
    <w:rsid w:val="009F22C3"/>
    <w:rsid w:val="009F3126"/>
    <w:rsid w:val="009F7E6A"/>
    <w:rsid w:val="00A039CA"/>
    <w:rsid w:val="00A04004"/>
    <w:rsid w:val="00A11551"/>
    <w:rsid w:val="00A11F12"/>
    <w:rsid w:val="00A1746F"/>
    <w:rsid w:val="00A2645C"/>
    <w:rsid w:val="00A4104F"/>
    <w:rsid w:val="00A41B28"/>
    <w:rsid w:val="00A5099A"/>
    <w:rsid w:val="00A50BCA"/>
    <w:rsid w:val="00A512A5"/>
    <w:rsid w:val="00A512C9"/>
    <w:rsid w:val="00A539E4"/>
    <w:rsid w:val="00A56046"/>
    <w:rsid w:val="00A62073"/>
    <w:rsid w:val="00A63E3C"/>
    <w:rsid w:val="00A665A2"/>
    <w:rsid w:val="00A7016F"/>
    <w:rsid w:val="00A72C82"/>
    <w:rsid w:val="00A75650"/>
    <w:rsid w:val="00A76A6E"/>
    <w:rsid w:val="00A80E02"/>
    <w:rsid w:val="00A845B1"/>
    <w:rsid w:val="00A87E3D"/>
    <w:rsid w:val="00A90875"/>
    <w:rsid w:val="00A9597C"/>
    <w:rsid w:val="00AA24A4"/>
    <w:rsid w:val="00AA3AAB"/>
    <w:rsid w:val="00AA4766"/>
    <w:rsid w:val="00AA5BB2"/>
    <w:rsid w:val="00AB26E0"/>
    <w:rsid w:val="00AB29A9"/>
    <w:rsid w:val="00AB3A36"/>
    <w:rsid w:val="00AB3AB0"/>
    <w:rsid w:val="00AB4246"/>
    <w:rsid w:val="00AB5ED5"/>
    <w:rsid w:val="00AB66A5"/>
    <w:rsid w:val="00AC1107"/>
    <w:rsid w:val="00AC1752"/>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0DB1"/>
    <w:rsid w:val="00B1165D"/>
    <w:rsid w:val="00B12EB5"/>
    <w:rsid w:val="00B17A53"/>
    <w:rsid w:val="00B207DB"/>
    <w:rsid w:val="00B22470"/>
    <w:rsid w:val="00B2499C"/>
    <w:rsid w:val="00B2529B"/>
    <w:rsid w:val="00B277E4"/>
    <w:rsid w:val="00B30528"/>
    <w:rsid w:val="00B3168E"/>
    <w:rsid w:val="00B34179"/>
    <w:rsid w:val="00B40A5E"/>
    <w:rsid w:val="00B439E0"/>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1987"/>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002AB"/>
    <w:rsid w:val="00C12894"/>
    <w:rsid w:val="00C12AF0"/>
    <w:rsid w:val="00C13C29"/>
    <w:rsid w:val="00C1524D"/>
    <w:rsid w:val="00C17310"/>
    <w:rsid w:val="00C20179"/>
    <w:rsid w:val="00C20F71"/>
    <w:rsid w:val="00C22778"/>
    <w:rsid w:val="00C23751"/>
    <w:rsid w:val="00C302E1"/>
    <w:rsid w:val="00C3235B"/>
    <w:rsid w:val="00C34E40"/>
    <w:rsid w:val="00C41328"/>
    <w:rsid w:val="00C41919"/>
    <w:rsid w:val="00C45D2B"/>
    <w:rsid w:val="00C52305"/>
    <w:rsid w:val="00C61312"/>
    <w:rsid w:val="00C70783"/>
    <w:rsid w:val="00C70E2C"/>
    <w:rsid w:val="00C720C8"/>
    <w:rsid w:val="00C73AAE"/>
    <w:rsid w:val="00C73F87"/>
    <w:rsid w:val="00C74CC4"/>
    <w:rsid w:val="00C75CCE"/>
    <w:rsid w:val="00C778A1"/>
    <w:rsid w:val="00C80DCF"/>
    <w:rsid w:val="00C8298B"/>
    <w:rsid w:val="00C846C9"/>
    <w:rsid w:val="00C86724"/>
    <w:rsid w:val="00C92434"/>
    <w:rsid w:val="00C94A76"/>
    <w:rsid w:val="00C95838"/>
    <w:rsid w:val="00CA1354"/>
    <w:rsid w:val="00CA1E77"/>
    <w:rsid w:val="00CA3F76"/>
    <w:rsid w:val="00CA6C68"/>
    <w:rsid w:val="00CB616B"/>
    <w:rsid w:val="00CC7DE2"/>
    <w:rsid w:val="00CD68C0"/>
    <w:rsid w:val="00CD6FC9"/>
    <w:rsid w:val="00CD7F25"/>
    <w:rsid w:val="00CE28C6"/>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0FCB"/>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36D"/>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D6770"/>
    <w:rsid w:val="00EE0ED9"/>
    <w:rsid w:val="00EE23B1"/>
    <w:rsid w:val="00EE2E55"/>
    <w:rsid w:val="00EE456E"/>
    <w:rsid w:val="00EF1C05"/>
    <w:rsid w:val="00EF3951"/>
    <w:rsid w:val="00EF6426"/>
    <w:rsid w:val="00EF6552"/>
    <w:rsid w:val="00F017DE"/>
    <w:rsid w:val="00F02006"/>
    <w:rsid w:val="00F0405C"/>
    <w:rsid w:val="00F05670"/>
    <w:rsid w:val="00F0574A"/>
    <w:rsid w:val="00F16179"/>
    <w:rsid w:val="00F215D8"/>
    <w:rsid w:val="00F27292"/>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4940"/>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val="en-GB"/>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val="en-GB"/>
    </w:rPr>
  </w:style>
  <w:style w:type="paragraph" w:customStyle="1" w:styleId="Default">
    <w:name w:val="Default"/>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00147833">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7218442">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 w:id="770315058">
      <w:bodyDiv w:val="1"/>
      <w:marLeft w:val="0"/>
      <w:marRight w:val="0"/>
      <w:marTop w:val="0"/>
      <w:marBottom w:val="0"/>
      <w:divBdr>
        <w:top w:val="none" w:sz="0" w:space="0" w:color="auto"/>
        <w:left w:val="none" w:sz="0" w:space="0" w:color="auto"/>
        <w:bottom w:val="none" w:sz="0" w:space="0" w:color="auto"/>
        <w:right w:val="none" w:sz="0" w:space="0" w:color="auto"/>
      </w:divBdr>
    </w:div>
    <w:div w:id="80150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europeaid/funding/communication-and-visibility-manual-eu-external-actions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gherman@adm.utm.m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876B-081D-4160-9136-753381BF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4CAC5-D1EB-4D78-80EF-3D808D1B470B}">
  <ds:schemaRefs>
    <ds:schemaRef ds:uri="http://schemas.microsoft.com/sharepoint/v3/contenttype/forms"/>
  </ds:schemaRefs>
</ds:datastoreItem>
</file>

<file path=customXml/itemProps3.xml><?xml version="1.0" encoding="utf-8"?>
<ds:datastoreItem xmlns:ds="http://schemas.openxmlformats.org/officeDocument/2006/customXml" ds:itemID="{92CA6638-68CD-4083-9052-7DF20E267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BB83B5-A805-4BCF-B4C5-400D26F9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5985</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80</cp:revision>
  <cp:lastPrinted>2014-02-11T14:32:00Z</cp:lastPrinted>
  <dcterms:created xsi:type="dcterms:W3CDTF">2018-12-18T11:40:00Z</dcterms:created>
  <dcterms:modified xsi:type="dcterms:W3CDTF">2022-06-22T07:40:00Z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