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right"/>
      </w:pPr>
      <w:r>
        <w:rPr>
          <w:rFonts w:ascii="Times New Roman" w:hAnsi="Times New Roman" w:eastAsia="Times New Roman"/>
          <w:b w:val="0"/>
          <w:sz w:val="18"/>
        </w:rPr>
        <w:t>Anexa nr. 22</w:t>
      </w:r>
    </w:p>
    <w:p>
      <w:pPr>
        <w:spacing w:before="0" w:after="0" w:line="240" w:lineRule="auto"/>
        <w:jc w:val="right"/>
      </w:pPr>
      <w:r>
        <w:rPr>
          <w:rFonts w:ascii="Times New Roman" w:hAnsi="Times New Roman" w:eastAsia="Times New Roman"/>
          <w:b w:val="0"/>
          <w:sz w:val="18"/>
        </w:rPr>
        <w:t>la Documentația standard nr._____</w:t>
      </w:r>
    </w:p>
    <w:p>
      <w:pPr>
        <w:spacing w:before="0" w:after="0" w:line="240" w:lineRule="auto"/>
        <w:jc w:val="right"/>
      </w:pPr>
      <w:r>
        <w:rPr>
          <w:rFonts w:ascii="Times New Roman" w:hAnsi="Times New Roman" w:eastAsia="Times New Roman"/>
          <w:b w:val="0"/>
          <w:sz w:val="18"/>
        </w:rPr>
        <w:t>din “____” ________ 20___</w:t>
      </w:r>
    </w:p>
    <w:p>
      <w:pPr>
        <w:spacing w:before="0" w:after="0" w:line="240" w:lineRule="auto"/>
        <w:jc w:val="center"/>
      </w:pPr>
      <w:r>
        <w:rPr>
          <w:rFonts w:ascii="Times New Roman" w:hAnsi="Times New Roman" w:eastAsia="Times New Roman"/>
          <w:b/>
          <w:sz w:val="24"/>
        </w:rPr>
        <w:t>Specificaţii tehnice</w:t>
      </w:r>
    </w:p>
    <w:p>
      <w:pPr>
        <w:spacing w:before="0" w:after="0" w:line="240" w:lineRule="auto"/>
        <w:jc w:val="center"/>
      </w:pPr>
      <w:r>
        <w:rPr>
          <w:rFonts w:ascii="Times New Roman" w:hAnsi="Times New Roman" w:eastAsia="Times New Roman"/>
          <w:b w:val="0"/>
          <w:sz w:val="16"/>
        </w:rPr>
        <w:t>[Acest tabel va fi completat de către ofertant în coloanele 2, 3, 4, 6, 7, iar de către autoritatea contractantă – în coloanele 1, 5]</w:t>
      </w:r>
    </w:p>
    <w:p>
      <w:pPr>
        <w:spacing w:before="0" w:after="0" w:line="240" w:lineRule="auto"/>
        <w:jc w:val="left"/>
      </w:pPr>
      <w:r>
        <w:rPr>
          <w:rFonts w:ascii="Times New Roman" w:hAnsi="Times New Roman" w:eastAsia="Times New Roman"/>
          <w:b w:val="0"/>
          <w:sz w:val="18"/>
        </w:rPr>
        <w:t>Numărul procedurii de achiziție______________din_________</w:t>
      </w:r>
    </w:p>
    <w:p>
      <w:pPr>
        <w:spacing w:before="0" w:after="0" w:line="240" w:lineRule="auto"/>
        <w:jc w:val="left"/>
      </w:pPr>
      <w:r>
        <w:rPr>
          <w:rFonts w:ascii="Times New Roman" w:hAnsi="Times New Roman" w:eastAsia="Times New Roman"/>
          <w:b w:val="0"/>
          <w:sz w:val="18"/>
        </w:rPr>
        <w:t>Obiectul achiziției: Achiziționarea echipamentului de laborator pentru anul 2026</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2243"/>
        <w:gridCol w:w="2243"/>
        <w:gridCol w:w="2243"/>
        <w:gridCol w:w="2243"/>
        <w:gridCol w:w="2243"/>
        <w:gridCol w:w="2243"/>
        <w:gridCol w:w="2243"/>
      </w:tblGrid>
      <w:tr>
        <w:trPr>
          <w:tblHeader w:val="true"/>
        </w:trPr>
        <w:tc>
          <w:tcPr>
            <w:tcW w:type="dxa" w:w="1701"/>
            <w:shd w:fill="D9D9D9"/>
          </w:tcPr>
          <w:p>
            <w:pPr>
              <w:spacing w:after="0" w:before="0"/>
              <w:jc w:val="center"/>
            </w:pPr>
            <w:r/>
            <w:r>
              <w:rPr>
                <w:rFonts w:ascii="Times New Roman" w:hAnsi="Times New Roman" w:eastAsia="Times New Roman"/>
                <w:b/>
                <w:sz w:val="14"/>
              </w:rPr>
              <w:t>Denumirea bunurilor/serviciilor</w:t>
            </w:r>
          </w:p>
        </w:tc>
        <w:tc>
          <w:tcPr>
            <w:tcW w:type="dxa" w:w="1247"/>
            <w:shd w:fill="D9D9D9"/>
          </w:tcPr>
          <w:p>
            <w:pPr>
              <w:spacing w:after="0" w:before="0"/>
              <w:jc w:val="center"/>
            </w:pPr>
            <w:r/>
            <w:r>
              <w:rPr>
                <w:rFonts w:ascii="Times New Roman" w:hAnsi="Times New Roman" w:eastAsia="Times New Roman"/>
                <w:b/>
                <w:sz w:val="14"/>
              </w:rPr>
              <w:t>Denumirea modelului bunului/serviciului</w:t>
            </w:r>
          </w:p>
        </w:tc>
        <w:tc>
          <w:tcPr>
            <w:tcW w:type="dxa" w:w="907"/>
            <w:shd w:fill="D9D9D9"/>
          </w:tcPr>
          <w:p>
            <w:pPr>
              <w:spacing w:after="0" w:before="0"/>
              <w:jc w:val="center"/>
            </w:pPr>
            <w:r/>
            <w:r>
              <w:rPr>
                <w:rFonts w:ascii="Times New Roman" w:hAnsi="Times New Roman" w:eastAsia="Times New Roman"/>
                <w:b/>
                <w:sz w:val="14"/>
              </w:rPr>
              <w:t>Ţara de origine</w:t>
            </w:r>
          </w:p>
        </w:tc>
        <w:tc>
          <w:tcPr>
            <w:tcW w:type="dxa" w:w="1020"/>
            <w:shd w:fill="D9D9D9"/>
          </w:tcPr>
          <w:p>
            <w:pPr>
              <w:spacing w:after="0" w:before="0"/>
              <w:jc w:val="center"/>
            </w:pPr>
            <w:r/>
            <w:r>
              <w:rPr>
                <w:rFonts w:ascii="Times New Roman" w:hAnsi="Times New Roman" w:eastAsia="Times New Roman"/>
                <w:b/>
                <w:sz w:val="14"/>
              </w:rPr>
              <w:t>Producătorul</w:t>
            </w:r>
          </w:p>
        </w:tc>
        <w:tc>
          <w:tcPr>
            <w:tcW w:type="dxa" w:w="7938"/>
            <w:shd w:fill="D9D9D9"/>
          </w:tcPr>
          <w:p>
            <w:pPr>
              <w:spacing w:after="0" w:before="0"/>
              <w:jc w:val="center"/>
            </w:pPr>
            <w:r/>
            <w:r>
              <w:rPr>
                <w:rFonts w:ascii="Times New Roman" w:hAnsi="Times New Roman" w:eastAsia="Times New Roman"/>
                <w:b/>
                <w:sz w:val="14"/>
              </w:rPr>
              <w:t>Specificarea tehnică deplină solicitată de către autoritatea contractantă</w:t>
            </w:r>
          </w:p>
        </w:tc>
        <w:tc>
          <w:tcPr>
            <w:tcW w:type="dxa" w:w="1701"/>
            <w:shd w:fill="D9D9D9"/>
          </w:tcPr>
          <w:p>
            <w:pPr>
              <w:spacing w:after="0" w:before="0"/>
              <w:jc w:val="center"/>
            </w:pPr>
            <w:r/>
            <w:r>
              <w:rPr>
                <w:rFonts w:ascii="Times New Roman" w:hAnsi="Times New Roman" w:eastAsia="Times New Roman"/>
                <w:b/>
                <w:sz w:val="14"/>
              </w:rPr>
              <w:t>Specificarea tehnică deplină propusă de către ofertant</w:t>
            </w:r>
          </w:p>
        </w:tc>
        <w:tc>
          <w:tcPr>
            <w:tcW w:type="dxa" w:w="1701"/>
            <w:shd w:fill="D9D9D9"/>
          </w:tcPr>
          <w:p>
            <w:pPr>
              <w:spacing w:after="0" w:before="0"/>
              <w:jc w:val="center"/>
            </w:pPr>
            <w:r/>
            <w:r>
              <w:rPr>
                <w:rFonts w:ascii="Times New Roman" w:hAnsi="Times New Roman" w:eastAsia="Times New Roman"/>
                <w:b/>
                <w:sz w:val="14"/>
              </w:rPr>
              <w:t>Standarde de referinţă</w:t>
            </w:r>
          </w:p>
        </w:tc>
      </w:tr>
      <w:tr>
        <w:trPr>
          <w:tblHeader w:val="true"/>
        </w:trPr>
        <w:tc>
          <w:tcPr>
            <w:tcW w:type="dxa" w:w="1701"/>
            <w:shd w:fill="D9D9D9"/>
          </w:tcPr>
          <w:p>
            <w:pPr>
              <w:spacing w:after="0" w:before="0"/>
              <w:jc w:val="center"/>
            </w:pPr>
            <w:r/>
            <w:r>
              <w:rPr>
                <w:rFonts w:ascii="Times New Roman" w:hAnsi="Times New Roman" w:eastAsia="Times New Roman"/>
                <w:b/>
                <w:sz w:val="14"/>
              </w:rPr>
              <w:t>1</w:t>
            </w:r>
          </w:p>
        </w:tc>
        <w:tc>
          <w:tcPr>
            <w:tcW w:type="dxa" w:w="1247"/>
            <w:shd w:fill="D9D9D9"/>
          </w:tcPr>
          <w:p>
            <w:pPr>
              <w:spacing w:after="0" w:before="0"/>
              <w:jc w:val="center"/>
            </w:pPr>
            <w:r/>
            <w:r>
              <w:rPr>
                <w:rFonts w:ascii="Times New Roman" w:hAnsi="Times New Roman" w:eastAsia="Times New Roman"/>
                <w:b/>
                <w:sz w:val="14"/>
              </w:rPr>
              <w:t>2</w:t>
            </w:r>
          </w:p>
        </w:tc>
        <w:tc>
          <w:tcPr>
            <w:tcW w:type="dxa" w:w="907"/>
            <w:shd w:fill="D9D9D9"/>
          </w:tcPr>
          <w:p>
            <w:pPr>
              <w:spacing w:after="0" w:before="0"/>
              <w:jc w:val="center"/>
            </w:pPr>
            <w:r/>
            <w:r>
              <w:rPr>
                <w:rFonts w:ascii="Times New Roman" w:hAnsi="Times New Roman" w:eastAsia="Times New Roman"/>
                <w:b/>
                <w:sz w:val="14"/>
              </w:rPr>
              <w:t>3</w:t>
            </w:r>
          </w:p>
        </w:tc>
        <w:tc>
          <w:tcPr>
            <w:tcW w:type="dxa" w:w="1020"/>
            <w:shd w:fill="D9D9D9"/>
          </w:tcPr>
          <w:p>
            <w:pPr>
              <w:spacing w:after="0" w:before="0"/>
              <w:jc w:val="center"/>
            </w:pPr>
            <w:r/>
            <w:r>
              <w:rPr>
                <w:rFonts w:ascii="Times New Roman" w:hAnsi="Times New Roman" w:eastAsia="Times New Roman"/>
                <w:b/>
                <w:sz w:val="14"/>
              </w:rPr>
              <w:t>4</w:t>
            </w:r>
          </w:p>
        </w:tc>
        <w:tc>
          <w:tcPr>
            <w:tcW w:type="dxa" w:w="7938"/>
            <w:shd w:fill="D9D9D9"/>
          </w:tcPr>
          <w:p>
            <w:pPr>
              <w:spacing w:after="0" w:before="0"/>
              <w:jc w:val="center"/>
            </w:pPr>
            <w:r/>
            <w:r>
              <w:rPr>
                <w:rFonts w:ascii="Times New Roman" w:hAnsi="Times New Roman" w:eastAsia="Times New Roman"/>
                <w:b/>
                <w:sz w:val="14"/>
              </w:rPr>
              <w:t>5</w:t>
            </w:r>
          </w:p>
        </w:tc>
        <w:tc>
          <w:tcPr>
            <w:tcW w:type="dxa" w:w="1701"/>
            <w:shd w:fill="D9D9D9"/>
          </w:tcPr>
          <w:p>
            <w:pPr>
              <w:spacing w:after="0" w:before="0"/>
              <w:jc w:val="center"/>
            </w:pPr>
            <w:r/>
            <w:r>
              <w:rPr>
                <w:rFonts w:ascii="Times New Roman" w:hAnsi="Times New Roman" w:eastAsia="Times New Roman"/>
                <w:b/>
                <w:sz w:val="14"/>
              </w:rPr>
              <w:t>6</w:t>
            </w:r>
          </w:p>
        </w:tc>
        <w:tc>
          <w:tcPr>
            <w:tcW w:type="dxa" w:w="1701"/>
            <w:shd w:fill="D9D9D9"/>
          </w:tcPr>
          <w:p>
            <w:pPr>
              <w:spacing w:after="0" w:before="0"/>
              <w:jc w:val="center"/>
            </w:pPr>
            <w:r/>
            <w:r>
              <w:rPr>
                <w:rFonts w:ascii="Times New Roman" w:hAnsi="Times New Roman" w:eastAsia="Times New Roman"/>
                <w:b/>
                <w:sz w:val="14"/>
              </w:rPr>
              <w:t>7</w:t>
            </w:r>
          </w:p>
        </w:tc>
      </w:tr>
      <w:tr>
        <w:trPr>
          <w:cantSplit/>
        </w:trPr>
        <w:tc>
          <w:tcPr>
            <w:tcW w:type="dxa" w:w="1701"/>
            <w:vAlign w:val="top"/>
          </w:tcPr>
          <w:p>
            <w:pPr>
              <w:spacing w:after="0" w:before="0"/>
              <w:jc w:val="left"/>
            </w:pPr>
            <w:r/>
            <w:r>
              <w:rPr>
                <w:rFonts w:ascii="Times New Roman" w:hAnsi="Times New Roman" w:eastAsia="Times New Roman"/>
                <w:b w:val="0"/>
                <w:sz w:val="13"/>
              </w:rPr>
              <w:t>Lot 1. Autoclav</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Autoclav de sterilizare. Cerințe tehnice minime: capacitate cameră 50–60 L; cameră și ușă din oțel inoxidabil AISI 304 sau AISI 316L, rezistent la coroziune și presiune; generator de abur integrat; interval de temperatură 121–134 °C; control prin microprocesor; afișaj digital pentru monitorizarea în timp real a temperaturii și presiunii; programe presetate pentru 121 °C și 134 °C, cu posibilitatea ajustării parametrilor de timp de sterilizare și uscare; sistem de pre-vacuum și post-vacuum pentru evacuarea aerului și uscare eficientă; parametri de control ai temperaturii prin senzori PT100 clasa A; funcție de autodiagnosticare erori; sistem de siguranță și monitorizare: senzori de temperatură, senzori de presiune, senzor lipsă apă, protecție la suprapresiune, protecție la supratemperatură, supapă de suprapresiune, blocare ușă cu interblocare până la depresurizare completă și oprire automată; alimentare electrică 380 V / 50 Hz trifazat. Accesorii incluse: coșuri/tăvițe și sistem de filtrare a apei de alimentare, precum și toate componentele necesare instalării și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Certifiat de Etalonare Locație/destinatar final: LRN în infecții imunodirijabile și hepatite virale.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 Autoclav</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Autoclav de laborator pentru microbiologie, capacitate mică. Cerințe tehnice minime: capacitate cameră 20–25 L; autoclav tip vertical (top-loading), destinat sterilizării mediilor de cultură, sticlăriei și decontaminării deșeurilor biologice/microbiologice (inclusiv în saci autoclavabili de dimensiuni reduse); cameră de sterilizare din oțel inoxidabil rezistent la coroziune (minim AISI 304 sau echivalent); tehnologie de sterilizare cu abur saturat sub presiune, cu sistem de evacuare a aerului (gravitațional sau puls vacuum); programe de sterilizare obligatorii: lichide, solide și deșeuri (waste); temperaturi de sterilizare minime: 121 °C și 134 °C; funcție de răcire controlată pentru lichide. Control microprocesor; afișaj digital (LCD sau touchscreen); monitorizarea parametrilor (temperatură, presiune, timp); sistem de trasabilitate (port USB și/sau imprimantă); sistem de alimentare cu apă (rezervor integrat sau conexiune directă), cu protecție la lipsă apă; sistem de blocare automată a capacului cu siguranță la presiune; supapă de suprapresiune; protecție termică și oprire automată în caz de eroare; alimentare 230 V / 50 Hz. Accesorii incluse: Coșuri / suporturi pentru încărcare, Recipient / tavă pentru colectarea lichidelor, Suport pentru flacoane sau saci autoclavabili mici.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LRN în secvențiere genomică.</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3. UPS+ cartelă de rețea dedicată</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 Tip (Topologie): Line Interactive. • Capacitate de putere de ieșire: de la 2700 W pana la 3000 VA. • Număr de prize ieșire 9-10 • Tensiune nominală de ieșire: 220V-240V. • Distorsiunea tensiunii de ieșire: Mai mică de 5%. • Frecvență de ieșire (sincronizată cu rețeaua): 50/60Hz +/- 3 Hz. • Tip formă de undă: Undă sinusoidală • Tensiune nominală de intrare: 230V. • Frecvență de intrare: 50/60 Hz +/- 3 Hz (auto-detectare). • Interval tensiune de intrare (pentru operațiuni principale): 160-286 V , cu posibilitate de ajustare între 151-302 V. • Timp tipic de reîncărcare a acumulatorului: 3 ore. • Tip baterie: Baterie cu plumb-acid sigilată (Lead-Acid), fără întreținere, cu electrolit suspendat, rezistentă la scurgeri (leakproof). • Porturi de interfață: Slot inteligent pentru module suplimentare. • Management de rețea: Echipamentul va fi livrat cu o cartelă de rețea (soft de dirijare licențiat) dedicată (internă/plug-in), care să permită monitorizarea și gestionarea completă de la distanță via HTTP/SNMP, compatibilă nativ cu unitatea UPS propusă. • Panou de control: Consolă LCD multifuncțională pentru status și control. • Oprire de urgență (EPO): Da. • Protecție la supratensiuni (Surge energy rating): 365 Jouli. • Dimensiuni maxime (Înălțime x Lățime x Adâncime): aproximativ 435.0 mm x ~197.0 mm x ~544.0 mm. • Mediu de operare (Temperatură): 0-40 °C Accesorii incluse: Toate cablurile și accesoriile necesare pentru punerea în funcțiune a unității și a modulului de management.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LRN în secvențiere genomică.</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4. Dispozitiv Shimadzu HS-10 Headspace Sampler</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Compatibil cu Gaz cromatograful marca GC -2010 PLUS Shimadzu, capacitatea turela - 20 fioleHS-10 Specifications Instrument Specifications Item - Sample Injection Method -Inactivated sample loop 1 mL (standard), 0.5 mL, 2 mL (option) Number of Vials -20 Number of Heated Vials -6 Vial Mixing -3 stages max. Vial Warming Temperature - Room temp. +10 to 225℃ (Setting: 35 to 225℃) Sample Line Temperature -Room temp. +10 to 225℃ (Setting: 35 to 225℃) Transfer Line Temperature - Room temp. +10 to 225℃ (Setting: 35 to 225℃) Carrier Gas Control -Electronic control via AFC built into GC Vial Pressurized-Gas Control - Electronic control via AFC built into GC Control Software -Operates collectively with LabSolutions LC/GC (FDA 21 CFR Part 11 compliant) Power Supply - 1400 VA max. Dimensions - W407 × D527 × H455 (+/- 10mm) Weight 30-35 kg Applicable Models - GC-2010 Plus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5. Turbidimetru</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Tip: turbidimetru profesional; Metoda: ISO 7027 (nefelometric 90°); Domeniu: 0–2000 NTU/FNU, 0–500 EBC, 0–9999 ASBC; Rezolutie: 0.01 NTU; Acuratete: ±3%; Calibrare: 2–7 puncte; Unitati: NTU, FNU, EBC, ASBC; TSS: factor conversie inclus; Sursa lumina: IR ~850 nm; Detector: fotodioda; Display: color (LCD/touch); Interfete: USB; Memorie: ≥200 seturi; Ciuvete: Ø≈25x60 mm; Alimentare: 230V/50Hz (adaptor); Accesorii: kit calibrare + cuve; Dimensiuni: compacte; Greutate: 2-3kg;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6. Dulap de uscare universal cu ventilație forțată</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Dulap de uscare universal cu ventilație forțată. Cerințe tehnice minime: tip dulap de uscare universal cu ventilație forțată; volum interior 30-40 L; dimensiuni interne aproximativ 400 × 320 × 250 mm (+ /-10mm);dimensiuni externe: aproximativ 600 × 750 × 500 mm(+/-10mm); domeniu de temperatură de la ambient + 10 °C până la 300 °C; rezoluție setare: 0,1°C (până la 100°C), 0,5°C peste 100°C ; uniformitate a temperaturii ±1 °C; senzori de temperatură 2 × Pt100 clasa A; control digital al temperaturii cu sistem de reglare tip PID sau echivalent funcțional; afișaj digital dual pentru parametrii de funcționare; sistem de siguranță: protecție la supratemperatură, alarmă de funcționare și oprire automată la depășirea limitelor de temperatură; cameră interioară din oțel inoxidabil rezistent la temperaturi înalte și coroziune; ventilație forțată reglabilă, silențioasă; capacitate de încărcare 55-60 kg; port de acces Ø 20–30 mm. Accesorii incluse: minimum 2 grătar inclus.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CSP Cahul.</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7. Autoclav de laborator microbiologic pentru sterilizarea materialelor, mediilor de cultură și deșeurilor biologice.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1.Cerințe tehnice minime: Volumul utilizabil al camerei de sterilizare: 100-110 L; Dimensiunile utile ale camerei (diametru x înălțime): aproximativ 400-450 x 800-900 mm; Volumul rezervorului de apă al camerei de sterilizare: 5-6 L; Material exterior: AISI-304 sau echivalent; Materialul camerei de sterilizare: AISI-316L sau echivalent; Intervalul de temperatură de sterilizare: 100 - 134°C; Presiune maximă (peste presiunea atmosferică): 2,1 bar; Mod de deschidere a ușii: ușă cu deschidere în plan orizontal cu roată de blocare; Afișaj: LCD digital; Dimensiunea ecranului: minimum 2 linii x 16 caractere; Număr total de programe disponibile: minimum 10; Control automat cu microprocesor; Cronometru de pornire; Mod agar (menținerea temperaturii după finalizarea ciclului 40-80ºC); Răcire rapidă a solidelor (buton manual pentru o fază de răcire mai rapidă); Timp de sterilizare reglabil: aproximativ 1 - 250 min; Afișarea presiunii: manometru pe panoul de control; Distribuția apei: apa este livrată direct în camera de sterilizare; Sistem de drenaj:inclus: Dimensiuni externe (lățime x adâncime x înălțime): aproximativ 600-650 x 690-550 x 1400-1500 mm. Înălțime de încărcare:aproximativ 1000-1200 mm; Tensiune de alimentare: aproximativ 380-400 V (3P+N) 32 A, 50Hz; Accesorii incluse: minim 3 coșuri din oțel inoxidabil. Imprimantă integrată. Accesorii incluse sistem de filtrare a apei de alimentare, precum și toate componentele necesare instalării și utilizării. Supapă de siguranță; Termostat de siguranță cu resetare manuală pentru elementele de încălzire; Sistem pneumatic de blocare a ușii în timpul existenței presiunii pozitive în interiorul camerei de sterilizare; Senzor de ușă deschisă; Mai multe alarme vizuale și acustice de siguranță și avertizare;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Cahul.</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8. Balanță electronică de 1 kg cu precizia: 0,01</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Balanță electronică de precizie pentru laborator. Destinație: cântărirea probelor în condiții de laborator. Cerințe tehnice minime: capacitate 1000 g; precizie (diviziune) 0,01; calibrare internă automată sau externă; unități de măsură minim g, mg; afișaj digital (LCD/LED), iluminat; platformă de cântărire din material rezistent la coroziune (ex. inox), dimensiune minim 100 mm; funcții: tarare (zero), calibrare, protecție la suprasarcină; alimentare 220–240 V / 50 Hz, adaptor inclus; condiții de operare: +10°C până la +30°C; carcasă rezistentă la uzură și substanțe de laborator; accesorii incluse: adaptor, greutăți pentru calibrare (dacă este cazul), manual de utilizare.Condiții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Causeni.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9. Deionizator de apă</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Cerințe tehnice minime: echipament pentru producerea apei purificate de grad II pentru investigații cromatografice și spectrometrie de absorbție atomică, conform SM SR EN ISO 3696:2006; calitatea apei produsă: conductivitate ≤ 0,1 µS/cm; rezistivitate 15–18 MΩ·cm; capacitate de producere 5-7 L/oră; alimentare cu apă distilată ca apă de intrare; sistem de monitorizare continuă a conductivității și temperaturii în timpul procesului de purificare; afișaj digital pentru parametrii de funcționare. Accesorii incluse: toate componentele necesare instalării, punerii în funcțiune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Comrat.</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10. PH metru-ionomer pentru medii nutritive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Setul include doi electrozi: 1. Electrod pH combinat cu corp din sticlă, senzor de temperatură integrat, cap MultiPin™ sau echivalent și membrană plată pentru măsurători pe suprafețe, cum ar fi plăcile cu agar 2. Electrod pH combinat cu corp din sticlă, senzor de temperatură integrat, cap de senzor sVP8 DES sau echivalent și tehnologie DES® sau echivalent . Proiectat pentru aplicații generale de laborator. 3.sondă de temperatură (dacă nu este integrată), 4.soluții tampon pentru calibrare, 5.suport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Comrat.</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11. Centrifuga de laborator</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Cerințe tehnice minime: viteză de rotație 5000–8000 rot/min, reglabilă; rotor cu minimum 8 locașuri; compatibilitate cu adaptoare pentru tuburi de 5 ml, 10 ml, 15 ml, 50 ml și 100 ml; sistem de echilibrare automată sau echivalent; afișaj digital pentru parametrii de funcționare; timer reglabil; sistem de siguranță pentru blocarea capacului în timpul funcționării; protecție la dezechilibru; nivel redus de zgomot și vibrații; carcasă rezistentă la acțiuni mecanice și chimice uzuale de laborator; alimentare 220–240 V / 50 Hz. Accesorii incluse: rotor compatibil, adaptoare pentru volumele de tuburi specificate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Edinet.</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12. pH metru (Ionomer de laborator)</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Verificare Metrologica Locație/destinatar final: CSP Hincesti.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13. Distilator</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Tip: Distilator laborator; Productivitate: 20–25 L/h; Rezervor depozitare: 30–50 L cu robinet; Conductivitate apă: 2,3–2,5 µS/cm; Tip distilare: o singură distilare; Alimentare: 380–400 V / 50–60 Hz, trifazat, 9-15 kW; Control: electronic (oprire/repornire automată la nivel apă, detector impurități cu alarmă vizuală, oprire termostatică la nivel scăzut, protecție scurgeri cu electrovalvă); Construcție: încălzitor, evaporator, rezervor depozitare și condensator inox; Carcasă: oțel galvanizat, pereți dubli, acoperire epoxidică; Montare: pe masă sau perete; Accesorii incluse: cablu alimentare, supapă electromagnetică cu racord, furtun intrare apă 1/2" (ø12,7 mm), furtun evacuare apă 3/4" (ø19 mm), set 3 filtre dedurizare; Piese de schimb: set elemente încălzire.Condiții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Orhei.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14. Termostat CU RĂCIRE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Termostat cu răcire (incubator cu aer uscat). Cerințe tehnice minime: volum interior 100–150 L; domeniu de temperatură +4…+70 °C; pas de reglare 0,1 °C; stabilitate a temperaturii 0,2 °C; sistem de încălzire cu convecție; sistem de răcire integrat; control digital al temperaturii; afișaj electronic pentru parametrii de funcționare; protecții: supratemperatură și alarmă pentru erori de temperatură; uși duble; cameră interioară din oțel inoxidabil rezistent la coroziune și dezinfectanți; rafturi 3-4 buc.; eficiență energetică clasa A sau echivalent; alimentare conform standardului producător. Accesorii incluse: rafturi/grilaje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Soroca.</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15. Ph metru</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Ungheni.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16. Set de Greutati</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Set de greutăți etalon pentru laborator. Cerințe tehnice minime: set format din 9 greutăți cu valori 1 g, 2 g, 5 g, 10 g, 20 g, 50 g, 100 g, 200 g și 500 g; clasă de precizie F2; material cromat sau inoxidabil, non-magnetic, rezistent la coroziune; eroare admisă ±0,003 g; utilizare pentru etalonarea balanțelor de laborator. Accesorii incluse: cutie de depozitare și pensetă.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Ungheni.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17. Autoclav orizontal pentru decontaminare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Autoclav pentru decontaminare deseuri. Cerințe tehnice minime: volum cameră aproximativ 200-210 L; cameră de sterilizare din oțel inoxidabil AISI 316L sau echivalent rezistent la coroziune și temperaturi înalte; diametru cameră aproximativ Ø 500 mm și lungime aproximativ 1000 mm; dimensiuni exterioare aproximativ 1690 × 830 × 1410(+/-10 mm); sistem de sterilizare cu abur sub presiune; generator de abur integrat; presiune de lucru minim 4 bar; temperaturi de sterilizare 121 °C și 134 °C; control electronic prin touchscreen; parametri de control temperatura prin senzori PT100 clasa A sau echivalent; ușă automată cu blocare de siguranță; interfețe USB și rețea pentru trasabilitate; memorie; sistem de răcire controlată a apei uzate; sistem de siguranță obligatoriu: senzori de temperatură, presiune și lipsă apă, protecție la suprapresiune, protecție la supratemperatură, blocare automată a ușii sub presiune și supapă de siguranță; alimentare electrică 380-400 V / 50 Hz trifazat. Accesorii incluse: coșuri, tăvi, suporturi, sistem de filtrare pentru apă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LRN IAAM RAM, infecții bacteriene și parazitoze.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18. BLENDER digital de laborator (omogenizator) pentru microbiologie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Volume de probe - de la 80 la 400 ml. Afișaj digital pentru setarea ușoară a vitezei și timpului. Două palete cu mișcare alternativa. Suprafețe exterioare și interioare din oțel inoxidabil AISI 304 lustruit. Fereastră în ușa frontală pentru observarea probelor ambalate în pungi în timpul omogenizării. Închidere basculantă cu ușă frontală detașabilă pentru a facilita operarea și curățarea. Probele microbiologice pot fi tratate fără riscuri pentru operator sau mediu, prin amestecarea parților solide și semisolide în pungi sigilate, eliminând producția în mediu de bioaerosoli. Specificații: Turație motor: 180…320 min⁻¹. Temporizator: Până la 10 h sau continuu Greutate: 13-20 kg.Condiții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Chisinau.</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19. APARAT PORTABIL DE DETECTIE MULTIGAZ</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Aparat portabil de detecție multigaz. Cerințe tehnice minime: tip detector portabil multigaz cu pompă integrată; capacitate de detecție pentru minimum 14 gaze sau canale de detecție; domenii de măsurare: NH₃ 0,01–100mg/m³; compuși organici volatili (COV – benzen, toluen, xilen, stiren sau echivalent) 0,001–700 mg/m³; H₂S 0,001–30 mg/m³; etilmercaptan 0,001–3 mg/m³; gaze combustibile (metan, propan sau echivalent) 0,001–2500 mg/m³ sau unități echivalente de explozivitate; O₃ 0,01–4 mg/m³; afișaj digital pentru parametrii de funcționare; alimentare cu acumulator reîncărcabil. Accesorii incluse: pompă integrată și suport vertical, precum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Chisinau.</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20. Set filtre de lumină spectrală.</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Tip: Set filtre de lumină spectrală neutre pentru verificarea spectrofotometrelor; Domeniu spectral:aproximativ 200–1000 nm; Diafragmă relativă: aproximativ 1:6; Distanță focală: aproximativ 300 mm; Dispersie liniară inversă: aproximativ 2,0 nm/mm; Interval spectral rezolvat: conform parametrilor specificați aproximativ (ex. la λ=546,07 nm, lățime fantă 5 µm, înălțime fantă 2 mm); Reproductibilitate lungime de undă: aproximativ 0,025 nm; Precizie scară lungime de undă: aproximativ 0,2 nm;Condiții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Secția managementul calității serviciilor de laborator.</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21. Termostat</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Termostat de laborator. Cerințe tehnice minime: capacitate 80–100 L; domeniu de temperatură programabil 37–60 °C; rezoluție de programare 1 °C; timp de funcționare reglabil 1–999 min și funcționare continuă; control prin microprocesor; afișaj digital tip LCD sau LED; ușă dublă, cu ușă interioară din sticlă; cameră interioară din oțel inoxidabil rezistent la coroziune și dezinfectanți; sistem de alarmă vizuală și sonoră; alimentare 220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Balti.</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22. Incubator CO2 cu control O2 volum 100 litre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Incubator CO₂ cu control O₂. Cerințe tehnice minime: tip incubator CO₂ cu control O₂; control O₂ intervalul 1%-20/25%, controlul CO₂ intervalul - 0-20%, volum interior 90-100 L; domeniu de temperatură de la ambient + 4 °C până la 60 °C; stabilitate a temperaturii ±0,2 °C; uniformitate a temperaturii 0,5 °C; control independent CO₂ și O₂; cameră interioară din oțel inoxidabil rezistent la coroziune și dezinfectanți; control digital al parametrilor de funcționare; sistem de umidificare controlată; interfețe USB și rețea pentru transfer și monitorizare date; sistem de alarmă pentru temperatură și gaze (CO₂ și O₂) și ușa deschisă; sistem de siguranță: protecție la supratemperatură, protecție la deviații ale concentrațiilor de CO₂ și O₂ față de valorile setate, alarmă ușă deschisă, protecție la întreruperea alimentării și repornire automată; sistem de calibrare pentru senzori de gaze; alimentare 230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microbiologie sanitară.</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23. Detector de gaz Acetilena</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 Gaz detectat: Acetilenă (C₂H₂). • Domeniu de măsurare: 0 – 100 ppm, cu o rezoluție de citire de minim 1 ppm. • Tip senzor: Senzor electrochimic pentru gaz. • Eroare maximă admisă (Precizie): ± 5% din capătul de scală (Full Scale). • Timp de răspuns: 30-40 secunde. • Afișaj (Indicatori): Echipamentul va fi capabil să afișeze concentrația de gaz în timp real, ora/timpul, temperatura internă și nivelul de încărcare a bateriei. • Sistem de alarmare: Alarmă triplă: vizuală (LED), sonoră (Buzzer) • Alimentare: Acumulator reîncărcabil (ex. Litiu-Ion), voltaj de aprox. 3.7V, capacitate de minim 1500 mAh. • Autonomie de funcționare: Minim 24 de ore. • Dimensiuni fizice: Design compact (dimensiuni de referință aproximative: 110 x 60 x 45 mm). • Calibrare: Echipamentul va fi livrat calibrat, însoțit de un certificat de calibrare trasabil conform standardelor internaționale (NIST, NPL sau echivalent recunoscut).Condiții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24. Analizator de gaz Acetilena</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 Gaz detectat: Acetilenă (C₂H₂). • Metodă de eșantionare (prelevare): Aspirație activă prin pompă integrată (debit de prelevare de până la aprox. 750 ml/min). • Principiu de detecție: Combustie catalitică. • Domeniu de măsurare: aproximativ 0 – 100% • Rezoluție: aproximativ 1% • Precizie (Acuratețe): ± 3% • Timp de răspuns: aproximativ 10-20 secunde. • Timp de recuperare: aproximativ 10-20 secunde. • Repetabilitate / Eroare de liniaritate: ± 1%. • Deviația punctului de zero (Zero Shift): ± 1% pe an. • Afișaj: Ecran digital cu suport pentru minim limba Engleză. • Sistem de alarmare: Triplu - vizuală (luminoasă), sonoră și prin vibrație. • Înregistrarea datelor (Data Logging): Echipamentul va dispune de memorie internă pentru stocarea datelor și posibilitate de descărcare a acestora. • Comunicare: Interfață PC (ex. USB/Mini-USB) • Alimentare: Acumulator reîncărcabil cu autonomie de până la 100 de ore (în regim de așteptare / cu pompa oprită). Încărcător de rețea inclus (100-240V AC, 50). • Clasă de protecție (IP): Minim IP66 • Temperatură de operare: aproximativ -20°C ... +50°C. • Umiditate de operare: aproximativ 0 – 95% RH (fără condensare). • Presiune de operare: aproximativ 0.8 ... 1.2 bar. • Dimensiuni fizice maxime: Aproximativ 215 x 85 x 40 mm. Accesorii Incluse • Sondă de extensie: Sondă tubulară pentru prelevare din spații greu accesibile (lungime totală aprox. 480 mm).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25. Detector cabluri electrice</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Detector/scanner digital pentru identificarea cablurilor electrice ascunse în pereți, tavane sau pardoseli. • Materiale detectabile: Cabluri electrice sub tensiune, Metale feroase, metale neferoase(țevi din plastic). • Adâncime de detectare pentru cabluri sub tensiune: Minim 60 mm. • Adâncime de detectare pentru metale (feroase și neferoase): Minim 120 mm. • Precizie de detectare: ± 10 mm (raportat la centrul obiectului). • Mod de măsurare: Echipamentul trebuie să dispună de o funcție de măsurare punctuală (detectare instantanee pe suprafețe mici, fără a fi necesară deplasarea continuă a aparatului). • Localizarea centrului: Funcție integrată (indicator direcțional) pentru identificarea și indicarea precisă a centrului obiectului detectat. • Afișaj: Ecran digital (LCD) pentru vizualizarea clară a rezultatelor. • Sistem de avertizare: Avertizare combinată: semnal acustic și semnal vizual luminos cu LED • Sistem de alimentare: Aparatul trebuie să poată funcționa cu un acumulator reîncărcabil compatibil cu 12v • Accesorii necesare: acumulator cu încărcător, husă de protecție.Condiții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26. Incubator automat cu dioxid de carbon</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Volumul camerei de lucru: Aproximativ 45-55 l. Intervalul de temperatură de lucru: De la temperatura ambiantă ≈+5 °C până la ≈50 °C. Precizia menținerii temperaturii: ±0,1 °C. Reglarea concentrației de CO₂: De la 0 la ≈20 %. Precizia menținerii concentrației de CO₂: ±0,1 %. Senzor CO₂: Control al concentrației prin senzor infraroșu cu calibrare automată. Reglarea umidității: Până la 90–95 % prin sistem de umidificare integrat. Mod de sterilizare: La 180 °C. Alimentare electrică: 220–240 V, 50/60 Hz. Material cameră interioară: Oțel inoxidabil rezistent la coroziune, cu suprafețe netede, ușor de curățat și dezinfectat. Ușă interioară: Din sticlă, pentru vizualizarea probelor și reducerea pierderilor de temperatură și CO₂ la deschidere. Rafturi interne: Reglabile pe înălțime, pentru amplasarea și organizarea optimă a probelor. Sistem de control: Digital, cu microprocesor, pentru setarea precisă a temperaturii și a celorlalți parametri de funcționare. Afișaj: Digital, pentru monitorizarea clară a parametrilor în timp real. Sistem de alarmă: Acustică și vizuală, care se declanșează în cazul deviațiilor de temperatură și concentrație de CO₂. Design / Format: Execuție compactă de tip desktop, adecvată pentru utilizare pe mesele de lucru din laboratoare clinice, de cercetare și mobile.Condiții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factori fizici, radiologici și măsurări instrumentale.</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r>
        <w:trPr>
          <w:cantSplit/>
        </w:trPr>
        <w:tc>
          <w:tcPr>
            <w:tcW w:type="dxa" w:w="1701"/>
            <w:vAlign w:val="top"/>
          </w:tcPr>
          <w:p>
            <w:pPr>
              <w:spacing w:after="0" w:before="0"/>
              <w:jc w:val="left"/>
            </w:pPr>
            <w:r/>
            <w:r>
              <w:rPr>
                <w:rFonts w:ascii="Times New Roman" w:hAnsi="Times New Roman" w:eastAsia="Times New Roman"/>
                <w:b w:val="0"/>
                <w:sz w:val="13"/>
              </w:rPr>
              <w:t>Lot 27. Cititor de plăci ELISA</w:t>
            </w:r>
          </w:p>
        </w:tc>
        <w:tc>
          <w:tcPr>
            <w:tcW w:type="dxa" w:w="1247"/>
            <w:vAlign w:val="top"/>
          </w:tcPr>
          <w:p>
            <w:pPr>
              <w:spacing w:after="0" w:before="0"/>
              <w:jc w:val="center"/>
            </w:pPr>
            <w:r/>
            <w:r>
              <w:rPr>
                <w:rFonts w:ascii="Times New Roman" w:hAnsi="Times New Roman" w:eastAsia="Times New Roman"/>
                <w:b w:val="0"/>
                <w:sz w:val="13"/>
              </w:rPr>
              <w:t>[se completează de ofertant]</w:t>
            </w:r>
          </w:p>
        </w:tc>
        <w:tc>
          <w:tcPr>
            <w:tcW w:type="dxa" w:w="907"/>
            <w:vAlign w:val="top"/>
          </w:tcPr>
          <w:p>
            <w:pPr>
              <w:spacing w:after="0" w:before="0"/>
              <w:jc w:val="center"/>
            </w:pPr>
            <w:r/>
            <w:r>
              <w:rPr>
                <w:rFonts w:ascii="Times New Roman" w:hAnsi="Times New Roman" w:eastAsia="Times New Roman"/>
                <w:b w:val="0"/>
                <w:sz w:val="13"/>
              </w:rPr>
              <w:t>[se completează de ofertant]</w:t>
            </w:r>
          </w:p>
        </w:tc>
        <w:tc>
          <w:tcPr>
            <w:tcW w:type="dxa" w:w="1020"/>
            <w:vAlign w:val="top"/>
          </w:tcPr>
          <w:p>
            <w:pPr>
              <w:spacing w:after="0" w:before="0"/>
              <w:jc w:val="center"/>
            </w:pPr>
            <w:r/>
            <w:r>
              <w:rPr>
                <w:rFonts w:ascii="Times New Roman" w:hAnsi="Times New Roman" w:eastAsia="Times New Roman"/>
                <w:b w:val="0"/>
                <w:sz w:val="13"/>
              </w:rPr>
              <w:t>[se completează de ofertant]</w:t>
            </w:r>
          </w:p>
        </w:tc>
        <w:tc>
          <w:tcPr>
            <w:tcW w:type="dxa" w:w="7938"/>
            <w:vAlign w:val="top"/>
          </w:tcPr>
          <w:p>
            <w:pPr>
              <w:spacing w:after="0" w:before="0"/>
              <w:jc w:val="left"/>
            </w:pPr>
            <w:r/>
            <w:r>
              <w:rPr>
                <w:rFonts w:ascii="Times New Roman" w:hAnsi="Times New Roman" w:eastAsia="Times New Roman"/>
                <w:b w:val="0"/>
                <w:sz w:val="12"/>
              </w:rPr>
              <w:t>compatibil cu plăci de 96 godeuri, filtre de lungime de undă aproximativ 450–650nm, diapazon de măsurare lungimi de undă aproximativ 340-850 nm, domeniu de citire aproximativ 0-6 Abs/ -, linearitate +/-2%, rezoluție aproximativ – 0,001 Abs/Precizia CV ≤0,2% (0,3-3 Abs), Photodetector, software ELISA inclus p/u PC, Calculator și imprimantă incluse în set, conectare prin USB, conexiune la imprimantă Condiții obligatorii: livrarea la sediul beneficiarului; instalarea și punerea în funcțiune; instruirea personalului la sediul beneficiarului; manual de utilizare în limba română; marcaj CE; garanție minim 24 luni. Termenul de livrare: 90 de zile de la semnarea contractului, suport tehnic sau calibrare Locație/destinatar final: (Sajin O.).</w:t>
            </w:r>
          </w:p>
        </w:tc>
        <w:tc>
          <w:tcPr>
            <w:tcW w:type="dxa" w:w="1701"/>
            <w:vAlign w:val="top"/>
          </w:tcPr>
          <w:p>
            <w:pPr>
              <w:spacing w:after="0" w:before="0"/>
              <w:jc w:val="center"/>
            </w:pPr>
            <w:r/>
            <w:r>
              <w:rPr>
                <w:rFonts w:ascii="Times New Roman" w:hAnsi="Times New Roman" w:eastAsia="Times New Roman"/>
                <w:b w:val="0"/>
                <w:sz w:val="13"/>
              </w:rPr>
              <w:t>[se completează de ofertant]</w:t>
            </w:r>
          </w:p>
        </w:tc>
        <w:tc>
          <w:tcPr>
            <w:tcW w:type="dxa" w:w="1701"/>
            <w:vAlign w:val="top"/>
          </w:tcPr>
          <w:p>
            <w:pPr>
              <w:spacing w:after="0" w:before="0"/>
              <w:jc w:val="left"/>
            </w:pPr>
            <w:r/>
            <w:r>
              <w:rPr>
                <w:rFonts w:ascii="Times New Roman" w:hAnsi="Times New Roman" w:eastAsia="Times New Roman"/>
                <w:b w:val="0"/>
                <w:sz w:val="13"/>
              </w:rPr>
              <w:t>Conform cerințelor tehnice solicitate; marcaj CE; certificat de etalonare/verificare metrologică după caz</w:t>
            </w:r>
          </w:p>
        </w:tc>
      </w:tr>
    </w:tbl>
    <w:p>
      <w:pPr>
        <w:spacing w:before="0" w:after="0" w:line="240" w:lineRule="auto"/>
        <w:jc w:val="left"/>
      </w:pPr>
      <w:r>
        <w:rPr>
          <w:rFonts w:ascii="Times New Roman" w:hAnsi="Times New Roman" w:eastAsia="Times New Roman"/>
          <w:b w:val="0"/>
          <w:sz w:val="16"/>
        </w:rPr>
        <w:t>Semnat: ____________________ Numele, Prenumele: ____________________ În calitate de: ____________________</w:t>
      </w:r>
    </w:p>
    <w:p>
      <w:pPr>
        <w:spacing w:before="0" w:after="0" w:line="240" w:lineRule="auto"/>
        <w:jc w:val="left"/>
      </w:pPr>
      <w:r>
        <w:rPr>
          <w:rFonts w:ascii="Times New Roman" w:hAnsi="Times New Roman" w:eastAsia="Times New Roman"/>
          <w:b w:val="0"/>
          <w:sz w:val="16"/>
        </w:rPr>
        <w:t>Ofertantul: ____________________ Adresa: ____________________</w:t>
      </w:r>
    </w:p>
    <w:p>
      <w:r>
        <w:br w:type="page"/>
      </w:r>
    </w:p>
    <w:p>
      <w:pPr>
        <w:spacing w:before="0" w:after="0" w:line="240" w:lineRule="auto"/>
        <w:jc w:val="right"/>
      </w:pPr>
      <w:r>
        <w:rPr>
          <w:rFonts w:ascii="Times New Roman" w:hAnsi="Times New Roman" w:eastAsia="Times New Roman"/>
          <w:b w:val="0"/>
          <w:sz w:val="18"/>
        </w:rPr>
        <w:t>Anexa nr. 23</w:t>
      </w:r>
    </w:p>
    <w:p>
      <w:pPr>
        <w:spacing w:before="0" w:after="0" w:line="240" w:lineRule="auto"/>
        <w:jc w:val="right"/>
      </w:pPr>
      <w:r>
        <w:rPr>
          <w:rFonts w:ascii="Times New Roman" w:hAnsi="Times New Roman" w:eastAsia="Times New Roman"/>
          <w:b w:val="0"/>
          <w:sz w:val="18"/>
        </w:rPr>
        <w:t>la Documentația standard nr._____</w:t>
      </w:r>
    </w:p>
    <w:p>
      <w:pPr>
        <w:spacing w:before="0" w:after="0" w:line="240" w:lineRule="auto"/>
        <w:jc w:val="right"/>
      </w:pPr>
      <w:r>
        <w:rPr>
          <w:rFonts w:ascii="Times New Roman" w:hAnsi="Times New Roman" w:eastAsia="Times New Roman"/>
          <w:b w:val="0"/>
          <w:sz w:val="18"/>
        </w:rPr>
        <w:t>din “____” ________ 20___</w:t>
      </w:r>
    </w:p>
    <w:p>
      <w:pPr>
        <w:spacing w:before="0" w:after="0" w:line="240" w:lineRule="auto"/>
        <w:jc w:val="center"/>
      </w:pPr>
      <w:r>
        <w:rPr>
          <w:rFonts w:ascii="Times New Roman" w:hAnsi="Times New Roman" w:eastAsia="Times New Roman"/>
          <w:b/>
          <w:sz w:val="24"/>
        </w:rPr>
        <w:t>Specificaţii de preț</w:t>
      </w:r>
    </w:p>
    <w:p>
      <w:pPr>
        <w:spacing w:before="0" w:after="0" w:line="240" w:lineRule="auto"/>
        <w:jc w:val="left"/>
      </w:pPr>
      <w:r>
        <w:rPr>
          <w:rFonts w:ascii="Times New Roman" w:hAnsi="Times New Roman" w:eastAsia="Times New Roman"/>
          <w:b w:val="0"/>
          <w:sz w:val="18"/>
        </w:rPr>
        <w:t>Numărul procedurii de achiziție______________din_________</w:t>
      </w:r>
    </w:p>
    <w:p>
      <w:pPr>
        <w:spacing w:before="0" w:after="0" w:line="240" w:lineRule="auto"/>
        <w:jc w:val="left"/>
      </w:pPr>
      <w:r>
        <w:rPr>
          <w:rFonts w:ascii="Times New Roman" w:hAnsi="Times New Roman" w:eastAsia="Times New Roman"/>
          <w:b w:val="0"/>
          <w:sz w:val="18"/>
        </w:rPr>
        <w:t>Obiectul achiziției: Achiziționarea echipamentului de laborator pentru anul 2026</w:t>
      </w:r>
    </w:p>
    <w:p>
      <w:pPr>
        <w:spacing w:before="0" w:after="0" w:line="240" w:lineRule="auto"/>
        <w:jc w:val="center"/>
      </w:pPr>
      <w:r>
        <w:rPr>
          <w:rFonts w:ascii="Times New Roman" w:hAnsi="Times New Roman" w:eastAsia="Times New Roman"/>
          <w:b w:val="0"/>
          <w:sz w:val="16"/>
        </w:rPr>
        <w:t>[Acest tabel va fi completat de către ofertant în coloanele 5, 6, 7, 8, iar de către autoritatea contractantă – în coloanele 1, 2, 3, 4, 9, 10]</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1570"/>
        <w:gridCol w:w="1570"/>
        <w:gridCol w:w="1570"/>
        <w:gridCol w:w="1570"/>
        <w:gridCol w:w="1570"/>
        <w:gridCol w:w="1570"/>
        <w:gridCol w:w="1570"/>
        <w:gridCol w:w="1570"/>
        <w:gridCol w:w="1570"/>
        <w:gridCol w:w="1570"/>
      </w:tblGrid>
      <w:tr>
        <w:trPr>
          <w:tblHeader w:val="true"/>
        </w:trPr>
        <w:tc>
          <w:tcPr>
            <w:tcW w:type="dxa" w:w="1247"/>
            <w:shd w:fill="D9D9D9"/>
          </w:tcPr>
          <w:p>
            <w:pPr>
              <w:spacing w:after="0" w:before="0"/>
              <w:jc w:val="center"/>
            </w:pPr>
            <w:r/>
            <w:r>
              <w:rPr>
                <w:rFonts w:ascii="Times New Roman" w:hAnsi="Times New Roman" w:eastAsia="Times New Roman"/>
                <w:b/>
                <w:sz w:val="13"/>
              </w:rPr>
              <w:t>Cod CPV</w:t>
            </w:r>
          </w:p>
        </w:tc>
        <w:tc>
          <w:tcPr>
            <w:tcW w:type="dxa" w:w="2381"/>
            <w:shd w:fill="D9D9D9"/>
          </w:tcPr>
          <w:p>
            <w:pPr>
              <w:spacing w:after="0" w:before="0"/>
              <w:jc w:val="center"/>
            </w:pPr>
            <w:r/>
            <w:r>
              <w:rPr>
                <w:rFonts w:ascii="Times New Roman" w:hAnsi="Times New Roman" w:eastAsia="Times New Roman"/>
                <w:b/>
                <w:sz w:val="13"/>
              </w:rPr>
              <w:t>Denumirea bunurilor/serviciilor</w:t>
            </w:r>
          </w:p>
        </w:tc>
        <w:tc>
          <w:tcPr>
            <w:tcW w:type="dxa" w:w="1020"/>
            <w:shd w:fill="D9D9D9"/>
          </w:tcPr>
          <w:p>
            <w:pPr>
              <w:spacing w:after="0" w:before="0"/>
              <w:jc w:val="center"/>
            </w:pPr>
            <w:r/>
            <w:r>
              <w:rPr>
                <w:rFonts w:ascii="Times New Roman" w:hAnsi="Times New Roman" w:eastAsia="Times New Roman"/>
                <w:b/>
                <w:sz w:val="13"/>
              </w:rPr>
              <w:t>Unitatea de măsură</w:t>
            </w:r>
          </w:p>
        </w:tc>
        <w:tc>
          <w:tcPr>
            <w:tcW w:type="dxa" w:w="907"/>
            <w:shd w:fill="D9D9D9"/>
          </w:tcPr>
          <w:p>
            <w:pPr>
              <w:spacing w:after="0" w:before="0"/>
              <w:jc w:val="center"/>
            </w:pPr>
            <w:r/>
            <w:r>
              <w:rPr>
                <w:rFonts w:ascii="Times New Roman" w:hAnsi="Times New Roman" w:eastAsia="Times New Roman"/>
                <w:b/>
                <w:sz w:val="13"/>
              </w:rPr>
              <w:t>Cantitatea</w:t>
            </w:r>
          </w:p>
        </w:tc>
        <w:tc>
          <w:tcPr>
            <w:tcW w:type="dxa" w:w="1304"/>
            <w:shd w:fill="D9D9D9"/>
          </w:tcPr>
          <w:p>
            <w:pPr>
              <w:spacing w:after="0" w:before="0"/>
              <w:jc w:val="center"/>
            </w:pPr>
            <w:r/>
            <w:r>
              <w:rPr>
                <w:rFonts w:ascii="Times New Roman" w:hAnsi="Times New Roman" w:eastAsia="Times New Roman"/>
                <w:b/>
                <w:sz w:val="13"/>
              </w:rPr>
              <w:t>Preț unitar fără TVA</w:t>
            </w:r>
          </w:p>
        </w:tc>
        <w:tc>
          <w:tcPr>
            <w:tcW w:type="dxa" w:w="1247"/>
            <w:shd w:fill="D9D9D9"/>
          </w:tcPr>
          <w:p>
            <w:pPr>
              <w:spacing w:after="0" w:before="0"/>
              <w:jc w:val="center"/>
            </w:pPr>
            <w:r/>
            <w:r>
              <w:rPr>
                <w:rFonts w:ascii="Times New Roman" w:hAnsi="Times New Roman" w:eastAsia="Times New Roman"/>
                <w:b/>
                <w:sz w:val="13"/>
              </w:rPr>
              <w:t>Preț unitar cu TVA</w:t>
            </w:r>
          </w:p>
        </w:tc>
        <w:tc>
          <w:tcPr>
            <w:tcW w:type="dxa" w:w="1247"/>
            <w:shd w:fill="D9D9D9"/>
          </w:tcPr>
          <w:p>
            <w:pPr>
              <w:spacing w:after="0" w:before="0"/>
              <w:jc w:val="center"/>
            </w:pPr>
            <w:r/>
            <w:r>
              <w:rPr>
                <w:rFonts w:ascii="Times New Roman" w:hAnsi="Times New Roman" w:eastAsia="Times New Roman"/>
                <w:b/>
                <w:sz w:val="13"/>
              </w:rPr>
              <w:t>Suma fără TVA</w:t>
            </w:r>
          </w:p>
        </w:tc>
        <w:tc>
          <w:tcPr>
            <w:tcW w:type="dxa" w:w="1247"/>
            <w:shd w:fill="D9D9D9"/>
          </w:tcPr>
          <w:p>
            <w:pPr>
              <w:spacing w:after="0" w:before="0"/>
              <w:jc w:val="center"/>
            </w:pPr>
            <w:r/>
            <w:r>
              <w:rPr>
                <w:rFonts w:ascii="Times New Roman" w:hAnsi="Times New Roman" w:eastAsia="Times New Roman"/>
                <w:b/>
                <w:sz w:val="13"/>
              </w:rPr>
              <w:t>Suma cu TVA</w:t>
            </w:r>
          </w:p>
        </w:tc>
        <w:tc>
          <w:tcPr>
            <w:tcW w:type="dxa" w:w="4536"/>
            <w:shd w:fill="D9D9D9"/>
          </w:tcPr>
          <w:p>
            <w:pPr>
              <w:spacing w:after="0" w:before="0"/>
              <w:jc w:val="center"/>
            </w:pPr>
            <w:r/>
            <w:r>
              <w:rPr>
                <w:rFonts w:ascii="Times New Roman" w:hAnsi="Times New Roman" w:eastAsia="Times New Roman"/>
                <w:b/>
                <w:sz w:val="13"/>
              </w:rPr>
              <w:t>Termenul de livrare/prestare</w:t>
            </w:r>
          </w:p>
        </w:tc>
        <w:tc>
          <w:tcPr>
            <w:tcW w:type="dxa" w:w="1134"/>
            <w:shd w:fill="D9D9D9"/>
          </w:tcPr>
          <w:p>
            <w:pPr>
              <w:spacing w:after="0" w:before="0"/>
              <w:jc w:val="center"/>
            </w:pPr>
            <w:r/>
            <w:r>
              <w:rPr>
                <w:rFonts w:ascii="Times New Roman" w:hAnsi="Times New Roman" w:eastAsia="Times New Roman"/>
                <w:b/>
                <w:sz w:val="13"/>
              </w:rPr>
              <w:t>Discount %</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 Autoclav</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LRN în infecții imunodirijabile și hepatite virale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 Autoclav</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LRN în secvențiere genomică</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3. UPS+ cartelă de rețea dedicată</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LRN în secvențiere genomică</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4. Dispozitiv Shimadzu HS-10 Headspace Sampler</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Laboratorul de încercări chimice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5. Turbidimetru</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Laboratorul de încercări chimice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6. Dulap de uscare universal cu ventilație forțată</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Cahul</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7. Autoclav de laborator microbiologic pentru sterilizarea materialelor, mediilor de cultură și deșeurilor biologice.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Cahul</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8. Balanță electronică de 1 kg cu precizia: 0,01</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Causeni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9. Deionizator de apă</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Comrat</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10. PH metru-ionomer pentru medii nutritive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Comrat</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11. Centrifuga de laborator</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Edinet</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12. pH metru (Ionomer de laborator)</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Hincesti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13. Distilator</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Orhei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14. Termostat CU RĂCIRE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Soroca</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15. Ph metru</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Ungheni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16. Set de Greutati</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Ungheni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17. Autoclav orizontal pentru decontaminare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LRN IAAM RAM, infecții bacteriene și parazitoze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18. BLENDER digital de laborator (omogenizator) pentru microbiologie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Chisinau</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19. APARAT PORTABIL DE DETECTIE MULTIGAZ</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Chisinau</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20. Set filtre de lumină spectrală.</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Secția managementul calității serviciilor de laborator</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21. Termostat</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CSP Balti</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22. Incubator CO2 cu control O2 volum 100 litre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Laboratorul microbiologie sanitară</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23. Detector de gaz Acetilena</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2</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Laboratorul de încercări chimice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24. Analizator de gaz Acetilena</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Secția managementul calității serviciilor de laborator</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25. Detector cabluri electrice</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Secția managementul calității serviciilor de laborator</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26. Incubator automat cu dioxid de carbon</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Laboratorul factori fizici, radiologici și măsurări instrumentale</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r>
        <w:trPr>
          <w:cantSplit/>
        </w:trPr>
        <w:tc>
          <w:tcPr>
            <w:tcW w:type="dxa" w:w="1247"/>
            <w:vAlign w:val="top"/>
          </w:tcPr>
          <w:p>
            <w:pPr>
              <w:spacing w:after="0" w:before="0"/>
              <w:jc w:val="center"/>
            </w:pPr>
            <w:r/>
            <w:r>
              <w:rPr>
                <w:rFonts w:ascii="Times New Roman" w:hAnsi="Times New Roman" w:eastAsia="Times New Roman"/>
                <w:b w:val="0"/>
                <w:sz w:val="12"/>
              </w:rPr>
              <w:t>38000000-5</w:t>
            </w:r>
          </w:p>
        </w:tc>
        <w:tc>
          <w:tcPr>
            <w:tcW w:type="dxa" w:w="2381"/>
            <w:vAlign w:val="top"/>
          </w:tcPr>
          <w:p>
            <w:pPr>
              <w:spacing w:after="0" w:before="0"/>
              <w:jc w:val="left"/>
            </w:pPr>
            <w:r/>
            <w:r>
              <w:rPr>
                <w:rFonts w:ascii="Times New Roman" w:hAnsi="Times New Roman" w:eastAsia="Times New Roman"/>
                <w:b w:val="0"/>
                <w:sz w:val="12"/>
              </w:rPr>
              <w:t>Lot 27. Cititor de plăci ELISA</w:t>
            </w:r>
          </w:p>
        </w:tc>
        <w:tc>
          <w:tcPr>
            <w:tcW w:type="dxa" w:w="1020"/>
            <w:vAlign w:val="top"/>
          </w:tcPr>
          <w:p>
            <w:pPr>
              <w:spacing w:after="0" w:before="0"/>
              <w:jc w:val="center"/>
            </w:pPr>
            <w:r/>
            <w:r>
              <w:rPr>
                <w:rFonts w:ascii="Times New Roman" w:hAnsi="Times New Roman" w:eastAsia="Times New Roman"/>
                <w:b w:val="0"/>
                <w:sz w:val="12"/>
              </w:rPr>
              <w:t>buc.</w:t>
            </w:r>
          </w:p>
        </w:tc>
        <w:tc>
          <w:tcPr>
            <w:tcW w:type="dxa" w:w="907"/>
            <w:vAlign w:val="top"/>
          </w:tcPr>
          <w:p>
            <w:pPr>
              <w:spacing w:after="0" w:before="0"/>
              <w:jc w:val="center"/>
            </w:pPr>
            <w:r/>
            <w:r>
              <w:rPr>
                <w:rFonts w:ascii="Times New Roman" w:hAnsi="Times New Roman" w:eastAsia="Times New Roman"/>
                <w:b w:val="0"/>
                <w:sz w:val="12"/>
              </w:rPr>
              <w:t>1</w:t>
            </w:r>
          </w:p>
        </w:tc>
        <w:tc>
          <w:tcPr>
            <w:tcW w:type="dxa" w:w="1304"/>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1247"/>
            <w:vAlign w:val="top"/>
          </w:tcPr>
          <w:p>
            <w:pPr>
              <w:spacing w:after="0" w:before="0"/>
              <w:jc w:val="center"/>
            </w:pPr>
            <w:r/>
            <w:r>
              <w:rPr>
                <w:rFonts w:ascii="Times New Roman" w:hAnsi="Times New Roman" w:eastAsia="Times New Roman"/>
                <w:b w:val="0"/>
                <w:sz w:val="12"/>
              </w:rPr>
              <w:t>[se completează de ofertant]</w:t>
            </w:r>
          </w:p>
        </w:tc>
        <w:tc>
          <w:tcPr>
            <w:tcW w:type="dxa" w:w="4536"/>
            <w:vAlign w:val="top"/>
          </w:tcPr>
          <w:p>
            <w:pPr>
              <w:spacing w:after="0" w:before="0"/>
              <w:jc w:val="left"/>
            </w:pPr>
            <w:r/>
            <w:r>
              <w:rPr>
                <w:rFonts w:ascii="Times New Roman" w:hAnsi="Times New Roman" w:eastAsia="Times New Roman"/>
                <w:b w:val="0"/>
                <w:sz w:val="12"/>
              </w:rPr>
              <w:t>90 de zile de la semnarea contractului; destinația finală: (Sajin O</w:t>
            </w:r>
          </w:p>
        </w:tc>
        <w:tc>
          <w:tcPr>
            <w:tcW w:type="dxa" w:w="1134"/>
            <w:vAlign w:val="top"/>
          </w:tcPr>
          <w:p>
            <w:pPr>
              <w:spacing w:after="0" w:before="0"/>
              <w:jc w:val="center"/>
            </w:pPr>
            <w:r/>
            <w:r>
              <w:rPr>
                <w:rFonts w:ascii="Times New Roman" w:hAnsi="Times New Roman" w:eastAsia="Times New Roman"/>
                <w:b w:val="0"/>
                <w:sz w:val="12"/>
              </w:rPr>
              <w:t>[se completează de ofertant]</w:t>
            </w:r>
          </w:p>
        </w:tc>
      </w:tr>
    </w:tbl>
    <w:p>
      <w:pPr>
        <w:spacing w:before="0" w:after="0" w:line="240" w:lineRule="auto"/>
        <w:jc w:val="left"/>
      </w:pPr>
      <w:r>
        <w:rPr>
          <w:rFonts w:ascii="Times New Roman" w:hAnsi="Times New Roman" w:eastAsia="Times New Roman"/>
          <w:b w:val="0"/>
          <w:sz w:val="16"/>
        </w:rPr>
        <w:t>Datele bancare ale autorității contractante pentru garanții: AGENȚIA NAȚIONALĂ PENTRU SĂNĂTATE PUBLICĂ, mun. Chișinău, str. Gh. Asachi, 67A, Cod fiscal: 1018601000021, CONT BANCAR: 226301, IBAN: MD91TRPCAA518410A01513AA, MF-TR Chișinău Bugetul de Stat, TREZMD2X.</w:t>
      </w:r>
    </w:p>
    <w:p>
      <w:pPr>
        <w:spacing w:before="0" w:after="0" w:line="240" w:lineRule="auto"/>
        <w:jc w:val="left"/>
      </w:pPr>
      <w:r>
        <w:rPr>
          <w:rFonts w:ascii="Times New Roman" w:hAnsi="Times New Roman" w:eastAsia="Times New Roman"/>
          <w:b w:val="0"/>
          <w:sz w:val="16"/>
        </w:rPr>
        <w:t>Semnat: ____________________ Numele, Prenumele: ____________________ În calitate de: ____________________</w:t>
      </w:r>
    </w:p>
    <w:p>
      <w:pPr>
        <w:spacing w:before="0" w:after="0" w:line="240" w:lineRule="auto"/>
        <w:jc w:val="left"/>
      </w:pPr>
      <w:r>
        <w:rPr>
          <w:rFonts w:ascii="Times New Roman" w:hAnsi="Times New Roman" w:eastAsia="Times New Roman"/>
          <w:b w:val="0"/>
          <w:sz w:val="16"/>
        </w:rPr>
        <w:t>Ofertantul: ____________________ Adresa: ____________________</w:t>
      </w:r>
    </w:p>
    <w:sectPr w:rsidR="00FC693F" w:rsidRPr="0006063C" w:rsidSect="00034616">
      <w:pgSz w:w="16838" w:h="11906"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1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