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B2D04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E2B0D7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1F0D59ED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6E3ED3B">
      <w:pPr>
        <w:ind w:left="0" w:leftChars="0" w:right="57" w:firstLine="0" w:firstLineChars="0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Privind achiziţionarea </w:t>
      </w:r>
      <w:r>
        <w:rPr>
          <w:b/>
          <w:bCs/>
          <w:caps/>
          <w:color w:val="0000FF"/>
          <w:sz w:val="24"/>
          <w:szCs w:val="24"/>
          <w:u w:val="single"/>
          <w:lang w:eastAsia="ru-RU"/>
        </w:rPr>
        <w:t>serviciilor de mentenan</w:t>
      </w:r>
      <w:r>
        <w:rPr>
          <w:b/>
          <w:bCs/>
          <w:caps/>
          <w:color w:val="0000FF"/>
          <w:sz w:val="24"/>
          <w:szCs w:val="24"/>
          <w:u w:val="single"/>
          <w:lang w:val="ro-RO" w:eastAsia="ru-RU"/>
        </w:rPr>
        <w:t>ță</w:t>
      </w:r>
      <w:r>
        <w:rPr>
          <w:b/>
          <w:bCs/>
          <w:caps/>
          <w:color w:val="0000FF"/>
          <w:sz w:val="24"/>
          <w:szCs w:val="24"/>
          <w:u w:val="single"/>
          <w:lang w:eastAsia="ru-RU"/>
        </w:rPr>
        <w:t xml:space="preserve"> a dispozitivelor medicale</w:t>
      </w:r>
    </w:p>
    <w:p w14:paraId="7DFBE7EA">
      <w:pPr>
        <w:ind w:right="57"/>
        <w:rPr>
          <w:lang w:val="ro-RO" w:eastAsia="ru-RU"/>
        </w:rPr>
      </w:pPr>
      <w:r>
        <w:rPr>
          <w:lang w:val="ro-RO" w:eastAsia="ru-RU"/>
        </w:rPr>
        <w:t>                                                                     (se indică obiectul achiziţiei)</w:t>
      </w:r>
    </w:p>
    <w:p w14:paraId="1B36E225">
      <w:pPr>
        <w:ind w:right="57" w:firstLine="0"/>
        <w:rPr>
          <w:bCs/>
          <w:sz w:val="24"/>
          <w:szCs w:val="24"/>
          <w:lang w:val="ro-RO" w:eastAsia="ru-RU"/>
        </w:rPr>
      </w:pPr>
    </w:p>
    <w:p w14:paraId="18A85898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 w14:paraId="20A417FA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1. Denumirea autorităţii contractante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IMSP Spitalul Clinic Municipal de Copii nr. 1_</w:t>
      </w:r>
    </w:p>
    <w:p w14:paraId="62DE8187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2. IDNO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1003600152569</w:t>
      </w:r>
    </w:p>
    <w:p w14:paraId="1F20C0C8">
      <w:pPr>
        <w:ind w:right="5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</w:t>
      </w:r>
      <w:r>
        <w:rPr>
          <w:b/>
          <w:sz w:val="24"/>
          <w:szCs w:val="24"/>
          <w:u w:val="single"/>
          <w:lang w:val="ro-RO" w:eastAsia="ru-RU"/>
        </w:rPr>
        <w:t xml:space="preserve"> </w:t>
      </w:r>
      <w:r>
        <w:rPr>
          <w:b/>
          <w:color w:val="0000FF"/>
          <w:sz w:val="24"/>
          <w:szCs w:val="24"/>
          <w:u w:val="single"/>
          <w:lang w:val="ro-RO" w:eastAsia="ru-RU"/>
        </w:rPr>
        <w:t>mun. Chișinău, MD2004, str. Serghei Lazo nr.7</w:t>
      </w:r>
    </w:p>
    <w:p w14:paraId="17E8F97D">
      <w:pPr>
        <w:ind w:right="5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telefon/fax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_022-24-23-69, 022-23-78-11__</w:t>
      </w:r>
    </w:p>
    <w:p w14:paraId="4C151F76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sz w:val="24"/>
          <w:szCs w:val="24"/>
          <w:lang w:val="ro-RO" w:eastAsia="ru-RU"/>
        </w:rPr>
        <w:t xml:space="preserve"> </w:t>
      </w:r>
      <w:r>
        <w:fldChar w:fldCharType="begin"/>
      </w:r>
      <w:r>
        <w:instrText xml:space="preserve"> HYPERLINK "mailto:scmc1@ms.md," </w:instrText>
      </w:r>
      <w:r>
        <w:fldChar w:fldCharType="separate"/>
      </w:r>
      <w:r>
        <w:rPr>
          <w:rStyle w:val="4"/>
          <w:b/>
          <w:bCs/>
          <w:sz w:val="24"/>
          <w:szCs w:val="24"/>
          <w:lang w:val="ro-RO" w:eastAsia="ru-RU"/>
        </w:rPr>
        <w:t>scmc1@ms.md,</w:t>
      </w:r>
      <w:r>
        <w:rPr>
          <w:rStyle w:val="4"/>
          <w:b/>
          <w:bCs/>
          <w:sz w:val="24"/>
          <w:szCs w:val="24"/>
          <w:lang w:val="ro-RO" w:eastAsia="ru-RU"/>
        </w:rPr>
        <w:fldChar w:fldCharType="end"/>
      </w:r>
      <w:r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>
        <w:fldChar w:fldCharType="begin"/>
      </w:r>
      <w:r>
        <w:instrText xml:space="preserve"> HYPERLINK "mailto:achizitii.scmc1@gmail.co" </w:instrText>
      </w:r>
      <w:r>
        <w:fldChar w:fldCharType="separate"/>
      </w:r>
      <w:r>
        <w:rPr>
          <w:rStyle w:val="4"/>
          <w:b/>
          <w:bCs/>
          <w:sz w:val="24"/>
          <w:szCs w:val="24"/>
          <w:lang w:val="ro-RO" w:eastAsia="ru-RU"/>
        </w:rPr>
        <w:t>achizitii.scmc1@gmail.co</w:t>
      </w:r>
      <w:r>
        <w:rPr>
          <w:rStyle w:val="4"/>
          <w:b/>
          <w:bCs/>
          <w:sz w:val="24"/>
          <w:szCs w:val="24"/>
          <w:lang w:val="ro-RO" w:eastAsia="ru-RU"/>
        </w:rPr>
        <w:fldChar w:fldCharType="end"/>
      </w:r>
      <w:r>
        <w:rPr>
          <w:b/>
          <w:bCs/>
          <w:sz w:val="24"/>
          <w:szCs w:val="24"/>
          <w:u w:val="single"/>
          <w:lang w:val="ro-RO" w:eastAsia="ru-RU"/>
        </w:rPr>
        <w:t xml:space="preserve">m, web: </w:t>
      </w:r>
      <w:r>
        <w:fldChar w:fldCharType="begin"/>
      </w:r>
      <w:r>
        <w:instrText xml:space="preserve"> HYPERLINK "http://www.spitalul-copii.md" </w:instrText>
      </w:r>
      <w:r>
        <w:fldChar w:fldCharType="separate"/>
      </w:r>
      <w:r>
        <w:rPr>
          <w:rStyle w:val="4"/>
          <w:b/>
          <w:bCs/>
          <w:sz w:val="24"/>
          <w:szCs w:val="24"/>
          <w:lang w:val="ro-RO" w:eastAsia="ru-RU"/>
        </w:rPr>
        <w:t>www.spitalul-copii.md</w:t>
      </w:r>
      <w:r>
        <w:rPr>
          <w:rStyle w:val="4"/>
          <w:b/>
          <w:bCs/>
          <w:sz w:val="24"/>
          <w:szCs w:val="24"/>
          <w:lang w:val="ro-RO" w:eastAsia="ru-RU"/>
        </w:rPr>
        <w:fldChar w:fldCharType="end"/>
      </w:r>
      <w:r>
        <w:rPr>
          <w:b/>
          <w:bCs/>
          <w:sz w:val="24"/>
          <w:szCs w:val="24"/>
          <w:u w:val="single"/>
          <w:lang w:val="ro-RO" w:eastAsia="ru-RU"/>
        </w:rPr>
        <w:t xml:space="preserve"> </w:t>
      </w:r>
    </w:p>
    <w:p w14:paraId="7CB6F6A9">
      <w:pPr>
        <w:ind w:right="57"/>
        <w:rPr>
          <w:bCs/>
          <w:sz w:val="24"/>
          <w:szCs w:val="24"/>
          <w:lang w:val="ro-RO" w:eastAsia="ru-RU"/>
        </w:rPr>
      </w:pPr>
    </w:p>
    <w:p w14:paraId="736DBAE3">
      <w:pPr>
        <w:numPr>
          <w:ilvl w:val="0"/>
          <w:numId w:val="2"/>
        </w:numPr>
        <w:ind w:right="57"/>
        <w:rPr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107B1831">
      <w:pPr>
        <w:ind w:right="57"/>
        <w:rPr>
          <w:b/>
          <w:bCs/>
          <w:color w:val="0000FF"/>
          <w:sz w:val="24"/>
          <w:szCs w:val="24"/>
          <w:u w:val="single"/>
          <w:lang w:val="ro-RO" w:eastAsia="ru-RU"/>
        </w:rPr>
      </w:pPr>
      <w:bookmarkStart w:id="0" w:name="_GoBack"/>
      <w:bookmarkEnd w:id="0"/>
      <w:r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Cs/>
          <w:color w:val="0000FF"/>
          <w:sz w:val="24"/>
          <w:szCs w:val="24"/>
          <w:lang w:val="ro-RO" w:eastAsia="ru-RU"/>
        </w:rPr>
        <w:t xml:space="preserve">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Instituție Medico-Sanitară Publică Spitalul Clinic Municipal de Copii nr. 1</w:t>
      </w:r>
    </w:p>
    <w:p w14:paraId="58BEDECE">
      <w:pPr>
        <w:ind w:right="57"/>
        <w:rPr>
          <w:b/>
          <w:bCs/>
          <w:color w:val="0000FF"/>
          <w:sz w:val="24"/>
          <w:szCs w:val="24"/>
          <w:u w:val="single"/>
          <w:lang w:val="ro-RO" w:eastAsia="ru-RU"/>
        </w:rPr>
      </w:pPr>
    </w:p>
    <w:p w14:paraId="46342AB6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0993F42D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11"/>
        <w:tblW w:w="5587" w:type="pct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7"/>
        <w:gridCol w:w="1182"/>
        <w:gridCol w:w="1077"/>
        <w:gridCol w:w="1000"/>
        <w:gridCol w:w="900"/>
        <w:gridCol w:w="4665"/>
        <w:gridCol w:w="1350"/>
      </w:tblGrid>
      <w:tr w14:paraId="0B922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</w:tcPr>
          <w:p w14:paraId="2A49A6A8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Nr.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552" w:type="pct"/>
          </w:tcPr>
          <w:p w14:paraId="770C33BD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503" w:type="pct"/>
          </w:tcPr>
          <w:p w14:paraId="6C8ED582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bunurilor/serviciilor</w:t>
            </w:r>
          </w:p>
        </w:tc>
        <w:tc>
          <w:tcPr>
            <w:tcW w:w="467" w:type="pct"/>
          </w:tcPr>
          <w:p w14:paraId="624D5F56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Unitatea de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măsură</w:t>
            </w:r>
          </w:p>
        </w:tc>
        <w:tc>
          <w:tcPr>
            <w:tcW w:w="420" w:type="pct"/>
          </w:tcPr>
          <w:p w14:paraId="35A38C7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79" w:type="pct"/>
          </w:tcPr>
          <w:p w14:paraId="009863DA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30" w:type="pct"/>
          </w:tcPr>
          <w:p w14:paraId="416827D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Valoarea estimată</w:t>
            </w:r>
          </w:p>
          <w:p w14:paraId="134F1265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(se va indica pentru fiecare lot în parte)</w:t>
            </w:r>
          </w:p>
        </w:tc>
      </w:tr>
      <w:tr w14:paraId="6C655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  <w:shd w:val="clear" w:color="auto" w:fill="AEAAAA" w:themeFill="background2" w:themeFillShade="BF"/>
          </w:tcPr>
          <w:p w14:paraId="3726013C">
            <w:pPr>
              <w:ind w:firstLine="0"/>
              <w:rPr>
                <w:lang w:val="ro-RO"/>
              </w:rPr>
            </w:pPr>
          </w:p>
        </w:tc>
        <w:tc>
          <w:tcPr>
            <w:tcW w:w="552" w:type="pct"/>
            <w:shd w:val="clear" w:color="auto" w:fill="AEAAAA" w:themeFill="background2" w:themeFillShade="BF"/>
          </w:tcPr>
          <w:p w14:paraId="127E0A84">
            <w:pPr>
              <w:ind w:firstLine="0"/>
              <w:rPr>
                <w:lang w:val="ro-RO"/>
              </w:rPr>
            </w:pPr>
          </w:p>
        </w:tc>
        <w:tc>
          <w:tcPr>
            <w:tcW w:w="503" w:type="pct"/>
            <w:shd w:val="clear" w:color="auto" w:fill="AEAAAA" w:themeFill="background2" w:themeFillShade="BF"/>
          </w:tcPr>
          <w:p w14:paraId="29FE3E58">
            <w:pPr>
              <w:ind w:firstLine="0"/>
              <w:rPr>
                <w:lang w:val="ro-RO"/>
              </w:rPr>
            </w:pPr>
          </w:p>
        </w:tc>
        <w:tc>
          <w:tcPr>
            <w:tcW w:w="467" w:type="pct"/>
            <w:shd w:val="clear" w:color="auto" w:fill="AEAAAA" w:themeFill="background2" w:themeFillShade="BF"/>
          </w:tcPr>
          <w:p w14:paraId="4A1BB348">
            <w:pPr>
              <w:ind w:firstLine="0"/>
              <w:rPr>
                <w:lang w:val="ro-RO"/>
              </w:rPr>
            </w:pPr>
          </w:p>
        </w:tc>
        <w:tc>
          <w:tcPr>
            <w:tcW w:w="420" w:type="pct"/>
            <w:shd w:val="clear" w:color="auto" w:fill="AEAAAA" w:themeFill="background2" w:themeFillShade="BF"/>
          </w:tcPr>
          <w:p w14:paraId="3CCE1F1F">
            <w:pPr>
              <w:ind w:firstLine="0"/>
              <w:rPr>
                <w:lang w:val="ro-RO"/>
              </w:rPr>
            </w:pPr>
          </w:p>
        </w:tc>
        <w:tc>
          <w:tcPr>
            <w:tcW w:w="2179" w:type="pct"/>
            <w:shd w:val="clear" w:color="auto" w:fill="AEAAAA" w:themeFill="background2" w:themeFillShade="BF"/>
          </w:tcPr>
          <w:p w14:paraId="10DF589C">
            <w:pPr>
              <w:ind w:firstLine="0"/>
              <w:rPr>
                <w:lang w:val="ro-RO"/>
              </w:rPr>
            </w:pPr>
          </w:p>
        </w:tc>
        <w:tc>
          <w:tcPr>
            <w:tcW w:w="630" w:type="pct"/>
            <w:shd w:val="clear" w:color="auto" w:fill="AEAAAA" w:themeFill="background2" w:themeFillShade="BF"/>
          </w:tcPr>
          <w:p w14:paraId="365E8B3E">
            <w:pPr>
              <w:ind w:firstLine="0"/>
              <w:rPr>
                <w:lang w:val="ro-RO"/>
              </w:rPr>
            </w:pPr>
          </w:p>
        </w:tc>
      </w:tr>
      <w:tr w14:paraId="4FF95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</w:tcPr>
          <w:p w14:paraId="4CFA15B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52" w:type="pct"/>
          </w:tcPr>
          <w:p w14:paraId="2D7B4E0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50420000-5</w:t>
            </w:r>
          </w:p>
        </w:tc>
        <w:tc>
          <w:tcPr>
            <w:tcW w:w="503" w:type="pct"/>
          </w:tcPr>
          <w:p w14:paraId="64767DFD">
            <w:pPr>
              <w:ind w:firstLine="0"/>
              <w:rPr>
                <w:b/>
                <w:bCs/>
                <w:color w:val="0000FF"/>
                <w:lang w:val="ro-RO"/>
              </w:rPr>
            </w:pPr>
            <w:r>
              <w:rPr>
                <w:b/>
                <w:bCs/>
                <w:lang w:val="ro-RO" w:eastAsia="ru-RU"/>
              </w:rPr>
              <w:t>Lotul 1</w:t>
            </w:r>
            <w:r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color w:val="0000FF"/>
                <w:lang w:val="ro-RO"/>
              </w:rPr>
              <w:t>Autoclav ASL 100 SMS</w:t>
            </w:r>
          </w:p>
        </w:tc>
        <w:tc>
          <w:tcPr>
            <w:tcW w:w="467" w:type="pct"/>
          </w:tcPr>
          <w:p w14:paraId="41449EF5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420" w:type="pct"/>
          </w:tcPr>
          <w:p w14:paraId="69F4A9A1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179" w:type="pct"/>
          </w:tcPr>
          <w:p w14:paraId="1BAE375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Mentenanta Corectiva </w:t>
            </w:r>
          </w:p>
          <w:p w14:paraId="2E138203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Autoclav SMS Sp. Z o.o. ,  model ASL 100 MV+ FA, nr serie  119.</w:t>
            </w:r>
          </w:p>
          <w:p w14:paraId="041C5F27">
            <w:pPr>
              <w:ind w:firstLine="0"/>
              <w:rPr>
                <w:lang w:val="ro-RO"/>
              </w:rPr>
            </w:pPr>
            <w:r>
              <w:rPr>
                <w:rFonts w:hint="default"/>
                <w:lang w:val="ro-RO"/>
              </w:rPr>
              <w:t xml:space="preserve">Mentenanta corectiva </w:t>
            </w:r>
            <w:r>
              <w:rPr>
                <w:lang w:val="ro-RO"/>
              </w:rPr>
              <w:t>va include inlocuirea pompei  de vacuum Speck VI15 cod :0871-900-052, si inlocuirea valvei electromagnetice 3zH14-220VAC+ PlugPG11 Din A cod : 0918-114-194</w:t>
            </w:r>
          </w:p>
          <w:p w14:paraId="07798E84">
            <w:pPr>
              <w:ind w:firstLine="0"/>
            </w:pPr>
            <w:r>
              <w:t>Verificarea etanșeității sistemului de vacuum</w:t>
            </w:r>
          </w:p>
          <w:p w14:paraId="1216FB79">
            <w:pPr>
              <w:ind w:firstLine="0"/>
              <w:rPr>
                <w:lang w:val="zh-CN"/>
              </w:rPr>
            </w:pPr>
            <w:r>
              <w:t>V</w:t>
            </w:r>
            <w:r>
              <w:rPr>
                <w:lang w:val="zh-CN"/>
              </w:rPr>
              <w:t>erificarea nivelului de vacuum obținut conform parametrilor tehnici ai echipamentului</w:t>
            </w:r>
          </w:p>
          <w:p w14:paraId="2F4D0C70">
            <w:pPr>
              <w:ind w:firstLine="0"/>
            </w:pPr>
            <w:r>
              <w:t>Test funcțional complet al echipamentului după intervenție</w:t>
            </w:r>
          </w:p>
          <w:p w14:paraId="49F219C2">
            <w:pPr>
              <w:ind w:firstLine="0"/>
              <w:rPr>
                <w:lang w:val="zh-CN"/>
              </w:rPr>
            </w:pPr>
            <w:r>
              <w:t xml:space="preserve">Piesele de schimb trebuie să fie </w:t>
            </w:r>
            <w:r>
              <w:rPr>
                <w:rStyle w:val="5"/>
                <w:b w:val="0"/>
                <w:bCs w:val="0"/>
              </w:rPr>
              <w:t>originale sau echivalente certificate</w:t>
            </w:r>
            <w:r>
              <w:t>, compatibile cu modelul echipamentului existent</w:t>
            </w:r>
          </w:p>
          <w:p w14:paraId="1CD98E37">
            <w:pPr>
              <w:ind w:firstLine="0"/>
              <w:rPr>
                <w:lang w:val="ro-RO"/>
              </w:rPr>
            </w:pPr>
            <w:r>
              <w:t>Se va oferi garanție minim 12 luni pentru piesele înlocuite și manoperă.</w:t>
            </w:r>
          </w:p>
        </w:tc>
        <w:tc>
          <w:tcPr>
            <w:tcW w:w="630" w:type="pct"/>
          </w:tcPr>
          <w:p w14:paraId="697D150A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  <w:r>
              <w:rPr>
                <w:b/>
                <w:bCs/>
                <w:color w:val="0000FF"/>
                <w:lang w:val="ro-RO"/>
              </w:rPr>
              <w:t>57459</w:t>
            </w:r>
          </w:p>
        </w:tc>
      </w:tr>
      <w:tr w14:paraId="5F4545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  <w:shd w:val="clear" w:color="auto" w:fill="AEAAAA" w:themeFill="background2" w:themeFillShade="BF"/>
          </w:tcPr>
          <w:p w14:paraId="24BF9FE4">
            <w:pPr>
              <w:ind w:firstLine="0"/>
              <w:rPr>
                <w:lang w:val="ro-RO"/>
              </w:rPr>
            </w:pPr>
          </w:p>
        </w:tc>
        <w:tc>
          <w:tcPr>
            <w:tcW w:w="552" w:type="pct"/>
            <w:shd w:val="clear" w:color="auto" w:fill="AEAAAA" w:themeFill="background2" w:themeFillShade="BF"/>
          </w:tcPr>
          <w:p w14:paraId="7CF247E5">
            <w:pPr>
              <w:ind w:firstLine="0"/>
              <w:rPr>
                <w:lang w:val="ro-RO"/>
              </w:rPr>
            </w:pPr>
          </w:p>
        </w:tc>
        <w:tc>
          <w:tcPr>
            <w:tcW w:w="503" w:type="pct"/>
            <w:shd w:val="clear" w:color="auto" w:fill="AEAAAA" w:themeFill="background2" w:themeFillShade="BF"/>
          </w:tcPr>
          <w:p w14:paraId="4AAF3348">
            <w:pPr>
              <w:ind w:firstLine="0"/>
              <w:rPr>
                <w:lang w:val="ro-RO"/>
              </w:rPr>
            </w:pPr>
          </w:p>
        </w:tc>
        <w:tc>
          <w:tcPr>
            <w:tcW w:w="467" w:type="pct"/>
            <w:shd w:val="clear" w:color="auto" w:fill="AEAAAA" w:themeFill="background2" w:themeFillShade="BF"/>
          </w:tcPr>
          <w:p w14:paraId="469C21C3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420" w:type="pct"/>
            <w:shd w:val="clear" w:color="auto" w:fill="AEAAAA" w:themeFill="background2" w:themeFillShade="BF"/>
          </w:tcPr>
          <w:p w14:paraId="4EF6B57D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179" w:type="pct"/>
            <w:shd w:val="clear" w:color="auto" w:fill="AEAAAA" w:themeFill="background2" w:themeFillShade="BF"/>
          </w:tcPr>
          <w:p w14:paraId="0C5EE78E">
            <w:pPr>
              <w:ind w:firstLine="0"/>
              <w:rPr>
                <w:lang w:val="ro-RO"/>
              </w:rPr>
            </w:pPr>
          </w:p>
        </w:tc>
        <w:tc>
          <w:tcPr>
            <w:tcW w:w="630" w:type="pct"/>
            <w:shd w:val="clear" w:color="auto" w:fill="AEAAAA" w:themeFill="background2" w:themeFillShade="BF"/>
          </w:tcPr>
          <w:p w14:paraId="03AE14BC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</w:p>
        </w:tc>
      </w:tr>
      <w:tr w14:paraId="3FA90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</w:tcPr>
          <w:p w14:paraId="4005BE2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52" w:type="pct"/>
          </w:tcPr>
          <w:p w14:paraId="07DFDAC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50420000-5</w:t>
            </w:r>
          </w:p>
        </w:tc>
        <w:tc>
          <w:tcPr>
            <w:tcW w:w="503" w:type="pct"/>
          </w:tcPr>
          <w:p w14:paraId="058AE161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 w:eastAsia="ru-RU"/>
              </w:rPr>
              <w:t>Lotul 2</w:t>
            </w:r>
            <w:r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color w:val="0000FF"/>
                <w:lang w:val="ro-RO"/>
              </w:rPr>
              <w:t>PROTEC 500 B</w:t>
            </w:r>
          </w:p>
        </w:tc>
        <w:tc>
          <w:tcPr>
            <w:tcW w:w="467" w:type="pct"/>
            <w:shd w:val="clear" w:color="auto" w:fill="auto"/>
          </w:tcPr>
          <w:p w14:paraId="3C649D2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420" w:type="pct"/>
            <w:shd w:val="clear" w:color="auto" w:fill="auto"/>
          </w:tcPr>
          <w:p w14:paraId="0F77E3B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 vizite</w:t>
            </w:r>
          </w:p>
        </w:tc>
        <w:tc>
          <w:tcPr>
            <w:tcW w:w="2179" w:type="pct"/>
          </w:tcPr>
          <w:p w14:paraId="6927E37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─Inspecția vizuală a dispozitivului privind integritatea acestuia;</w:t>
            </w:r>
          </w:p>
          <w:p w14:paraId="56989A4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─Curățarea părților de lucru;</w:t>
            </w:r>
          </w:p>
          <w:p w14:paraId="316EA7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─Dezinfectarea și curățarea părților funcționale;</w:t>
            </w:r>
          </w:p>
          <w:p w14:paraId="7C033C9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─Diagnosticarea defecțiunilor tehnice și software;</w:t>
            </w:r>
          </w:p>
          <w:p w14:paraId="034C168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─Efectuarea inspecțiilor conform manualului de servis;</w:t>
            </w:r>
          </w:p>
          <w:p w14:paraId="7FFA8A8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─Înlocuirea la necesitate a pieselor și consumabilelor;</w:t>
            </w:r>
          </w:p>
          <w:p w14:paraId="1B5984D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─Înlăturarea tuturor defectelor depistate tehnice cît și cele de program;</w:t>
            </w:r>
          </w:p>
          <w:p w14:paraId="0D087E8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─Calibrarea dispozitivului;</w:t>
            </w:r>
          </w:p>
          <w:p w14:paraId="7A4E3CF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─Predarea actelor de efectuare a lucrărilor și punere în funcțiune a dispozitivului;</w:t>
            </w:r>
          </w:p>
          <w:p w14:paraId="2880A8B6">
            <w:pPr>
              <w:ind w:right="-815" w:firstLine="0"/>
              <w:rPr>
                <w:lang w:val="ro-RO"/>
              </w:rPr>
            </w:pPr>
            <w:r>
              <w:rPr>
                <w:lang w:val="ro-RO"/>
              </w:rPr>
              <w:t>─Training pentru utilizatori, la necesitate.</w:t>
            </w:r>
          </w:p>
        </w:tc>
        <w:tc>
          <w:tcPr>
            <w:tcW w:w="630" w:type="pct"/>
          </w:tcPr>
          <w:p w14:paraId="48BCA5C4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  <w:r>
              <w:rPr>
                <w:b/>
                <w:bCs/>
                <w:color w:val="0000FF"/>
                <w:lang w:val="ro-RO"/>
              </w:rPr>
              <w:t>43200</w:t>
            </w:r>
          </w:p>
        </w:tc>
      </w:tr>
      <w:tr w14:paraId="55163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  <w:shd w:val="clear" w:color="auto" w:fill="AEAAAA" w:themeFill="background2" w:themeFillShade="BF"/>
          </w:tcPr>
          <w:p w14:paraId="7182DA8F">
            <w:pPr>
              <w:ind w:firstLine="0"/>
              <w:rPr>
                <w:lang w:val="ro-RO"/>
              </w:rPr>
            </w:pPr>
          </w:p>
        </w:tc>
        <w:tc>
          <w:tcPr>
            <w:tcW w:w="552" w:type="pct"/>
            <w:shd w:val="clear" w:color="auto" w:fill="AEAAAA" w:themeFill="background2" w:themeFillShade="BF"/>
          </w:tcPr>
          <w:p w14:paraId="417C5F02">
            <w:pPr>
              <w:ind w:firstLine="0"/>
              <w:rPr>
                <w:lang w:val="ro-RO"/>
              </w:rPr>
            </w:pPr>
          </w:p>
        </w:tc>
        <w:tc>
          <w:tcPr>
            <w:tcW w:w="503" w:type="pct"/>
            <w:shd w:val="clear" w:color="auto" w:fill="AEAAAA" w:themeFill="background2" w:themeFillShade="BF"/>
          </w:tcPr>
          <w:p w14:paraId="2FF96568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67" w:type="pct"/>
            <w:shd w:val="clear" w:color="auto" w:fill="AEAAAA" w:themeFill="background2" w:themeFillShade="BF"/>
          </w:tcPr>
          <w:p w14:paraId="1A92841F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420" w:type="pct"/>
            <w:shd w:val="clear" w:color="auto" w:fill="AEAAAA" w:themeFill="background2" w:themeFillShade="BF"/>
          </w:tcPr>
          <w:p w14:paraId="2946CD61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179" w:type="pct"/>
            <w:shd w:val="clear" w:color="auto" w:fill="AEAAAA" w:themeFill="background2" w:themeFillShade="BF"/>
          </w:tcPr>
          <w:p w14:paraId="5F5B22C4">
            <w:pPr>
              <w:ind w:firstLine="0"/>
              <w:rPr>
                <w:lang w:val="ro-RO"/>
              </w:rPr>
            </w:pPr>
          </w:p>
        </w:tc>
        <w:tc>
          <w:tcPr>
            <w:tcW w:w="630" w:type="pct"/>
            <w:shd w:val="clear" w:color="auto" w:fill="AEAAAA" w:themeFill="background2" w:themeFillShade="BF"/>
          </w:tcPr>
          <w:p w14:paraId="48FA2F2F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</w:p>
        </w:tc>
      </w:tr>
      <w:tr w14:paraId="28EA2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6" w:type="pct"/>
          </w:tcPr>
          <w:p w14:paraId="5A0295F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52" w:type="pct"/>
          </w:tcPr>
          <w:p w14:paraId="468CDE3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50420000-5</w:t>
            </w:r>
          </w:p>
        </w:tc>
        <w:tc>
          <w:tcPr>
            <w:tcW w:w="503" w:type="pct"/>
          </w:tcPr>
          <w:p w14:paraId="0C56BA95">
            <w:pPr>
              <w:ind w:firstLine="0"/>
              <w:rPr>
                <w:i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Lotul 3</w:t>
            </w:r>
            <w:r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iCs/>
                <w:color w:val="0000FF"/>
                <w:lang w:val="ro-RO" w:eastAsia="ru-RU"/>
              </w:rPr>
              <w:t>IBIS Digital Symply</w:t>
            </w:r>
          </w:p>
        </w:tc>
        <w:tc>
          <w:tcPr>
            <w:tcW w:w="467" w:type="pct"/>
            <w:shd w:val="clear" w:color="auto" w:fill="auto"/>
          </w:tcPr>
          <w:p w14:paraId="33E843F2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420" w:type="pct"/>
            <w:shd w:val="clear" w:color="auto" w:fill="auto"/>
          </w:tcPr>
          <w:p w14:paraId="634CE1A9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 vizite</w:t>
            </w:r>
          </w:p>
        </w:tc>
        <w:tc>
          <w:tcPr>
            <w:tcW w:w="2179" w:type="pct"/>
          </w:tcPr>
          <w:p w14:paraId="25ECB63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─Inspecția vizuală a dispozitivului privind integritatea acestuia;</w:t>
            </w:r>
          </w:p>
          <w:p w14:paraId="320A8B06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─Curățarea părților de lucru;</w:t>
            </w:r>
          </w:p>
          <w:p w14:paraId="759EB8DC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─Dezinfectarea și curățarea părților funcționale;</w:t>
            </w:r>
          </w:p>
          <w:p w14:paraId="064E0A0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─Diagnosticarea defecțiunilor tehnice și software;</w:t>
            </w:r>
          </w:p>
          <w:p w14:paraId="473FD162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─Efectuarea inspecțiilor conform manualului de servis;</w:t>
            </w:r>
          </w:p>
          <w:p w14:paraId="1435467D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─Înlocuirea la necesitate a pieselor și consumabilelor;</w:t>
            </w:r>
          </w:p>
          <w:p w14:paraId="03D40F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─Înlăturarea tuturor defectelor depistate tehnice cît și cele de program;</w:t>
            </w:r>
          </w:p>
          <w:p w14:paraId="0F48B73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─Calibrarea dispozitivului;</w:t>
            </w:r>
          </w:p>
          <w:p w14:paraId="3876951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─Predarea actelor de efectuare a lucrărilor și punere în funcțiune a dispozitivului;</w:t>
            </w:r>
          </w:p>
          <w:p w14:paraId="5C6B431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─Training pentru utilizatori, la necesitate.</w:t>
            </w:r>
          </w:p>
        </w:tc>
        <w:tc>
          <w:tcPr>
            <w:tcW w:w="630" w:type="pct"/>
          </w:tcPr>
          <w:p w14:paraId="692CFA71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  <w:r>
              <w:rPr>
                <w:b/>
                <w:bCs/>
                <w:color w:val="0000FF"/>
                <w:lang w:val="ro-RO"/>
              </w:rPr>
              <w:t>34800</w:t>
            </w:r>
          </w:p>
        </w:tc>
      </w:tr>
      <w:tr w14:paraId="2A247E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6" w:type="pct"/>
            <w:shd w:val="clear" w:color="auto" w:fill="AEAAAA" w:themeFill="background2" w:themeFillShade="BF"/>
          </w:tcPr>
          <w:p w14:paraId="4CDC8E14">
            <w:pPr>
              <w:ind w:firstLine="0"/>
              <w:rPr>
                <w:lang w:val="ro-RO"/>
              </w:rPr>
            </w:pPr>
          </w:p>
        </w:tc>
        <w:tc>
          <w:tcPr>
            <w:tcW w:w="552" w:type="pct"/>
            <w:shd w:val="clear" w:color="auto" w:fill="AEAAAA" w:themeFill="background2" w:themeFillShade="BF"/>
          </w:tcPr>
          <w:p w14:paraId="3AF94FFC">
            <w:pPr>
              <w:ind w:firstLine="0"/>
              <w:rPr>
                <w:lang w:val="ro-RO"/>
              </w:rPr>
            </w:pPr>
          </w:p>
        </w:tc>
        <w:tc>
          <w:tcPr>
            <w:tcW w:w="503" w:type="pct"/>
            <w:shd w:val="clear" w:color="auto" w:fill="AEAAAA" w:themeFill="background2" w:themeFillShade="BF"/>
          </w:tcPr>
          <w:p w14:paraId="646BF9A6">
            <w:pPr>
              <w:ind w:firstLine="0"/>
              <w:rPr>
                <w:iCs/>
                <w:lang w:val="ro-RO" w:eastAsia="ru-RU"/>
              </w:rPr>
            </w:pPr>
          </w:p>
        </w:tc>
        <w:tc>
          <w:tcPr>
            <w:tcW w:w="467" w:type="pct"/>
            <w:shd w:val="clear" w:color="auto" w:fill="AEAAAA" w:themeFill="background2" w:themeFillShade="BF"/>
          </w:tcPr>
          <w:p w14:paraId="73EFC895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420" w:type="pct"/>
            <w:shd w:val="clear" w:color="auto" w:fill="AEAAAA" w:themeFill="background2" w:themeFillShade="BF"/>
          </w:tcPr>
          <w:p w14:paraId="2A6750CC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2179" w:type="pct"/>
            <w:shd w:val="clear" w:color="auto" w:fill="AEAAAA" w:themeFill="background2" w:themeFillShade="BF"/>
          </w:tcPr>
          <w:p w14:paraId="28613B32">
            <w:pPr>
              <w:ind w:firstLine="0"/>
              <w:rPr>
                <w:lang w:val="ro-RO"/>
              </w:rPr>
            </w:pPr>
          </w:p>
        </w:tc>
        <w:tc>
          <w:tcPr>
            <w:tcW w:w="630" w:type="pct"/>
            <w:shd w:val="clear" w:color="auto" w:fill="AEAAAA" w:themeFill="background2" w:themeFillShade="BF"/>
          </w:tcPr>
          <w:p w14:paraId="5D18371D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</w:p>
        </w:tc>
      </w:tr>
      <w:tr w14:paraId="7322D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2" w:hRule="atLeast"/>
        </w:trPr>
        <w:tc>
          <w:tcPr>
            <w:tcW w:w="246" w:type="pct"/>
          </w:tcPr>
          <w:p w14:paraId="4C53622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52" w:type="pct"/>
          </w:tcPr>
          <w:p w14:paraId="6486CB33">
            <w:pPr>
              <w:ind w:firstLine="0"/>
              <w:rPr>
                <w:b/>
                <w:bCs/>
                <w:lang w:val="ro-RO"/>
              </w:rPr>
            </w:pPr>
            <w:r>
              <w:rPr>
                <w:lang w:val="ro-RO"/>
              </w:rPr>
              <w:t>50420000-5</w:t>
            </w:r>
          </w:p>
        </w:tc>
        <w:tc>
          <w:tcPr>
            <w:tcW w:w="503" w:type="pct"/>
          </w:tcPr>
          <w:p w14:paraId="798FF04A">
            <w:pPr>
              <w:ind w:firstLine="0"/>
              <w:rPr>
                <w:i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Lotul 4</w:t>
            </w:r>
            <w:r>
              <w:rPr>
                <w:b/>
                <w:bCs/>
                <w:lang w:eastAsia="ru-RU"/>
              </w:rPr>
              <w:t xml:space="preserve"> </w:t>
            </w:r>
            <w:r>
              <w:rPr>
                <w:b/>
                <w:bCs/>
                <w:iCs/>
                <w:color w:val="0000FF"/>
                <w:lang w:val="ro-RO" w:eastAsia="ru-RU"/>
              </w:rPr>
              <w:t>APLIO A</w:t>
            </w:r>
          </w:p>
        </w:tc>
        <w:tc>
          <w:tcPr>
            <w:tcW w:w="467" w:type="pct"/>
            <w:shd w:val="clear" w:color="auto" w:fill="auto"/>
          </w:tcPr>
          <w:p w14:paraId="01F10057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420" w:type="pct"/>
            <w:shd w:val="clear" w:color="auto" w:fill="auto"/>
          </w:tcPr>
          <w:p w14:paraId="1D6C286F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2 vizite</w:t>
            </w:r>
          </w:p>
        </w:tc>
        <w:tc>
          <w:tcPr>
            <w:tcW w:w="2179" w:type="pct"/>
          </w:tcPr>
          <w:p w14:paraId="1ADD6B2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─Inspecția vizuală a dispozitivului privind integritatea acestuia;</w:t>
            </w:r>
          </w:p>
          <w:p w14:paraId="7AE493B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─Curățarea părților de lucru;</w:t>
            </w:r>
          </w:p>
          <w:p w14:paraId="5FA0EEB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─Dezinfectarea și curățarea părților funcționale;</w:t>
            </w:r>
          </w:p>
          <w:p w14:paraId="2FE8E6C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─Diagnosticarea defecțiunilor tehnice și software;</w:t>
            </w:r>
          </w:p>
          <w:p w14:paraId="77AFEA9F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─Efectuarea inspecțiilor conform manualului de servis;</w:t>
            </w:r>
          </w:p>
          <w:p w14:paraId="4A87AE7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─Înlocuirea la necesitate a pieselor și consumabilelor;</w:t>
            </w:r>
          </w:p>
          <w:p w14:paraId="3AFEFD3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─Înlăturarea tuturor defectelor depistate tehnice cît și cele de program;</w:t>
            </w:r>
          </w:p>
          <w:p w14:paraId="2C7AFE28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─Calibrarea dispozitivului;</w:t>
            </w:r>
          </w:p>
          <w:p w14:paraId="53F4E677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─Predarea actelor de efectuare a lucrărilor și punere în funcțiune a dispozitivului;</w:t>
            </w:r>
          </w:p>
          <w:p w14:paraId="11337E8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─Training pentru utilizatori, la necesitate.</w:t>
            </w:r>
          </w:p>
        </w:tc>
        <w:tc>
          <w:tcPr>
            <w:tcW w:w="630" w:type="pct"/>
          </w:tcPr>
          <w:p w14:paraId="2BE5AAD1">
            <w:pPr>
              <w:ind w:firstLine="0"/>
              <w:jc w:val="right"/>
              <w:rPr>
                <w:b/>
                <w:bCs/>
                <w:color w:val="0000FF"/>
                <w:lang w:val="ro-RO"/>
              </w:rPr>
            </w:pPr>
            <w:r>
              <w:rPr>
                <w:b/>
                <w:bCs/>
                <w:color w:val="0000FF"/>
                <w:lang w:val="ro-RO"/>
              </w:rPr>
              <w:t>7500</w:t>
            </w:r>
          </w:p>
        </w:tc>
      </w:tr>
      <w:tr w14:paraId="2ADB5C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</w:trPr>
        <w:tc>
          <w:tcPr>
            <w:tcW w:w="4369" w:type="pct"/>
            <w:gridSpan w:val="6"/>
          </w:tcPr>
          <w:p w14:paraId="45022473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630" w:type="pct"/>
          </w:tcPr>
          <w:p w14:paraId="6B0BC6DC">
            <w:pPr>
              <w:ind w:firstLine="0"/>
              <w:jc w:val="right"/>
              <w:rPr>
                <w:rFonts w:hint="default"/>
                <w:b/>
                <w:bCs/>
                <w:color w:val="0000FF"/>
              </w:rPr>
            </w:pPr>
            <w:r>
              <w:rPr>
                <w:b/>
                <w:bCs/>
                <w:color w:val="0000FF"/>
              </w:rPr>
              <w:t>142</w:t>
            </w:r>
            <w:r>
              <w:rPr>
                <w:rFonts w:hint="default"/>
                <w:b/>
                <w:bCs/>
                <w:color w:val="0000FF"/>
                <w:lang w:val="ro-RO"/>
              </w:rPr>
              <w:t xml:space="preserve"> </w:t>
            </w:r>
            <w:r>
              <w:rPr>
                <w:b/>
                <w:bCs/>
                <w:color w:val="0000FF"/>
              </w:rPr>
              <w:t>959</w:t>
            </w:r>
            <w:r>
              <w:rPr>
                <w:rFonts w:hint="default"/>
                <w:b/>
                <w:bCs/>
                <w:color w:val="0000FF"/>
                <w:lang w:val="ro-RO"/>
              </w:rPr>
              <w:t xml:space="preserve"> </w:t>
            </w:r>
            <w:r>
              <w:rPr>
                <w:b/>
                <w:bCs/>
                <w:color w:val="0000FF"/>
              </w:rPr>
              <w:t>,00</w:t>
            </w:r>
          </w:p>
        </w:tc>
      </w:tr>
    </w:tbl>
    <w:p w14:paraId="1A96043F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066DF37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0A9974F">
      <w:pPr>
        <w:ind w:firstLine="567"/>
        <w:rPr>
          <w:sz w:val="24"/>
          <w:szCs w:val="24"/>
          <w:lang w:val="ro-RO" w:eastAsia="ru-RU"/>
        </w:rPr>
      </w:pPr>
    </w:p>
    <w:p w14:paraId="02FFFA1E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1) pentru un singur lot;</w:t>
      </w:r>
    </w:p>
    <w:p w14:paraId="256D09D3">
      <w:pPr>
        <w:ind w:firstLine="567"/>
        <w:rPr>
          <w:b/>
          <w:bCs/>
          <w:color w:val="0000FF"/>
          <w:sz w:val="24"/>
          <w:szCs w:val="24"/>
          <w:u w:val="single"/>
          <w:lang w:val="ro-RO" w:eastAsia="ru-RU"/>
        </w:rPr>
      </w:pPr>
      <w:r>
        <w:rPr>
          <w:b/>
          <w:bCs/>
          <w:color w:val="0000FF"/>
          <w:sz w:val="24"/>
          <w:szCs w:val="24"/>
          <w:u w:val="single"/>
          <w:lang w:val="ro-RO" w:eastAsia="ru-RU"/>
        </w:rPr>
        <w:t>2) pentru mai multe loturi;</w:t>
      </w:r>
    </w:p>
    <w:p w14:paraId="186F324A">
      <w:pPr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3) pentru toate loturile;</w:t>
      </w:r>
    </w:p>
    <w:p w14:paraId="0DF69A04">
      <w:pPr>
        <w:ind w:firstLine="567"/>
        <w:rPr>
          <w:bCs/>
          <w:sz w:val="24"/>
          <w:szCs w:val="24"/>
          <w:lang w:val="ro-RO" w:eastAsia="ru-RU"/>
        </w:rPr>
      </w:pPr>
    </w:p>
    <w:p w14:paraId="5FC02930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/>
          <w:color w:val="0000FF"/>
          <w:sz w:val="24"/>
          <w:szCs w:val="24"/>
          <w:u w:val="single"/>
          <w:lang w:val="ro-RO" w:eastAsia="ru-RU"/>
        </w:rPr>
        <w:t xml:space="preserve"> î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n 3 zile de la solicitare</w:t>
      </w:r>
    </w:p>
    <w:p w14:paraId="4FF3B69E">
      <w:pPr>
        <w:ind w:firstLine="567"/>
        <w:rPr>
          <w:bCs/>
          <w:sz w:val="24"/>
          <w:szCs w:val="24"/>
          <w:lang w:val="ro-RO" w:eastAsia="ru-RU"/>
        </w:rPr>
      </w:pPr>
    </w:p>
    <w:p w14:paraId="6F2203BF">
      <w:pPr>
        <w:ind w:firstLine="567"/>
        <w:rPr>
          <w:color w:val="0000FF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color w:val="0000FF"/>
          <w:sz w:val="24"/>
          <w:szCs w:val="24"/>
          <w:lang w:val="ro-RO" w:eastAsia="ru-RU"/>
        </w:rPr>
        <w:t xml:space="preserve">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31 decembrie 2026</w:t>
      </w:r>
    </w:p>
    <w:p w14:paraId="71E54484">
      <w:pPr>
        <w:ind w:firstLine="567"/>
        <w:rPr>
          <w:bCs/>
          <w:sz w:val="24"/>
          <w:szCs w:val="24"/>
          <w:lang w:val="ro-RO" w:eastAsia="ru-RU"/>
        </w:rPr>
      </w:pPr>
    </w:p>
    <w:p w14:paraId="64CA1384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5"/>
        <w:gridCol w:w="3474"/>
        <w:gridCol w:w="3633"/>
        <w:gridCol w:w="1784"/>
      </w:tblGrid>
      <w:tr w14:paraId="167F1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8" w:type="pct"/>
          </w:tcPr>
          <w:p w14:paraId="7F8311B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</w:t>
            </w:r>
          </w:p>
          <w:p w14:paraId="28496DA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3" w:type="pct"/>
          </w:tcPr>
          <w:p w14:paraId="63E1837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</w:tcPr>
          <w:p w14:paraId="2534332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</w:tcPr>
          <w:p w14:paraId="2419F95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14:paraId="1B346F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8" w:type="pct"/>
          </w:tcPr>
          <w:p w14:paraId="7C0D76A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3" w:type="pct"/>
          </w:tcPr>
          <w:p w14:paraId="0D4C2320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1896" w:type="pct"/>
          </w:tcPr>
          <w:p w14:paraId="10684716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931" w:type="pct"/>
          </w:tcPr>
          <w:p w14:paraId="2F97EA7D">
            <w:pPr>
              <w:ind w:firstLine="0"/>
              <w:rPr>
                <w:rFonts w:hint="default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Obligatoriu </w:t>
            </w:r>
          </w:p>
        </w:tc>
      </w:tr>
      <w:tr w14:paraId="416D1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358" w:type="pct"/>
          </w:tcPr>
          <w:p w14:paraId="5FDD55FD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3" w:type="pct"/>
          </w:tcPr>
          <w:p w14:paraId="49347651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Oferta de pret</w:t>
            </w:r>
          </w:p>
        </w:tc>
        <w:tc>
          <w:tcPr>
            <w:tcW w:w="1896" w:type="pct"/>
          </w:tcPr>
          <w:p w14:paraId="07EE02D2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u w:val="single"/>
              </w:rPr>
              <w:t>Conform anexei nr.23</w:t>
            </w:r>
            <w:r>
              <w:rPr>
                <w:sz w:val="24"/>
                <w:szCs w:val="24"/>
              </w:rPr>
              <w:t xml:space="preserve"> la Documentafia standard nr.115 din l5.09.2021,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931" w:type="pct"/>
          </w:tcPr>
          <w:p w14:paraId="0A42216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14:paraId="294DB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8" w:type="pct"/>
          </w:tcPr>
          <w:p w14:paraId="03754105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3" w:type="pct"/>
          </w:tcPr>
          <w:p w14:paraId="53E79CA4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Specificația tehnică</w:t>
            </w:r>
          </w:p>
        </w:tc>
        <w:tc>
          <w:tcPr>
            <w:tcW w:w="1896" w:type="pct"/>
            <w:shd w:val="clear" w:color="auto" w:fill="auto"/>
            <w:vAlign w:val="top"/>
          </w:tcPr>
          <w:p w14:paraId="1190396A">
            <w:pPr>
              <w:ind w:firstLine="0" w:firstLineChars="0"/>
              <w:jc w:val="left"/>
              <w:rPr>
                <w:rFonts w:hint="default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u w:val="single"/>
              </w:rPr>
              <w:t xml:space="preserve">Conform anexei nr.22 </w:t>
            </w:r>
            <w:r>
              <w:rPr>
                <w:sz w:val="24"/>
                <w:szCs w:val="24"/>
              </w:rPr>
              <w:t>la Documentafia standard nr.115 din l5.09.2021,</w:t>
            </w:r>
            <w:r>
              <w:rPr>
                <w:rFonts w:hint="default"/>
                <w:sz w:val="24"/>
                <w:szCs w:val="24"/>
                <w:lang w:val="en-US"/>
              </w:rPr>
              <w:t xml:space="preserve"> </w:t>
            </w:r>
          </w:p>
          <w:p w14:paraId="3CC65CAC">
            <w:pPr>
              <w:ind w:firstLine="0" w:firstLineChars="0"/>
              <w:jc w:val="left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931" w:type="pct"/>
            <w:vAlign w:val="top"/>
          </w:tcPr>
          <w:p w14:paraId="52BCE32A">
            <w:pPr>
              <w:ind w:firstLine="0" w:firstLineChars="0"/>
              <w:rPr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14:paraId="2E0C41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8" w:type="pct"/>
            <w:shd w:val="clear" w:color="auto" w:fill="auto"/>
            <w:vAlign w:val="top"/>
          </w:tcPr>
          <w:p w14:paraId="476D983B">
            <w:pPr>
              <w:ind w:left="0" w:leftChars="0"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ru-RU" w:bidi="ar-SA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3" w:type="pct"/>
          </w:tcPr>
          <w:p w14:paraId="1A482D42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</w:rPr>
              <w:t>Certificat de înregistrare a întreprinderii sau extras din Registrul de Stat al persoanelor juridice</w:t>
            </w:r>
          </w:p>
        </w:tc>
        <w:tc>
          <w:tcPr>
            <w:tcW w:w="1896" w:type="pct"/>
            <w:shd w:val="clear" w:color="auto" w:fill="auto"/>
            <w:vAlign w:val="top"/>
          </w:tcPr>
          <w:p w14:paraId="7AB72766">
            <w:pPr>
              <w:ind w:firstLine="0" w:firstLineChars="0"/>
              <w:jc w:val="left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931" w:type="pct"/>
            <w:vAlign w:val="top"/>
          </w:tcPr>
          <w:p w14:paraId="6DAA64C1">
            <w:pPr>
              <w:ind w:firstLine="0" w:firstLineChars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14:paraId="63E64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8" w:type="pct"/>
            <w:shd w:val="clear" w:color="auto" w:fill="auto"/>
            <w:vAlign w:val="top"/>
          </w:tcPr>
          <w:p w14:paraId="5AF6A139">
            <w:pPr>
              <w:ind w:firstLine="0" w:firstLineChars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 w:bidi="ar-SA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5</w:t>
            </w:r>
            <w:r>
              <w:rPr>
                <w:rFonts w:hint="default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813" w:type="pct"/>
          </w:tcPr>
          <w:p w14:paraId="2F21A5E3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Declaratie de eligibilitate</w:t>
            </w:r>
          </w:p>
        </w:tc>
        <w:tc>
          <w:tcPr>
            <w:tcW w:w="1896" w:type="pct"/>
            <w:shd w:val="clear" w:color="auto" w:fill="auto"/>
            <w:vAlign w:val="top"/>
          </w:tcPr>
          <w:p w14:paraId="43736F44">
            <w:pPr>
              <w:ind w:firstLine="0" w:firstLineChars="0"/>
              <w:jc w:val="left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931" w:type="pct"/>
            <w:vAlign w:val="top"/>
          </w:tcPr>
          <w:p w14:paraId="5E291D06">
            <w:pPr>
              <w:ind w:firstLine="0" w:firstLineChars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  <w:tr w14:paraId="67004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8" w:type="pct"/>
          </w:tcPr>
          <w:p w14:paraId="7CF5599D">
            <w:pPr>
              <w:ind w:left="0" w:leftChars="0" w:firstLine="0" w:firstLineChars="0"/>
              <w:rPr>
                <w:rFonts w:hint="default"/>
                <w:sz w:val="24"/>
                <w:szCs w:val="24"/>
                <w:lang w:val="en-US" w:eastAsia="ru-RU"/>
              </w:rPr>
            </w:pPr>
            <w:r>
              <w:rPr>
                <w:rFonts w:hint="default"/>
                <w:sz w:val="24"/>
                <w:szCs w:val="24"/>
                <w:lang w:val="en-US" w:eastAsia="ru-RU"/>
              </w:rPr>
              <w:t>6.</w:t>
            </w:r>
          </w:p>
        </w:tc>
        <w:tc>
          <w:tcPr>
            <w:tcW w:w="1813" w:type="pct"/>
          </w:tcPr>
          <w:p w14:paraId="4F475FF8">
            <w:pPr>
              <w:ind w:left="0" w:leftChars="0" w:firstLine="0" w:firstLineChars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Certificat de școlarizare de la producător</w:t>
            </w:r>
          </w:p>
        </w:tc>
        <w:tc>
          <w:tcPr>
            <w:tcW w:w="1896" w:type="pct"/>
          </w:tcPr>
          <w:p w14:paraId="08559FC8">
            <w:pPr>
              <w:ind w:firstLine="0"/>
              <w:jc w:val="left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931" w:type="pct"/>
            <w:vAlign w:val="top"/>
          </w:tcPr>
          <w:p w14:paraId="2A293FCF">
            <w:pPr>
              <w:ind w:firstLine="0" w:firstLineChars="0"/>
              <w:rPr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 xml:space="preserve">Obligatoriu </w:t>
            </w:r>
          </w:p>
        </w:tc>
      </w:tr>
    </w:tbl>
    <w:p w14:paraId="1D89819B">
      <w:pPr>
        <w:rPr>
          <w:sz w:val="24"/>
          <w:szCs w:val="24"/>
          <w:lang w:val="ro-RO"/>
        </w:rPr>
      </w:pPr>
    </w:p>
    <w:p w14:paraId="35F0E585">
      <w:pPr>
        <w:ind w:left="0" w:leftChars="0" w:firstLine="0" w:firstLineChars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13. Tehnici şi instrumente specifice de atribuire (după caz, specificaţi dacă se va utiliza licitaţia electronică)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nu se aplică</w:t>
      </w:r>
      <w:r>
        <w:rPr>
          <w:color w:val="0000FF"/>
          <w:sz w:val="24"/>
          <w:szCs w:val="24"/>
          <w:lang w:val="ro-RO" w:eastAsia="ru-RU"/>
        </w:rPr>
        <w:t>.</w:t>
      </w:r>
    </w:p>
    <w:p w14:paraId="5BD22933">
      <w:pPr>
        <w:rPr>
          <w:bCs/>
          <w:sz w:val="24"/>
          <w:szCs w:val="24"/>
          <w:lang w:val="ro-RO" w:eastAsia="ru-RU"/>
        </w:rPr>
      </w:pPr>
    </w:p>
    <w:p w14:paraId="4ECF4D19">
      <w:pPr>
        <w:rPr>
          <w:color w:val="0000FF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14.  Condiţii speciale de care depinde îndeplinirea contractului (indicaţi după caz)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nu se aplică</w:t>
      </w:r>
      <w:r>
        <w:rPr>
          <w:color w:val="0000FF"/>
          <w:sz w:val="24"/>
          <w:szCs w:val="24"/>
          <w:lang w:val="ro-RO" w:eastAsia="ru-RU"/>
        </w:rPr>
        <w:t>.</w:t>
      </w:r>
    </w:p>
    <w:p w14:paraId="57B5225B">
      <w:pPr>
        <w:rPr>
          <w:bCs/>
          <w:sz w:val="24"/>
          <w:szCs w:val="24"/>
          <w:lang w:val="ro-RO" w:eastAsia="ru-RU"/>
        </w:rPr>
      </w:pPr>
    </w:p>
    <w:p w14:paraId="7F3A3AEE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>_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nu se aplică</w:t>
      </w:r>
      <w:r>
        <w:rPr>
          <w:color w:val="0000FF"/>
          <w:sz w:val="24"/>
          <w:szCs w:val="24"/>
          <w:lang w:val="ro-RO" w:eastAsia="ru-RU"/>
        </w:rPr>
        <w:t>.</w:t>
      </w:r>
    </w:p>
    <w:p w14:paraId="7548D29D">
      <w:pPr>
        <w:rPr>
          <w:bCs/>
          <w:sz w:val="24"/>
          <w:szCs w:val="24"/>
          <w:lang w:val="ro-RO" w:eastAsia="ru-RU"/>
        </w:rPr>
      </w:pPr>
    </w:p>
    <w:p w14:paraId="7C5915B7">
      <w:pPr>
        <w:rPr>
          <w:color w:val="0000FF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contractului_</w:t>
      </w:r>
      <w:r>
        <w:rPr>
          <w:b/>
          <w:color w:val="0000FF"/>
          <w:sz w:val="24"/>
          <w:szCs w:val="24"/>
          <w:u w:val="single"/>
          <w:lang w:val="ro-RO" w:eastAsia="ru-RU"/>
        </w:rPr>
        <w:t>pentru prețul cel mai scazut cu corespunderea cerințelor solicitate.</w:t>
      </w:r>
    </w:p>
    <w:p w14:paraId="15ADCF12">
      <w:pPr>
        <w:rPr>
          <w:bCs/>
          <w:sz w:val="24"/>
          <w:szCs w:val="24"/>
          <w:lang w:val="ro-RO" w:eastAsia="ru-RU"/>
        </w:rPr>
      </w:pPr>
    </w:p>
    <w:p w14:paraId="62C07791">
      <w:pPr>
        <w:rPr>
          <w:rFonts w:hint="default"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rFonts w:hint="default"/>
          <w:bCs/>
          <w:sz w:val="24"/>
          <w:szCs w:val="24"/>
          <w:lang w:val="ro-RO" w:eastAsia="ru-RU"/>
        </w:rPr>
        <w:t xml:space="preserve"> Nu are cazul</w:t>
      </w:r>
    </w:p>
    <w:tbl>
      <w:tblPr>
        <w:tblStyle w:val="11"/>
        <w:tblW w:w="3790" w:type="pct"/>
        <w:tblInd w:w="1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4783"/>
        <w:gridCol w:w="1603"/>
      </w:tblGrid>
      <w:tr w14:paraId="2D2A8E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4E0392C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3" w:type="pct"/>
          </w:tcPr>
          <w:p w14:paraId="79C095C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4" w:type="pct"/>
          </w:tcPr>
          <w:p w14:paraId="40094A88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Ponderea, %</w:t>
            </w:r>
          </w:p>
        </w:tc>
      </w:tr>
      <w:tr w14:paraId="21A29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677D34B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3" w:type="pct"/>
          </w:tcPr>
          <w:p w14:paraId="59799A5D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4" w:type="pct"/>
          </w:tcPr>
          <w:p w14:paraId="69F8100A">
            <w:pPr>
              <w:ind w:firstLine="0"/>
              <w:rPr>
                <w:lang w:val="ro-RO" w:eastAsia="ru-RU"/>
              </w:rPr>
            </w:pPr>
          </w:p>
        </w:tc>
      </w:tr>
    </w:tbl>
    <w:p w14:paraId="5E3A664E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58739B40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>
        <w:rPr>
          <w:bCs/>
          <w:sz w:val="24"/>
          <w:szCs w:val="24"/>
          <w:lang w:val="ro-RO" w:eastAsia="ru-RU"/>
        </w:rPr>
        <w:t>limită de depunere/deschidere a ofertelor:</w:t>
      </w:r>
    </w:p>
    <w:p w14:paraId="3B262CD1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conform SIA ,,RSAP”/până la: </w:t>
      </w:r>
      <w:r>
        <w:rPr>
          <w:bCs/>
          <w:i/>
          <w:iCs/>
          <w:sz w:val="24"/>
          <w:szCs w:val="24"/>
          <w:lang w:val="ro-RO" w:eastAsia="ru-RU"/>
        </w:rPr>
        <w:t>(ora exactă)</w:t>
      </w:r>
      <w:r>
        <w:rPr>
          <w:sz w:val="24"/>
          <w:szCs w:val="24"/>
          <w:lang w:val="ro-RO" w:eastAsia="ru-RU"/>
        </w:rPr>
        <w:t>_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conform SIA ,,RSAP”</w:t>
      </w:r>
    </w:p>
    <w:p w14:paraId="76C483D2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Cs/>
          <w:sz w:val="24"/>
          <w:szCs w:val="24"/>
          <w:lang w:val="ro-RO" w:eastAsia="ru-RU"/>
        </w:rPr>
        <w:t>pe: </w:t>
      </w:r>
      <w:r>
        <w:rPr>
          <w:bCs/>
          <w:i/>
          <w:iCs/>
          <w:sz w:val="24"/>
          <w:szCs w:val="24"/>
          <w:lang w:val="ro-RO" w:eastAsia="ru-RU"/>
        </w:rPr>
        <w:t>(data)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conform SIA ,,RSAP”</w:t>
      </w:r>
    </w:p>
    <w:p w14:paraId="6AFC3644">
      <w:pPr>
        <w:rPr>
          <w:bCs/>
          <w:sz w:val="24"/>
          <w:szCs w:val="24"/>
          <w:lang w:val="ro-RO" w:eastAsia="ru-RU"/>
        </w:rPr>
      </w:pPr>
    </w:p>
    <w:p w14:paraId="4F052C77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participare_</w:t>
      </w:r>
      <w:r>
        <w:rPr>
          <w:b/>
          <w:color w:val="0000FF"/>
          <w:sz w:val="24"/>
          <w:szCs w:val="24"/>
          <w:u w:val="single"/>
          <w:lang w:val="ro-RO" w:eastAsia="ru-RU"/>
        </w:rPr>
        <w:t>ofertele vor fi depuse electronic prin intermediul SIA RSAP MTender</w:t>
      </w:r>
    </w:p>
    <w:p w14:paraId="6D092047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1BD6C1FA">
      <w:pPr>
        <w:rPr>
          <w:bCs/>
          <w:sz w:val="24"/>
          <w:szCs w:val="24"/>
          <w:lang w:val="ro-RO" w:eastAsia="ru-RU"/>
        </w:rPr>
      </w:pPr>
    </w:p>
    <w:p w14:paraId="406E051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color w:val="0000FF"/>
          <w:sz w:val="24"/>
          <w:szCs w:val="24"/>
          <w:lang w:val="ro-RO" w:eastAsia="ru-RU"/>
        </w:rPr>
        <w:t xml:space="preserve">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30 zile</w:t>
      </w:r>
    </w:p>
    <w:p w14:paraId="02C5362A">
      <w:pPr>
        <w:rPr>
          <w:bCs/>
          <w:sz w:val="24"/>
          <w:szCs w:val="24"/>
          <w:lang w:val="ro-RO" w:eastAsia="ru-RU"/>
        </w:rPr>
      </w:pPr>
    </w:p>
    <w:p w14:paraId="13648A29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21. Locul deschiderii ofertelor </w:t>
      </w:r>
      <w:r>
        <w:rPr>
          <w:b/>
          <w:color w:val="0000FF"/>
          <w:sz w:val="24"/>
          <w:szCs w:val="24"/>
          <w:u w:val="single"/>
          <w:lang w:val="ro-RO" w:eastAsia="ru-RU"/>
        </w:rPr>
        <w:t>SIA RSAP MTender</w:t>
      </w:r>
    </w:p>
    <w:p w14:paraId="29BD64D8">
      <w:pPr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        </w:t>
      </w:r>
      <w:r>
        <w:rPr>
          <w:lang w:val="ro-RO" w:eastAsia="ru-RU"/>
        </w:rPr>
        <w:t>(SIA ,,RSAP” sau adresa locului deschiderii)</w:t>
      </w:r>
    </w:p>
    <w:p w14:paraId="4E657F1B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44F89979">
      <w:pPr>
        <w:rPr>
          <w:bCs/>
          <w:sz w:val="24"/>
          <w:szCs w:val="24"/>
          <w:lang w:val="ro-RO" w:eastAsia="ru-RU"/>
        </w:rPr>
      </w:pPr>
    </w:p>
    <w:p w14:paraId="5C985C2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color w:val="0000FF"/>
          <w:sz w:val="24"/>
          <w:szCs w:val="24"/>
          <w:lang w:val="ro-RO" w:eastAsia="ru-RU"/>
        </w:rPr>
        <w:t xml:space="preserve"> </w:t>
      </w:r>
      <w:r>
        <w:rPr>
          <w:b/>
          <w:bCs/>
          <w:color w:val="0000FF"/>
          <w:sz w:val="24"/>
          <w:szCs w:val="24"/>
          <w:u w:val="single"/>
          <w:lang w:val="ro-RO" w:eastAsia="ru-RU"/>
        </w:rPr>
        <w:t>limba romană.</w:t>
      </w:r>
    </w:p>
    <w:p w14:paraId="25B0D5B1">
      <w:pPr>
        <w:rPr>
          <w:bCs/>
          <w:sz w:val="24"/>
          <w:szCs w:val="24"/>
          <w:lang w:val="ro-RO" w:eastAsia="ru-RU"/>
        </w:rPr>
      </w:pPr>
    </w:p>
    <w:p w14:paraId="2F718BBA">
      <w:pPr>
        <w:ind w:firstLine="600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____________________________ </w:t>
      </w:r>
      <w:r>
        <w:rPr>
          <w:b/>
          <w:bCs/>
          <w:sz w:val="24"/>
          <w:szCs w:val="24"/>
          <w:lang w:val="ro-RO" w:eastAsia="ru-RU"/>
        </w:rPr>
        <w:t>/</w:t>
      </w:r>
      <w:r>
        <w:rPr>
          <w:sz w:val="24"/>
          <w:szCs w:val="24"/>
          <w:lang w:val="ro-RO" w:eastAsia="ru-RU"/>
        </w:rPr>
        <w:t xml:space="preserve"> </w:t>
      </w:r>
      <w:r>
        <w:rPr>
          <w:b/>
          <w:bCs/>
          <w:sz w:val="24"/>
          <w:szCs w:val="24"/>
          <w:lang w:val="ro-RO" w:eastAsia="ru-RU"/>
        </w:rPr>
        <w:t>Aliona ROTARI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Pragma_MonitorOficial">
    <w:altName w:val="Calibri"/>
    <w:panose1 w:val="020B0604020202020204"/>
    <w:charset w:val="CC"/>
    <w:family w:val="auto"/>
    <w:pitch w:val="default"/>
    <w:sig w:usb0="00000000" w:usb1="00000000" w:usb2="00000000" w:usb3="00000000" w:csb0="00000004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85F7EB"/>
    <w:multiLevelType w:val="singleLevel"/>
    <w:tmpl w:val="8885F7EB"/>
    <w:lvl w:ilvl="0" w:tentative="0">
      <w:start w:val="6"/>
      <w:numFmt w:val="decimal"/>
      <w:suff w:val="space"/>
      <w:lvlText w:val="%1."/>
      <w:lvlJc w:val="left"/>
    </w:lvl>
  </w:abstractNum>
  <w:abstractNum w:abstractNumId="1">
    <w:nsid w:val="72475FF2"/>
    <w:multiLevelType w:val="multilevel"/>
    <w:tmpl w:val="72475FF2"/>
    <w:lvl w:ilvl="0" w:tentative="0">
      <w:start w:val="1"/>
      <w:numFmt w:val="decimal"/>
      <w:pStyle w:val="9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200739"/>
    <w:rsid w:val="002F139E"/>
    <w:rsid w:val="00592BB6"/>
    <w:rsid w:val="007977E4"/>
    <w:rsid w:val="00805605"/>
    <w:rsid w:val="00850D1C"/>
    <w:rsid w:val="008F5270"/>
    <w:rsid w:val="00A748F8"/>
    <w:rsid w:val="00C04D7F"/>
    <w:rsid w:val="00CB6A95"/>
    <w:rsid w:val="00CC5F48"/>
    <w:rsid w:val="22BB6007"/>
    <w:rsid w:val="276601E3"/>
    <w:rsid w:val="6384783F"/>
    <w:rsid w:val="65A148B6"/>
    <w:rsid w:val="75585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ind w:firstLine="709"/>
      <w:jc w:val="both"/>
    </w:pPr>
    <w:rPr>
      <w:rFonts w:ascii="Times New Roman" w:hAnsi="Times New Roman" w:eastAsia="Times New Roman" w:cs="Times New Roman"/>
      <w:lang w:val="en-US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styleId="5">
    <w:name w:val="Strong"/>
    <w:basedOn w:val="2"/>
    <w:qFormat/>
    <w:uiPriority w:val="22"/>
    <w:rPr>
      <w:b/>
      <w:bCs/>
    </w:rPr>
  </w:style>
  <w:style w:type="table" w:styleId="6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1.TEXT"/>
    <w:basedOn w:val="1"/>
    <w:link w:val="8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  <w14:ligatures w14:val="standardContextual"/>
    </w:rPr>
  </w:style>
  <w:style w:type="character" w:customStyle="1" w:styleId="8">
    <w:name w:val="1.TEXT Знак"/>
    <w:basedOn w:val="2"/>
    <w:link w:val="7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9">
    <w:name w:val="1.ALIN"/>
    <w:basedOn w:val="7"/>
    <w:link w:val="10"/>
    <w:autoRedefine/>
    <w:qFormat/>
    <w:uiPriority w:val="0"/>
    <w:pPr>
      <w:numPr>
        <w:ilvl w:val="0"/>
        <w:numId w:val="1"/>
      </w:numPr>
    </w:pPr>
  </w:style>
  <w:style w:type="character" w:customStyle="1" w:styleId="10">
    <w:name w:val="1.ALIN Знак"/>
    <w:basedOn w:val="8"/>
    <w:link w:val="9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11">
    <w:name w:val="Grilă Tabel2"/>
    <w:basedOn w:val="3"/>
    <w:qFormat/>
    <w:uiPriority w:val="0"/>
    <w:pPr>
      <w:ind w:firstLine="709"/>
      <w:jc w:val="both"/>
    </w:pPr>
    <w:rPr>
      <w:rFonts w:ascii="Times New Roman" w:hAnsi="Times New Roman" w:eastAsia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912</Words>
  <Characters>5204</Characters>
  <Lines>43</Lines>
  <Paragraphs>12</Paragraphs>
  <TotalTime>20</TotalTime>
  <ScaleCrop>false</ScaleCrop>
  <LinksUpToDate>false</LinksUpToDate>
  <CharactersWithSpaces>6104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2026-02-27T08:21:00Z</dcterms:created>
  <dc:creator>Windows User</dc:creator>
  <cp:lastModifiedBy>User</cp:lastModifiedBy>
  <cp:lastPrinted>2026-03-02T09:47:00Z</cp:lastPrinted>
  <dcterms:modified xsi:type="dcterms:W3CDTF">2026-03-09T07:27:00Z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DD5B113D707B4C25B545B95490BC08F6_13</vt:lpwstr>
  </property>
</Properties>
</file>