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before="181" w:beforeLines="50" w:after="181" w:afterLines="50"/>
        <w:textAlignment w:val="auto"/>
        <w:rPr>
          <w:rFonts w:hint="default" w:ascii="Times New Roman" w:hAnsi="Times New Roman" w:cs="Times New Roman"/>
          <w:b/>
          <w:bCs/>
          <w:color w:val="0000FF"/>
          <w:sz w:val="24"/>
          <w:szCs w:val="24"/>
        </w:rPr>
      </w:pPr>
      <w:r>
        <w:rPr>
          <w:rFonts w:hint="default" w:ascii="Times New Roman" w:hAnsi="Times New Roman" w:cs="Times New Roman"/>
          <w:b/>
          <w:bCs/>
          <w:color w:val="0000FF"/>
          <w:sz w:val="24"/>
          <w:szCs w:val="24"/>
        </w:rPr>
        <w:t>Specificații tehnice</w:t>
      </w:r>
    </w:p>
    <w:p>
      <w:pPr>
        <w:keepNext w:val="0"/>
        <w:keepLines w:val="0"/>
        <w:pageBreakBefore w:val="0"/>
        <w:widowControl/>
        <w:kinsoku/>
        <w:wordWrap/>
        <w:overflowPunct/>
        <w:topLinePunct w:val="0"/>
        <w:autoSpaceDE/>
        <w:autoSpaceDN/>
        <w:bidi w:val="0"/>
        <w:adjustRightInd/>
        <w:snapToGrid/>
        <w:spacing w:before="181" w:beforeLines="50" w:after="181" w:afterLines="50"/>
        <w:jc w:val="center"/>
        <w:textAlignment w:val="auto"/>
        <w:rPr>
          <w:rFonts w:hint="default" w:ascii="Times New Roman" w:hAnsi="Times New Roman" w:cs="Times New Roman"/>
          <w:i/>
          <w:iCs/>
        </w:rPr>
      </w:pPr>
      <w:r>
        <w:rPr>
          <w:rFonts w:hint="default" w:ascii="Times New Roman" w:hAnsi="Times New Roman" w:cs="Times New Roman"/>
          <w:i/>
          <w:iCs/>
        </w:rPr>
        <w:t>[Acest tabel va fi completat de către ofertant în coloanele 2, 3, 4, 6, 7, iar de către autoritatea contractantă – în coloanele 1, 5,]</w:t>
      </w:r>
    </w:p>
    <w:tbl>
      <w:tblPr>
        <w:tblStyle w:val="6"/>
        <w:tblW w:w="0" w:type="auto"/>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70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r>
              <w:rPr>
                <w:rFonts w:hint="default" w:ascii="Times New Roman" w:hAnsi="Times New Roman" w:cs="Times New Roman"/>
                <w:vertAlign w:val="baseline"/>
              </w:rPr>
              <w:t xml:space="preserve">Numărul procedurii de achiziție </w:t>
            </w:r>
            <w:r>
              <w:rPr>
                <w:rFonts w:hint="default" w:ascii="Times New Roman" w:hAnsi="Times New Roman" w:cs="Times New Roman"/>
                <w:u w:val="single"/>
                <w:vertAlign w:val="baseline"/>
              </w:rPr>
              <w:t xml:space="preserve">               </w:t>
            </w:r>
            <w:r>
              <w:rPr>
                <w:rFonts w:hint="default" w:ascii="Times New Roman" w:hAnsi="Times New Roman" w:cs="Times New Roman"/>
                <w:vertAlign w:val="baseline"/>
              </w:rPr>
              <w:t xml:space="preserve"> din </w:t>
            </w:r>
            <w:r>
              <w:rPr>
                <w:rFonts w:hint="default" w:ascii="Times New Roman" w:hAnsi="Times New Roman" w:cs="Times New Roman"/>
                <w:u w:val="single"/>
                <w:vertAlign w:val="baseline"/>
              </w:rPr>
              <w:t xml:space="preserve">           </w:t>
            </w:r>
            <w:r>
              <w:rPr>
                <w:rFonts w:hint="default" w:ascii="Times New Roman" w:hAnsi="Times New Roman" w:cs="Times New Roman"/>
                <w:u w:val="none"/>
                <w:vertAlign w:val="baseline"/>
              </w:rPr>
              <w:t xml:space="preserve"> </w:t>
            </w:r>
            <w:r>
              <w:rPr>
                <w:rFonts w:hint="default" w:ascii="Times New Roman" w:hAnsi="Times New Roman" w:cs="Times New Roman"/>
                <w:i/>
                <w:iCs/>
                <w:color w:val="FF0000"/>
                <w:u w:val="none"/>
                <w:vertAlign w:val="baseline"/>
              </w:rPr>
              <w:t>(operatorul economic va specifica MTender ID-ul procedurii și data publicării și va elimina textul din paranteze)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70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r>
              <w:rPr>
                <w:rFonts w:hint="default" w:ascii="Times New Roman" w:hAnsi="Times New Roman" w:cs="Times New Roman"/>
                <w:vertAlign w:val="baseline"/>
              </w:rPr>
              <w:t xml:space="preserve">Obiectul achiziției: </w:t>
            </w:r>
            <w:r>
              <w:rPr>
                <w:rFonts w:hint="default" w:ascii="Times New Roman" w:hAnsi="Times New Roman"/>
                <w:sz w:val="22"/>
                <w:szCs w:val="22"/>
                <w:u w:val="single"/>
                <w:vertAlign w:val="baseline"/>
                <w:lang w:eastAsia="en-US"/>
              </w:rPr>
              <w:t>Lucrări de consolidare a elementelor portante ale canalului orizontal de evacuare a gazelor de ardere</w:t>
            </w:r>
          </w:p>
        </w:tc>
      </w:tr>
    </w:tbl>
    <w:p>
      <w:pPr>
        <w:rPr>
          <w:rFonts w:hint="default" w:ascii="Times New Roman" w:hAnsi="Times New Roman" w:cs="Times New Roman"/>
        </w:rPr>
      </w:pPr>
    </w:p>
    <w:tbl>
      <w:tblPr>
        <w:tblStyle w:val="6"/>
        <w:tblW w:w="0" w:type="auto"/>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4"/>
        <w:gridCol w:w="2691"/>
        <w:gridCol w:w="2172"/>
        <w:gridCol w:w="1128"/>
        <w:gridCol w:w="1380"/>
        <w:gridCol w:w="3341"/>
        <w:gridCol w:w="3052"/>
        <w:gridCol w:w="13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eastAsia="zh-CN" w:bidi="ar-SA"/>
              </w:rPr>
            </w:pPr>
            <w:r>
              <w:rPr>
                <w:rFonts w:hint="default" w:ascii="Times New Roman" w:hAnsi="Times New Roman" w:cs="Times New Roman"/>
                <w:b/>
                <w:sz w:val="20"/>
                <w:szCs w:val="20"/>
              </w:rPr>
              <w:t>Nr. crt.</w:t>
            </w:r>
          </w:p>
        </w:tc>
        <w:tc>
          <w:tcPr>
            <w:tcW w:w="269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eastAsia="Times New Roman" w:cs="Times New Roman"/>
                <w:b/>
                <w:sz w:val="20"/>
                <w:szCs w:val="20"/>
                <w:lang w:val="ro-RO" w:eastAsia="en-US" w:bidi="ar-SA"/>
              </w:rPr>
            </w:pPr>
            <w:r>
              <w:rPr>
                <w:rFonts w:hint="default" w:ascii="Times New Roman" w:hAnsi="Times New Roman" w:cs="Times New Roman"/>
                <w:b/>
                <w:sz w:val="20"/>
                <w:szCs w:val="20"/>
              </w:rPr>
              <w:t>Denumirea bunurilor/serviciilor</w:t>
            </w:r>
          </w:p>
        </w:tc>
        <w:tc>
          <w:tcPr>
            <w:tcW w:w="217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Denumirea modelului bunului/serviciului</w:t>
            </w:r>
          </w:p>
        </w:tc>
        <w:tc>
          <w:tcPr>
            <w:tcW w:w="112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Ţara de origine</w:t>
            </w:r>
          </w:p>
        </w:tc>
        <w:tc>
          <w:tcPr>
            <w:tcW w:w="138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Producătorul</w:t>
            </w:r>
          </w:p>
        </w:tc>
        <w:tc>
          <w:tcPr>
            <w:tcW w:w="334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b/>
                <w:sz w:val="20"/>
                <w:szCs w:val="20"/>
              </w:rPr>
              <w:t>Specificarea tehnică deplină solicitată de către autoritatea contractantă</w:t>
            </w:r>
          </w:p>
        </w:tc>
        <w:tc>
          <w:tcPr>
            <w:tcW w:w="305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Specificarea tehnică deplină propusă de către ofertant</w:t>
            </w:r>
          </w:p>
        </w:tc>
        <w:tc>
          <w:tcPr>
            <w:tcW w:w="138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Standarde de referinţă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0</w:t>
            </w:r>
          </w:p>
        </w:tc>
        <w:tc>
          <w:tcPr>
            <w:tcW w:w="269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1</w:t>
            </w:r>
          </w:p>
        </w:tc>
        <w:tc>
          <w:tcPr>
            <w:tcW w:w="217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2</w:t>
            </w:r>
          </w:p>
        </w:tc>
        <w:tc>
          <w:tcPr>
            <w:tcW w:w="112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3</w:t>
            </w:r>
          </w:p>
        </w:tc>
        <w:tc>
          <w:tcPr>
            <w:tcW w:w="138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4</w:t>
            </w:r>
          </w:p>
        </w:tc>
        <w:tc>
          <w:tcPr>
            <w:tcW w:w="334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5</w:t>
            </w:r>
          </w:p>
        </w:tc>
        <w:tc>
          <w:tcPr>
            <w:tcW w:w="305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6</w:t>
            </w:r>
          </w:p>
        </w:tc>
        <w:tc>
          <w:tcPr>
            <w:tcW w:w="138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sz w:val="20"/>
                <w:szCs w:val="20"/>
                <w:vertAlign w:val="baseline"/>
              </w:rPr>
            </w:pPr>
          </w:p>
        </w:tc>
        <w:tc>
          <w:tcPr>
            <w:tcW w:w="2691" w:type="dxa"/>
            <w:vAlign w:val="center"/>
          </w:tcPr>
          <w:p>
            <w:pPr>
              <w:keepNext w:val="0"/>
              <w:keepLines w:val="0"/>
              <w:pageBreakBefore w:val="0"/>
              <w:widowControl/>
              <w:suppressLineNumbers w:val="0"/>
              <w:tabs>
                <w:tab w:val="left" w:pos="600"/>
              </w:tabs>
              <w:kinsoku/>
              <w:wordWrap/>
              <w:overflowPunct/>
              <w:topLinePunct w:val="0"/>
              <w:autoSpaceDE/>
              <w:autoSpaceDN/>
              <w:bidi w:val="0"/>
              <w:adjustRightInd/>
              <w:snapToGrid/>
              <w:spacing w:after="0" w:line="18" w:lineRule="atLeast"/>
              <w:ind w:left="0" w:leftChars="0" w:firstLine="0" w:firstLineChars="0"/>
              <w:jc w:val="left"/>
              <w:textAlignment w:val="bottom"/>
              <w:rPr>
                <w:rFonts w:hint="default" w:ascii="Times New Roman" w:hAnsi="Times New Roman"/>
                <w:b w:val="0"/>
                <w:bCs/>
                <w:sz w:val="20"/>
                <w:szCs w:val="20"/>
                <w:lang w:val="zh-CN" w:eastAsia="ro-RO"/>
              </w:rPr>
            </w:pPr>
            <w:r>
              <w:rPr>
                <w:rFonts w:hint="default" w:ascii="Times New Roman" w:hAnsi="Times New Roman"/>
                <w:b w:val="0"/>
                <w:bCs/>
                <w:color w:val="000000" w:themeColor="text1"/>
                <w:sz w:val="22"/>
                <w:szCs w:val="22"/>
                <w:lang w:val="ro-RO" w:eastAsia="en-US"/>
                <w14:textFill>
                  <w14:solidFill>
                    <w14:schemeClr w14:val="tx1"/>
                  </w14:solidFill>
                </w14:textFill>
              </w:rPr>
              <w:t>Lucrări de consolidare a elementelor portante ale canalului orizontal de evacuare a gazelor de ardere</w:t>
            </w:r>
          </w:p>
        </w:tc>
        <w:tc>
          <w:tcPr>
            <w:tcW w:w="2172"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3341"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line="18" w:lineRule="atLeast"/>
              <w:jc w:val="both"/>
              <w:textAlignment w:val="bottom"/>
              <w:rPr>
                <w:rFonts w:hint="default" w:ascii="Times New Roman" w:hAnsi="Times New Roman" w:cs="Times New Roman"/>
                <w:sz w:val="20"/>
                <w:szCs w:val="20"/>
                <w:highlight w:val="none"/>
                <w:lang w:val="en-US" w:eastAsia="ro-RO"/>
              </w:rPr>
            </w:pPr>
            <w:r>
              <w:rPr>
                <w:rFonts w:hint="default" w:ascii="Times New Roman" w:hAnsi="Times New Roman"/>
                <w:i w:val="0"/>
                <w:iCs w:val="0"/>
                <w:color w:val="000000"/>
                <w:kern w:val="0"/>
                <w:sz w:val="22"/>
                <w:szCs w:val="22"/>
                <w:highlight w:val="none"/>
                <w:u w:val="none"/>
                <w:lang w:eastAsia="zh-CN"/>
              </w:rPr>
              <w:t>Conform</w:t>
            </w:r>
            <w:r>
              <w:rPr>
                <w:rFonts w:hint="default" w:ascii="Times New Roman" w:hAnsi="Times New Roman"/>
                <w:i w:val="0"/>
                <w:iCs w:val="0"/>
                <w:color w:val="000000"/>
                <w:kern w:val="0"/>
                <w:sz w:val="22"/>
                <w:szCs w:val="22"/>
                <w:highlight w:val="none"/>
                <w:u w:val="none"/>
                <w:lang w:eastAsia="zh-CN"/>
              </w:rPr>
              <w:t xml:space="preserve"> </w:t>
            </w:r>
            <w:r>
              <w:rPr>
                <w:rFonts w:hint="default" w:ascii="Times New Roman" w:hAnsi="Times New Roman"/>
                <w:i w:val="0"/>
                <w:iCs w:val="0"/>
                <w:color w:val="000000"/>
                <w:kern w:val="0"/>
                <w:sz w:val="22"/>
                <w:szCs w:val="22"/>
                <w:highlight w:val="none"/>
                <w:u w:val="none"/>
                <w:lang w:eastAsia="zh-CN"/>
              </w:rPr>
              <w:t>c</w:t>
            </w:r>
            <w:r>
              <w:rPr>
                <w:rFonts w:hint="default" w:ascii="Times New Roman" w:hAnsi="Times New Roman"/>
                <w:i w:val="0"/>
                <w:iCs w:val="0"/>
                <w:color w:val="000000"/>
                <w:kern w:val="0"/>
                <w:sz w:val="22"/>
                <w:szCs w:val="22"/>
                <w:highlight w:val="none"/>
                <w:u w:val="none"/>
                <w:lang w:eastAsia="zh-CN"/>
              </w:rPr>
              <w:t>aietul</w:t>
            </w:r>
            <w:r>
              <w:rPr>
                <w:rFonts w:hint="default" w:ascii="Times New Roman" w:hAnsi="Times New Roman"/>
                <w:i w:val="0"/>
                <w:iCs w:val="0"/>
                <w:color w:val="000000"/>
                <w:kern w:val="0"/>
                <w:sz w:val="22"/>
                <w:szCs w:val="22"/>
                <w:highlight w:val="none"/>
                <w:u w:val="none"/>
                <w:lang w:eastAsia="zh-CN"/>
              </w:rPr>
              <w:t>ui</w:t>
            </w:r>
            <w:r>
              <w:rPr>
                <w:rFonts w:hint="default" w:ascii="Times New Roman" w:hAnsi="Times New Roman"/>
                <w:i w:val="0"/>
                <w:iCs w:val="0"/>
                <w:color w:val="000000"/>
                <w:kern w:val="0"/>
                <w:sz w:val="22"/>
                <w:szCs w:val="22"/>
                <w:highlight w:val="none"/>
                <w:u w:val="none"/>
                <w:lang w:eastAsia="zh-CN"/>
              </w:rPr>
              <w:t xml:space="preserve"> de sarcini</w:t>
            </w:r>
          </w:p>
        </w:tc>
        <w:tc>
          <w:tcPr>
            <w:tcW w:w="3052"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r>
    </w:tbl>
    <w:p>
      <w:pPr>
        <w:tabs>
          <w:tab w:val="left" w:pos="6120"/>
        </w:tabs>
        <w:rPr>
          <w:rFonts w:hint="default" w:ascii="Times New Roman" w:hAnsi="Times New Roman" w:cs="Times New Roman"/>
          <w:b/>
          <w:bCs/>
          <w:sz w:val="20"/>
          <w:szCs w:val="20"/>
        </w:rPr>
      </w:pPr>
    </w:p>
    <w:p>
      <w:pPr>
        <w:tabs>
          <w:tab w:val="left" w:pos="6120"/>
        </w:tabs>
        <w:rPr>
          <w:rFonts w:hint="default" w:ascii="Times New Roman" w:hAnsi="Times New Roman" w:cs="Times New Roman"/>
          <w:b/>
          <w:bCs/>
          <w:sz w:val="20"/>
          <w:szCs w:val="20"/>
        </w:rPr>
      </w:pPr>
    </w:p>
    <w:p>
      <w:pPr>
        <w:rPr>
          <w:rFonts w:hint="default" w:ascii="Times New Roman" w:hAnsi="Times New Roman" w:cs="Times New Roman"/>
        </w:rPr>
      </w:pPr>
    </w:p>
    <w:p>
      <w:pPr>
        <w:spacing w:line="360" w:lineRule="auto"/>
        <w:rPr>
          <w:rFonts w:hint="default" w:ascii="Times New Roman" w:hAnsi="Times New Roman" w:cs="Times New Roman"/>
          <w:u w:val="single"/>
        </w:rPr>
      </w:pPr>
      <w:r>
        <w:rPr>
          <w:rFonts w:hint="default" w:ascii="Times New Roman" w:hAnsi="Times New Roman" w:cs="Times New Roman"/>
        </w:rPr>
        <w:t xml:space="preserve">Semnat: </w:t>
      </w:r>
      <w:r>
        <w:rPr>
          <w:rFonts w:hint="default" w:ascii="Times New Roman" w:hAnsi="Times New Roman" w:cs="Times New Roman"/>
          <w:u w:val="single"/>
        </w:rPr>
        <w:t xml:space="preserve">              </w:t>
      </w:r>
      <w:r>
        <w:rPr>
          <w:rFonts w:hint="default" w:ascii="Times New Roman" w:hAnsi="Times New Roman" w:cs="Times New Roman"/>
        </w:rPr>
        <w:t xml:space="preserve"> Numele, Prenumele: </w:t>
      </w:r>
      <w:r>
        <w:rPr>
          <w:rFonts w:hint="default" w:ascii="Times New Roman" w:hAnsi="Times New Roman" w:cs="Times New Roman"/>
          <w:u w:val="single"/>
        </w:rPr>
        <w:t xml:space="preserve">                             </w:t>
      </w:r>
      <w:r>
        <w:rPr>
          <w:rFonts w:hint="default" w:ascii="Times New Roman" w:hAnsi="Times New Roman" w:cs="Times New Roman"/>
        </w:rPr>
        <w:t xml:space="preserve"> În calitate de: </w:t>
      </w:r>
      <w:r>
        <w:rPr>
          <w:rFonts w:hint="default" w:ascii="Times New Roman" w:hAnsi="Times New Roman" w:cs="Times New Roman"/>
          <w:u w:val="single"/>
        </w:rPr>
        <w:t xml:space="preserve">                 </w:t>
      </w:r>
    </w:p>
    <w:p>
      <w:pPr>
        <w:spacing w:line="360" w:lineRule="auto"/>
        <w:rPr>
          <w:rFonts w:hint="default" w:ascii="Times New Roman" w:hAnsi="Times New Roman" w:cs="Times New Roman"/>
          <w:u w:val="single"/>
        </w:rPr>
      </w:pPr>
      <w:r>
        <w:rPr>
          <w:rFonts w:hint="default" w:ascii="Times New Roman" w:hAnsi="Times New Roman" w:cs="Times New Roman"/>
          <w:u w:val="none"/>
        </w:rPr>
        <w:t xml:space="preserve">Ofertantul: </w:t>
      </w:r>
      <w:r>
        <w:rPr>
          <w:rFonts w:hint="default" w:ascii="Times New Roman" w:hAnsi="Times New Roman" w:cs="Times New Roman"/>
          <w:u w:val="single"/>
        </w:rPr>
        <w:t xml:space="preserve">                        </w:t>
      </w:r>
      <w:r>
        <w:rPr>
          <w:rFonts w:hint="default" w:ascii="Times New Roman" w:hAnsi="Times New Roman" w:cs="Times New Roman"/>
          <w:u w:val="none"/>
        </w:rPr>
        <w:t xml:space="preserve"> Adresa: </w:t>
      </w:r>
      <w:r>
        <w:rPr>
          <w:rFonts w:hint="default" w:ascii="Times New Roman" w:hAnsi="Times New Roman" w:cs="Times New Roman"/>
          <w:u w:val="single"/>
        </w:rPr>
        <w:t xml:space="preserve">                        </w:t>
      </w:r>
      <w:r>
        <w:rPr>
          <w:rFonts w:hint="default" w:ascii="Times New Roman" w:hAnsi="Times New Roman" w:cs="Times New Roman"/>
          <w:u w:val="single"/>
        </w:rPr>
        <w:br w:type="page"/>
      </w:r>
    </w:p>
    <w:p>
      <w:pPr>
        <w:keepNext w:val="0"/>
        <w:keepLines w:val="0"/>
        <w:pageBreakBefore w:val="0"/>
        <w:widowControl/>
        <w:kinsoku/>
        <w:wordWrap/>
        <w:overflowPunct/>
        <w:topLinePunct w:val="0"/>
        <w:autoSpaceDE/>
        <w:autoSpaceDN/>
        <w:bidi w:val="0"/>
        <w:adjustRightInd/>
        <w:snapToGrid/>
        <w:spacing w:before="181" w:beforeLines="50" w:after="181" w:afterLines="50"/>
        <w:textAlignment w:val="auto"/>
        <w:rPr>
          <w:rFonts w:hint="default" w:ascii="Times New Roman" w:hAnsi="Times New Roman" w:cs="Times New Roman"/>
          <w:b/>
          <w:bCs/>
          <w:color w:val="0000FF"/>
          <w:sz w:val="24"/>
          <w:szCs w:val="24"/>
        </w:rPr>
      </w:pPr>
      <w:r>
        <w:rPr>
          <w:rFonts w:hint="default" w:ascii="Times New Roman" w:hAnsi="Times New Roman" w:cs="Times New Roman"/>
          <w:b/>
          <w:bCs/>
          <w:color w:val="0000FF"/>
          <w:sz w:val="24"/>
          <w:szCs w:val="24"/>
        </w:rPr>
        <w:t>Specificații de preț</w:t>
      </w:r>
    </w:p>
    <w:p>
      <w:pPr>
        <w:keepNext w:val="0"/>
        <w:keepLines w:val="0"/>
        <w:pageBreakBefore w:val="0"/>
        <w:widowControl/>
        <w:kinsoku/>
        <w:wordWrap/>
        <w:overflowPunct/>
        <w:topLinePunct w:val="0"/>
        <w:autoSpaceDE/>
        <w:autoSpaceDN/>
        <w:bidi w:val="0"/>
        <w:adjustRightInd/>
        <w:snapToGrid/>
        <w:spacing w:before="181" w:beforeLines="50" w:after="181" w:afterLines="50"/>
        <w:jc w:val="center"/>
        <w:textAlignment w:val="auto"/>
        <w:rPr>
          <w:rFonts w:hint="default" w:ascii="Times New Roman" w:hAnsi="Times New Roman" w:cs="Times New Roman"/>
          <w:i/>
          <w:iCs/>
        </w:rPr>
      </w:pPr>
      <w:r>
        <w:rPr>
          <w:rFonts w:hint="default" w:ascii="Times New Roman" w:hAnsi="Times New Roman"/>
          <w:i/>
          <w:iCs/>
        </w:rPr>
        <w:t>[Acest tabel va fi completat de către ofertant în coloanele 5,6,7,8 și 11 la necesitate, iar de către autoritatea contractantă – în coloanele 1,2,3,4,9,10]</w:t>
      </w:r>
    </w:p>
    <w:tbl>
      <w:tblPr>
        <w:tblStyle w:val="6"/>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6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r>
              <w:rPr>
                <w:rFonts w:hint="default" w:ascii="Times New Roman" w:hAnsi="Times New Roman" w:cs="Times New Roman"/>
                <w:vertAlign w:val="baseline"/>
              </w:rPr>
              <w:t xml:space="preserve">Numărul procedurii de achiziție </w:t>
            </w:r>
            <w:r>
              <w:rPr>
                <w:rFonts w:hint="default" w:ascii="Times New Roman" w:hAnsi="Times New Roman" w:cs="Times New Roman"/>
                <w:u w:val="single"/>
                <w:vertAlign w:val="baseline"/>
              </w:rPr>
              <w:t xml:space="preserve">               </w:t>
            </w:r>
            <w:r>
              <w:rPr>
                <w:rFonts w:hint="default" w:ascii="Times New Roman" w:hAnsi="Times New Roman" w:cs="Times New Roman"/>
                <w:vertAlign w:val="baseline"/>
              </w:rPr>
              <w:t xml:space="preserve"> din </w:t>
            </w:r>
            <w:r>
              <w:rPr>
                <w:rFonts w:hint="default" w:ascii="Times New Roman" w:hAnsi="Times New Roman" w:cs="Times New Roman"/>
                <w:u w:val="single"/>
                <w:vertAlign w:val="baseline"/>
              </w:rPr>
              <w:t xml:space="preserve">          </w:t>
            </w:r>
            <w:r>
              <w:rPr>
                <w:rFonts w:hint="default" w:ascii="Times New Roman" w:hAnsi="Times New Roman" w:cs="Times New Roman"/>
                <w:u w:val="none"/>
                <w:vertAlign w:val="baseline"/>
              </w:rPr>
              <w:t xml:space="preserve"> </w:t>
            </w:r>
            <w:r>
              <w:rPr>
                <w:rFonts w:hint="default" w:ascii="Times New Roman" w:hAnsi="Times New Roman"/>
                <w:i/>
                <w:iCs/>
                <w:color w:val="FF0000"/>
                <w:u w:val="none"/>
                <w:vertAlign w:val="baseline"/>
              </w:rPr>
              <w:t>(operatorul economic va specifica MTender ID-ul procedurii și data publicării și va elimina textul din paranteze)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6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r>
              <w:rPr>
                <w:rFonts w:hint="default" w:ascii="Times New Roman" w:hAnsi="Times New Roman" w:cs="Times New Roman"/>
                <w:vertAlign w:val="baseline"/>
              </w:rPr>
              <w:t xml:space="preserve">Obiectul achiziției: </w:t>
            </w:r>
            <w:r>
              <w:rPr>
                <w:rFonts w:hint="default" w:ascii="Times New Roman" w:hAnsi="Times New Roman"/>
                <w:sz w:val="22"/>
                <w:szCs w:val="22"/>
                <w:u w:val="single"/>
                <w:vertAlign w:val="baseline"/>
                <w:lang w:eastAsia="en-US"/>
              </w:rPr>
              <w:t>Lucrări de consolidare a elementelor portante ale canalului orizontal de evacuare a gazelor de ardere</w:t>
            </w:r>
          </w:p>
        </w:tc>
      </w:tr>
    </w:tbl>
    <w:tbl>
      <w:tblPr>
        <w:tblStyle w:val="6"/>
        <w:tblpPr w:leftFromText="180" w:rightFromText="180" w:vertAnchor="text" w:horzAnchor="page" w:tblpX="675" w:tblpY="24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
        <w:gridCol w:w="675"/>
        <w:gridCol w:w="2721"/>
        <w:gridCol w:w="1062"/>
        <w:gridCol w:w="1100"/>
        <w:gridCol w:w="1275"/>
        <w:gridCol w:w="1425"/>
        <w:gridCol w:w="1202"/>
        <w:gridCol w:w="1061"/>
        <w:gridCol w:w="2417"/>
        <w:gridCol w:w="1190"/>
        <w:gridCol w:w="10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Nr. lot</w:t>
            </w:r>
          </w:p>
        </w:tc>
        <w:tc>
          <w:tcPr>
            <w:tcW w:w="67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eastAsia="Times New Roman" w:cs="Times New Roman"/>
                <w:b/>
                <w:sz w:val="20"/>
                <w:szCs w:val="24"/>
                <w:u w:val="none"/>
                <w:lang w:eastAsia="en-US" w:bidi="ar-SA"/>
              </w:rPr>
            </w:pPr>
            <w:r>
              <w:rPr>
                <w:rFonts w:hint="default" w:ascii="Times New Roman" w:hAnsi="Times New Roman" w:cs="Times New Roman"/>
                <w:b/>
                <w:sz w:val="20"/>
                <w:u w:val="none"/>
              </w:rPr>
              <w:t>Cod CPV</w:t>
            </w:r>
          </w:p>
        </w:tc>
        <w:tc>
          <w:tcPr>
            <w:tcW w:w="272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Denumirea bunurilor/serviciilor</w:t>
            </w:r>
          </w:p>
        </w:tc>
        <w:tc>
          <w:tcPr>
            <w:tcW w:w="106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Unitatea de măsură</w:t>
            </w:r>
          </w:p>
        </w:tc>
        <w:tc>
          <w:tcPr>
            <w:tcW w:w="110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u w:val="none"/>
              </w:rPr>
            </w:pPr>
            <w:r>
              <w:rPr>
                <w:rFonts w:hint="default" w:ascii="Times New Roman" w:hAnsi="Times New Roman" w:cs="Times New Roman"/>
                <w:b/>
                <w:sz w:val="20"/>
                <w:u w:val="none"/>
              </w:rPr>
              <w:t>Canti-</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tatea</w:t>
            </w:r>
          </w:p>
        </w:tc>
        <w:tc>
          <w:tcPr>
            <w:tcW w:w="127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Preţ unitar (fără TVA)</w:t>
            </w:r>
          </w:p>
        </w:tc>
        <w:tc>
          <w:tcPr>
            <w:tcW w:w="142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Preţ unitar (cu TVA)</w:t>
            </w:r>
          </w:p>
        </w:tc>
        <w:tc>
          <w:tcPr>
            <w:tcW w:w="120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u w:val="none"/>
              </w:rPr>
            </w:pPr>
            <w:r>
              <w:rPr>
                <w:rFonts w:hint="default" w:ascii="Times New Roman" w:hAnsi="Times New Roman" w:cs="Times New Roman"/>
                <w:b/>
                <w:sz w:val="20"/>
                <w:u w:val="none"/>
              </w:rPr>
              <w:t>Suma</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fără TVA</w:t>
            </w:r>
          </w:p>
        </w:tc>
        <w:tc>
          <w:tcPr>
            <w:tcW w:w="106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u w:val="none"/>
              </w:rPr>
            </w:pPr>
            <w:r>
              <w:rPr>
                <w:rFonts w:hint="default" w:ascii="Times New Roman" w:hAnsi="Times New Roman" w:cs="Times New Roman"/>
                <w:b/>
                <w:sz w:val="20"/>
                <w:u w:val="none"/>
              </w:rPr>
              <w:t>Suma</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cu TVA</w:t>
            </w:r>
          </w:p>
        </w:tc>
        <w:tc>
          <w:tcPr>
            <w:tcW w:w="241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szCs w:val="28"/>
                <w:u w:val="none"/>
              </w:rPr>
            </w:pPr>
            <w:r>
              <w:rPr>
                <w:rFonts w:hint="default" w:ascii="Times New Roman" w:hAnsi="Times New Roman" w:cs="Times New Roman"/>
                <w:b/>
                <w:sz w:val="20"/>
                <w:szCs w:val="28"/>
                <w:u w:val="none"/>
              </w:rPr>
              <w:t>Termenul de</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szCs w:val="28"/>
                <w:u w:val="none"/>
              </w:rPr>
              <w:t>livrare/prestare</w:t>
            </w:r>
          </w:p>
        </w:tc>
        <w:tc>
          <w:tcPr>
            <w:tcW w:w="119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8"/>
                <w:u w:val="none"/>
                <w:lang w:eastAsia="zh-CN" w:bidi="ar-SA"/>
              </w:rPr>
            </w:pPr>
            <w:r>
              <w:rPr>
                <w:rFonts w:hint="default" w:ascii="Times New Roman" w:hAnsi="Times New Roman" w:cs="Times New Roman"/>
                <w:b/>
                <w:sz w:val="20"/>
                <w:szCs w:val="28"/>
                <w:u w:val="none"/>
              </w:rPr>
              <w:t>Clasificație bugetară (IBAN)</w:t>
            </w:r>
          </w:p>
        </w:tc>
        <w:tc>
          <w:tcPr>
            <w:tcW w:w="104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szCs w:val="28"/>
                <w:u w:val="none"/>
              </w:rPr>
            </w:pPr>
            <w:r>
              <w:rPr>
                <w:rFonts w:hint="default" w:ascii="Times New Roman" w:hAnsi="Times New Roman" w:cs="Times New Roman"/>
                <w:b/>
                <w:sz w:val="20"/>
                <w:szCs w:val="28"/>
                <w:u w:val="none"/>
              </w:rPr>
              <w:t>Discount</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8"/>
                <w:u w:val="none"/>
                <w:lang w:eastAsia="zh-CN" w:bidi="ar-SA"/>
              </w:rPr>
            </w:pPr>
            <w:r>
              <w:rPr>
                <w:rFonts w:hint="default" w:ascii="Times New Roman" w:hAnsi="Times New Roman" w:cs="Times New Roman"/>
                <w:b/>
                <w:sz w:val="20"/>
                <w:szCs w:val="28"/>
                <w:u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0</w:t>
            </w:r>
          </w:p>
        </w:tc>
        <w:tc>
          <w:tcPr>
            <w:tcW w:w="67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1</w:t>
            </w:r>
          </w:p>
        </w:tc>
        <w:tc>
          <w:tcPr>
            <w:tcW w:w="272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2</w:t>
            </w:r>
          </w:p>
        </w:tc>
        <w:tc>
          <w:tcPr>
            <w:tcW w:w="106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3</w:t>
            </w:r>
          </w:p>
        </w:tc>
        <w:tc>
          <w:tcPr>
            <w:tcW w:w="110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4</w:t>
            </w:r>
          </w:p>
        </w:tc>
        <w:tc>
          <w:tcPr>
            <w:tcW w:w="127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5</w:t>
            </w:r>
          </w:p>
        </w:tc>
        <w:tc>
          <w:tcPr>
            <w:tcW w:w="142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6</w:t>
            </w:r>
          </w:p>
        </w:tc>
        <w:tc>
          <w:tcPr>
            <w:tcW w:w="120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7</w:t>
            </w:r>
          </w:p>
        </w:tc>
        <w:tc>
          <w:tcPr>
            <w:tcW w:w="106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8</w:t>
            </w:r>
          </w:p>
        </w:tc>
        <w:tc>
          <w:tcPr>
            <w:tcW w:w="241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9</w:t>
            </w:r>
          </w:p>
        </w:tc>
        <w:tc>
          <w:tcPr>
            <w:tcW w:w="119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10</w:t>
            </w:r>
          </w:p>
        </w:tc>
        <w:tc>
          <w:tcPr>
            <w:tcW w:w="104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11053" w:type="dxa"/>
            <w:gridSpan w:val="9"/>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sz w:val="20"/>
                <w:u w:val="none"/>
              </w:rPr>
            </w:pPr>
          </w:p>
        </w:tc>
        <w:tc>
          <w:tcPr>
            <w:tcW w:w="2417" w:type="dxa"/>
            <w:vMerge w:val="restart"/>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u w:val="none"/>
                <w:vertAlign w:val="baseline"/>
                <w:lang w:eastAsia="zh-CN" w:bidi="ar-SA"/>
              </w:rPr>
            </w:pPr>
            <w:r>
              <w:rPr>
                <w:rFonts w:hint="default" w:ascii="Times New Roman" w:hAnsi="Times New Roman" w:eastAsiaTheme="minorEastAsia"/>
                <w:sz w:val="22"/>
                <w:szCs w:val="22"/>
                <w:u w:val="single"/>
                <w:vertAlign w:val="baseline"/>
                <w:lang w:val="zh-CN" w:eastAsia="zh-CN"/>
              </w:rPr>
              <w:t>Lucrările se vor executa de către operatorul economic în baza unui grafic coordonat și aprobat cu  Beneficiarul. Lucrările vor fi executate în cadrul campaniei de reparație anunțate de beneficiar, în perioada dintre finalizarea sezonului de încălzire 2025-2026 (estimativ luna aprilie 2026)  și începutul sezonului de încălzire 2026-2027 (estimativ luna septembrie 2026). Termenul de executare a lucrărilor - p</w:t>
            </w:r>
            <w:r>
              <w:rPr>
                <w:rFonts w:hint="default" w:ascii="Times New Roman" w:hAnsi="Times New Roman"/>
                <w:sz w:val="22"/>
                <w:szCs w:val="22"/>
                <w:u w:val="single"/>
                <w:vertAlign w:val="baseline"/>
                <w:lang w:eastAsia="zh-CN"/>
              </w:rPr>
              <w:t>â</w:t>
            </w:r>
            <w:bookmarkStart w:id="0" w:name="_GoBack"/>
            <w:bookmarkEnd w:id="0"/>
            <w:r>
              <w:rPr>
                <w:rFonts w:hint="default" w:ascii="Times New Roman" w:hAnsi="Times New Roman" w:eastAsiaTheme="minorEastAsia"/>
                <w:sz w:val="22"/>
                <w:szCs w:val="22"/>
                <w:u w:val="single"/>
                <w:vertAlign w:val="baseline"/>
                <w:lang w:val="zh-CN" w:eastAsia="zh-CN"/>
              </w:rPr>
              <w:t>nă la 120 zile.</w:t>
            </w:r>
          </w:p>
        </w:tc>
        <w:tc>
          <w:tcPr>
            <w:tcW w:w="1190" w:type="dxa"/>
            <w:vMerge w:val="restart"/>
            <w:shd w:val="clear" w:color="auto" w:fill="auto"/>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s="Times New Roman" w:eastAsiaTheme="minorEastAsia"/>
                <w:u w:val="none"/>
                <w:vertAlign w:val="baseline"/>
                <w:lang w:val="en-US" w:eastAsia="zh-CN" w:bidi="ar-SA"/>
              </w:rPr>
            </w:pPr>
            <w:r>
              <w:rPr>
                <w:rFonts w:hint="default" w:ascii="Times New Roman" w:hAnsi="Times New Roman" w:cs="Times New Roman" w:eastAsiaTheme="minorEastAsia"/>
                <w:u w:val="none"/>
                <w:vertAlign w:val="baseline"/>
                <w:lang w:val="en-US" w:eastAsia="zh-CN" w:bidi="ar-SA"/>
              </w:rPr>
              <w:t>MD21ML022510000000004015</w:t>
            </w:r>
          </w:p>
        </w:tc>
        <w:tc>
          <w:tcPr>
            <w:tcW w:w="1042"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bCs/>
                <w:color w:val="000000" w:themeColor="text1"/>
                <w:sz w:val="20"/>
                <w:szCs w:val="20"/>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32"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675"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right="113"/>
              <w:jc w:val="center"/>
              <w:textAlignment w:val="auto"/>
              <w:rPr>
                <w:rFonts w:hint="default" w:ascii="Times New Roman" w:hAnsi="Times New Roman" w:cs="Times New Roman"/>
                <w:color w:val="000000" w:themeColor="text1"/>
                <w:sz w:val="15"/>
                <w:szCs w:val="15"/>
                <w:lang w:eastAsia="en-US"/>
                <w14:textFill>
                  <w14:solidFill>
                    <w14:schemeClr w14:val="tx1"/>
                  </w14:solidFill>
                </w14:textFill>
              </w:rPr>
            </w:pPr>
            <w:r>
              <w:rPr>
                <w:rFonts w:hint="default" w:ascii="Times New Roman" w:hAnsi="Times New Roman"/>
                <w:color w:val="000000" w:themeColor="text1"/>
                <w:sz w:val="20"/>
                <w:szCs w:val="20"/>
                <w:lang w:val="en-US" w:eastAsia="en-US"/>
                <w14:textFill>
                  <w14:solidFill>
                    <w14:schemeClr w14:val="tx1"/>
                  </w14:solidFill>
                </w14:textFill>
              </w:rPr>
              <w:t>4</w:t>
            </w:r>
            <w:r>
              <w:rPr>
                <w:rFonts w:hint="default" w:ascii="Times New Roman" w:hAnsi="Times New Roman"/>
                <w:color w:val="000000" w:themeColor="text1"/>
                <w:sz w:val="20"/>
                <w:szCs w:val="20"/>
                <w:lang w:eastAsia="en-US"/>
                <w14:textFill>
                  <w14:solidFill>
                    <w14:schemeClr w14:val="tx1"/>
                  </w14:solidFill>
                </w14:textFill>
              </w:rPr>
              <w:t>5251220</w:t>
            </w:r>
            <w:r>
              <w:rPr>
                <w:rFonts w:hint="default" w:ascii="Times New Roman" w:hAnsi="Times New Roman"/>
                <w:color w:val="000000" w:themeColor="text1"/>
                <w:sz w:val="20"/>
                <w:szCs w:val="20"/>
                <w:lang w:val="en-US" w:eastAsia="en-US"/>
                <w14:textFill>
                  <w14:solidFill>
                    <w14:schemeClr w14:val="tx1"/>
                  </w14:solidFill>
                </w14:textFill>
              </w:rPr>
              <w:t>-</w:t>
            </w:r>
            <w:r>
              <w:rPr>
                <w:rFonts w:hint="default" w:ascii="Times New Roman" w:hAnsi="Times New Roman"/>
                <w:color w:val="000000" w:themeColor="text1"/>
                <w:sz w:val="20"/>
                <w:szCs w:val="20"/>
                <w:lang w:eastAsia="en-US"/>
                <w14:textFill>
                  <w14:solidFill>
                    <w14:schemeClr w14:val="tx1"/>
                  </w14:solidFill>
                </w14:textFill>
              </w:rPr>
              <w:t>9</w:t>
            </w:r>
          </w:p>
        </w:tc>
        <w:tc>
          <w:tcPr>
            <w:tcW w:w="2721" w:type="dxa"/>
            <w:vAlign w:val="center"/>
          </w:tcPr>
          <w:p>
            <w:pPr>
              <w:keepNext w:val="0"/>
              <w:keepLines w:val="0"/>
              <w:pageBreakBefore w:val="0"/>
              <w:widowControl/>
              <w:suppressLineNumbers w:val="0"/>
              <w:tabs>
                <w:tab w:val="left" w:pos="600"/>
              </w:tabs>
              <w:kinsoku/>
              <w:wordWrap/>
              <w:overflowPunct/>
              <w:topLinePunct w:val="0"/>
              <w:autoSpaceDE/>
              <w:autoSpaceDN/>
              <w:bidi w:val="0"/>
              <w:adjustRightInd/>
              <w:snapToGrid/>
              <w:spacing w:after="0" w:line="18" w:lineRule="atLeast"/>
              <w:ind w:left="0" w:leftChars="0" w:firstLine="0" w:firstLineChars="0"/>
              <w:jc w:val="left"/>
              <w:textAlignment w:val="bottom"/>
              <w:rPr>
                <w:rFonts w:hint="default" w:ascii="Times New Roman" w:hAnsi="Times New Roman" w:cs="Times New Roman"/>
                <w:i w:val="0"/>
                <w:iCs w:val="0"/>
                <w:sz w:val="20"/>
                <w:szCs w:val="20"/>
                <w:lang w:val="zh-CN" w:eastAsia="ro-RO"/>
              </w:rPr>
            </w:pPr>
            <w:r>
              <w:rPr>
                <w:rFonts w:hint="default" w:ascii="Times New Roman" w:hAnsi="Times New Roman"/>
                <w:i w:val="0"/>
                <w:iCs w:val="0"/>
                <w:color w:val="000000"/>
                <w:kern w:val="0"/>
                <w:sz w:val="22"/>
                <w:szCs w:val="22"/>
                <w:highlight w:val="none"/>
                <w:u w:val="none"/>
                <w:lang w:eastAsia="zh-CN"/>
              </w:rPr>
              <w:t>Lucrări de consolidare a elementelor portante ale canalului orizontal de evacuare a gazelor de ardere</w:t>
            </w:r>
          </w:p>
        </w:tc>
        <w:tc>
          <w:tcPr>
            <w:tcW w:w="1062"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line="18" w:lineRule="atLeast"/>
              <w:jc w:val="center"/>
              <w:textAlignment w:val="bottom"/>
              <w:rPr>
                <w:rFonts w:hint="default" w:ascii="Times New Roman" w:hAnsi="Times New Roman" w:cs="Times New Roman" w:eastAsiaTheme="minorEastAsia"/>
                <w:sz w:val="20"/>
                <w:szCs w:val="20"/>
                <w:lang w:eastAsia="en-US" w:bidi="ar-SA"/>
              </w:rPr>
            </w:pPr>
            <w:r>
              <w:rPr>
                <w:rFonts w:hint="default" w:ascii="Times New Roman" w:hAnsi="Times New Roman" w:eastAsia="SimSun" w:cs="Times New Roman"/>
                <w:i w:val="0"/>
                <w:iCs w:val="0"/>
                <w:color w:val="000000"/>
                <w:kern w:val="0"/>
                <w:sz w:val="20"/>
                <w:szCs w:val="20"/>
                <w:highlight w:val="none"/>
                <w:u w:val="none"/>
                <w:lang w:eastAsia="zh-CN" w:bidi="ar"/>
              </w:rPr>
              <w:t>lucrări</w:t>
            </w:r>
          </w:p>
        </w:tc>
        <w:tc>
          <w:tcPr>
            <w:tcW w:w="1100" w:type="dxa"/>
            <w:vAlign w:val="center"/>
          </w:tcPr>
          <w:p>
            <w:pPr>
              <w:keepNext w:val="0"/>
              <w:keepLines w:val="0"/>
              <w:pageBreakBefore w:val="0"/>
              <w:widowControl/>
              <w:suppressLineNumbers w:val="0"/>
              <w:tabs>
                <w:tab w:val="left" w:pos="720"/>
              </w:tabs>
              <w:kinsoku/>
              <w:wordWrap/>
              <w:overflowPunct/>
              <w:topLinePunct w:val="0"/>
              <w:autoSpaceDE/>
              <w:autoSpaceDN/>
              <w:bidi w:val="0"/>
              <w:adjustRightInd/>
              <w:snapToGrid/>
              <w:spacing w:after="0" w:line="18" w:lineRule="atLeast"/>
              <w:jc w:val="center"/>
              <w:textAlignment w:val="bottom"/>
              <w:rPr>
                <w:rFonts w:hint="default" w:ascii="Times New Roman" w:hAnsi="Times New Roman" w:cs="Times New Roman"/>
                <w:b w:val="0"/>
                <w:bCs/>
                <w:sz w:val="20"/>
                <w:szCs w:val="20"/>
                <w:lang w:eastAsia="en-US"/>
              </w:rPr>
            </w:pPr>
            <w:r>
              <w:rPr>
                <w:rFonts w:hint="default" w:ascii="Times New Roman" w:hAnsi="Times New Roman" w:cs="Times New Roman"/>
                <w:i w:val="0"/>
                <w:iCs w:val="0"/>
                <w:color w:val="000000"/>
                <w:kern w:val="0"/>
                <w:sz w:val="20"/>
                <w:szCs w:val="20"/>
                <w:highlight w:val="none"/>
                <w:u w:val="none"/>
                <w:lang w:eastAsia="zh-CN" w:bidi="ar"/>
              </w:rPr>
              <w:t>1,00</w:t>
            </w:r>
          </w:p>
        </w:tc>
        <w:tc>
          <w:tcPr>
            <w:tcW w:w="127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42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202"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06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2417" w:type="dxa"/>
            <w:vMerge w:val="continue"/>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u w:val="none"/>
                <w:vertAlign w:val="baseline"/>
                <w:lang w:eastAsia="zh-CN" w:bidi="ar-SA"/>
              </w:rPr>
            </w:pPr>
          </w:p>
        </w:tc>
        <w:tc>
          <w:tcPr>
            <w:tcW w:w="1190" w:type="dxa"/>
            <w:vMerge w:val="continue"/>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s="Times New Roman" w:eastAsiaTheme="minorEastAsia"/>
                <w:u w:val="none"/>
                <w:vertAlign w:val="baseline"/>
                <w:lang w:val="en-US" w:eastAsia="zh-CN" w:bidi="ar-SA"/>
              </w:rPr>
            </w:pPr>
          </w:p>
        </w:tc>
        <w:tc>
          <w:tcPr>
            <w:tcW w:w="1042"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532"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Chars="0"/>
              <w:jc w:val="both"/>
              <w:textAlignment w:val="auto"/>
              <w:rPr>
                <w:rFonts w:hint="default" w:ascii="Times New Roman" w:hAnsi="Times New Roman" w:cs="Times New Roman"/>
                <w:u w:val="none"/>
                <w:vertAlign w:val="baseline"/>
              </w:rPr>
            </w:pPr>
          </w:p>
        </w:tc>
        <w:tc>
          <w:tcPr>
            <w:tcW w:w="67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15"/>
                <w:szCs w:val="15"/>
                <w14:textFill>
                  <w14:solidFill>
                    <w14:schemeClr w14:val="tx1"/>
                  </w14:solidFill>
                </w14:textFill>
              </w:rPr>
            </w:pPr>
          </w:p>
        </w:tc>
        <w:tc>
          <w:tcPr>
            <w:tcW w:w="2721" w:type="dxa"/>
            <w:vAlign w:val="center"/>
          </w:tcPr>
          <w:p>
            <w:pPr>
              <w:keepNext w:val="0"/>
              <w:keepLines w:val="0"/>
              <w:pageBreakBefore w:val="0"/>
              <w:widowControl/>
              <w:kinsoku/>
              <w:wordWrap/>
              <w:overflowPunct/>
              <w:topLinePunct w:val="0"/>
              <w:autoSpaceDE/>
              <w:autoSpaceDN/>
              <w:bidi w:val="0"/>
              <w:adjustRightInd/>
              <w:snapToGrid/>
              <w:spacing w:after="0"/>
              <w:ind w:left="0" w:leftChars="0" w:right="0" w:rightChars="0"/>
              <w:jc w:val="both"/>
              <w:textAlignment w:val="auto"/>
              <w:rPr>
                <w:rFonts w:hint="default" w:ascii="Times New Roman" w:hAnsi="Times New Roman" w:cs="Times New Roman"/>
                <w:b w:val="0"/>
                <w:bCs w:val="0"/>
                <w:sz w:val="20"/>
                <w:szCs w:val="20"/>
                <w:highlight w:val="none"/>
              </w:rPr>
            </w:pPr>
            <w:r>
              <w:rPr>
                <w:rFonts w:hint="default" w:ascii="Times New Roman" w:hAnsi="Times New Roman" w:cs="Times New Roman"/>
                <w:b/>
                <w:bCs/>
                <w:sz w:val="20"/>
                <w:szCs w:val="20"/>
                <w:highlight w:val="none"/>
              </w:rPr>
              <w:t>TOTAL</w:t>
            </w:r>
          </w:p>
        </w:tc>
        <w:tc>
          <w:tcPr>
            <w:tcW w:w="1062" w:type="dxa"/>
            <w:vAlign w:val="center"/>
          </w:tcPr>
          <w:p>
            <w:pPr>
              <w:widowControl w:val="0"/>
              <w:ind w:left="-57" w:leftChars="0" w:right="-57" w:rightChars="0"/>
              <w:jc w:val="center"/>
              <w:rPr>
                <w:rFonts w:hint="default" w:ascii="Times New Roman" w:hAnsi="Times New Roman" w:cs="Times New Roman"/>
                <w:b w:val="0"/>
                <w:bCs/>
                <w:sz w:val="20"/>
                <w:szCs w:val="20"/>
                <w:highlight w:val="none"/>
                <w:lang w:eastAsia="ru-RU"/>
              </w:rPr>
            </w:pPr>
          </w:p>
        </w:tc>
        <w:tc>
          <w:tcPr>
            <w:tcW w:w="1100" w:type="dxa"/>
            <w:vAlign w:val="center"/>
          </w:tcPr>
          <w:p>
            <w:pPr>
              <w:widowControl w:val="0"/>
              <w:ind w:left="-57" w:leftChars="0" w:right="-57" w:rightChars="0"/>
              <w:jc w:val="center"/>
              <w:rPr>
                <w:rFonts w:hint="default" w:ascii="Times New Roman" w:hAnsi="Times New Roman" w:cs="Times New Roman"/>
                <w:b w:val="0"/>
                <w:bCs/>
                <w:sz w:val="20"/>
                <w:szCs w:val="20"/>
                <w:highlight w:val="none"/>
                <w:lang w:eastAsia="ru-RU"/>
              </w:rPr>
            </w:pPr>
          </w:p>
        </w:tc>
        <w:tc>
          <w:tcPr>
            <w:tcW w:w="127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42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202"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06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2417"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val="en-US" w:eastAsia="zh-CN" w:bidi="ar-SA"/>
              </w:rPr>
            </w:pPr>
          </w:p>
        </w:tc>
        <w:tc>
          <w:tcPr>
            <w:tcW w:w="1190" w:type="dxa"/>
            <w:vAlign w:val="center"/>
          </w:tcPr>
          <w:p>
            <w:pPr>
              <w:keepNext w:val="0"/>
              <w:keepLines w:val="0"/>
              <w:pageBreakBefore w:val="0"/>
              <w:widowControl/>
              <w:kinsoku/>
              <w:wordWrap/>
              <w:overflowPunct/>
              <w:topLinePunct w:val="0"/>
              <w:autoSpaceDE/>
              <w:autoSpaceDN/>
              <w:bidi w:val="0"/>
              <w:adjustRightInd/>
              <w:snapToGrid/>
              <w:spacing w:line="264" w:lineRule="auto"/>
              <w:ind w:leftChars="0" w:rightChars="0"/>
              <w:jc w:val="center"/>
              <w:textAlignment w:val="auto"/>
              <w:rPr>
                <w:rFonts w:hint="default" w:ascii="Times New Roman" w:hAnsi="Times New Roman" w:cs="Times New Roman" w:eastAsiaTheme="minorEastAsia"/>
                <w:u w:val="none"/>
                <w:vertAlign w:val="baseline"/>
                <w:lang w:val="en-US" w:eastAsia="zh-CN" w:bidi="ar-SA"/>
              </w:rPr>
            </w:pPr>
          </w:p>
        </w:tc>
        <w:tc>
          <w:tcPr>
            <w:tcW w:w="1042"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bl>
    <w:p>
      <w:pPr>
        <w:rPr>
          <w:rFonts w:hint="default" w:ascii="Times New Roman" w:hAnsi="Times New Roman" w:cs="Times New Roman"/>
        </w:rPr>
      </w:pPr>
    </w:p>
    <w:p>
      <w:pPr>
        <w:spacing w:line="360" w:lineRule="auto"/>
        <w:rPr>
          <w:rFonts w:hint="default" w:ascii="Times New Roman" w:hAnsi="Times New Roman" w:cs="Times New Roman"/>
        </w:rPr>
      </w:pPr>
    </w:p>
    <w:p>
      <w:pPr>
        <w:spacing w:line="360" w:lineRule="auto"/>
        <w:rPr>
          <w:rFonts w:hint="default" w:ascii="Times New Roman" w:hAnsi="Times New Roman" w:cs="Times New Roman"/>
          <w:u w:val="single"/>
        </w:rPr>
      </w:pPr>
      <w:r>
        <w:rPr>
          <w:rFonts w:hint="default" w:ascii="Times New Roman" w:hAnsi="Times New Roman" w:cs="Times New Roman"/>
        </w:rPr>
        <w:t xml:space="preserve">Semnat: </w:t>
      </w:r>
      <w:r>
        <w:rPr>
          <w:rFonts w:hint="default" w:ascii="Times New Roman" w:hAnsi="Times New Roman" w:cs="Times New Roman"/>
          <w:u w:val="single"/>
        </w:rPr>
        <w:t xml:space="preserve">              </w:t>
      </w:r>
      <w:r>
        <w:rPr>
          <w:rFonts w:hint="default" w:ascii="Times New Roman" w:hAnsi="Times New Roman" w:cs="Times New Roman"/>
        </w:rPr>
        <w:t xml:space="preserve"> Numele, Prenumele: </w:t>
      </w:r>
      <w:r>
        <w:rPr>
          <w:rFonts w:hint="default" w:ascii="Times New Roman" w:hAnsi="Times New Roman" w:cs="Times New Roman"/>
          <w:u w:val="single"/>
        </w:rPr>
        <w:t xml:space="preserve">                             </w:t>
      </w:r>
      <w:r>
        <w:rPr>
          <w:rFonts w:hint="default" w:ascii="Times New Roman" w:hAnsi="Times New Roman" w:cs="Times New Roman"/>
        </w:rPr>
        <w:t xml:space="preserve"> În calitate de: </w:t>
      </w:r>
      <w:r>
        <w:rPr>
          <w:rFonts w:hint="default" w:ascii="Times New Roman" w:hAnsi="Times New Roman" w:cs="Times New Roman"/>
          <w:u w:val="single"/>
        </w:rPr>
        <w:t xml:space="preserve">                 </w:t>
      </w:r>
    </w:p>
    <w:p>
      <w:pPr>
        <w:spacing w:line="360" w:lineRule="auto"/>
        <w:rPr>
          <w:rFonts w:hint="default" w:ascii="Times New Roman" w:hAnsi="Times New Roman" w:cs="Times New Roman"/>
          <w:u w:val="none"/>
        </w:rPr>
      </w:pPr>
      <w:r>
        <w:rPr>
          <w:rFonts w:hint="default" w:ascii="Times New Roman" w:hAnsi="Times New Roman" w:cs="Times New Roman"/>
          <w:u w:val="none"/>
        </w:rPr>
        <w:t xml:space="preserve">Ofertantul: </w:t>
      </w:r>
      <w:r>
        <w:rPr>
          <w:rFonts w:hint="default" w:ascii="Times New Roman" w:hAnsi="Times New Roman" w:cs="Times New Roman"/>
          <w:u w:val="single"/>
        </w:rPr>
        <w:t xml:space="preserve">                        </w:t>
      </w:r>
      <w:r>
        <w:rPr>
          <w:rFonts w:hint="default" w:ascii="Times New Roman" w:hAnsi="Times New Roman" w:cs="Times New Roman"/>
          <w:u w:val="none"/>
        </w:rPr>
        <w:t xml:space="preserve"> Adresa: </w:t>
      </w:r>
      <w:r>
        <w:rPr>
          <w:rFonts w:hint="default" w:ascii="Times New Roman" w:hAnsi="Times New Roman" w:cs="Times New Roman"/>
          <w:u w:val="single"/>
        </w:rPr>
        <w:t xml:space="preserve">                        </w:t>
      </w:r>
    </w:p>
    <w:sectPr>
      <w:footerReference r:id="rId3" w:type="default"/>
      <w:pgSz w:w="16838" w:h="11906" w:orient="landscape"/>
      <w:pgMar w:top="567" w:right="567" w:bottom="567" w:left="567"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20"/>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Текстовое поле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  \* MERGEFORMAT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w:t>
                          </w:r>
                          <w:r>
                            <w:rPr>
                              <w:rFonts w:hint="default" w:ascii="Times New Roman" w:hAnsi="Times New Roman" w:cs="Times New Roman"/>
                              <w:sz w:val="22"/>
                              <w:szCs w:val="2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zSVju0AAAAAUB&#10;AAAPAAAAAAAAAAEAIAAAACIAAABkcnMvZG93bnJldi54bWxQSwECFAAUAAAACACHTuJAyi6E/yMC&#10;AAAlBAAADgAAAAAAAAABACAAAAAfAQAAZHJzL2Uyb0RvYy54bWxQSwUGAAAAAAYABgBZAQAAtAUA&#10;AAAA&#10;">
              <v:fill on="f" focussize="0,0"/>
              <v:stroke on="f" weight="0.5pt"/>
              <v:imagedata o:title=""/>
              <o:lock v:ext="edit" aspectratio="f"/>
              <v:textbox inset="0mm,0mm,0mm,0mm" style="mso-fit-shape-to-text:t;">
                <w:txbxContent>
                  <w:p>
                    <w:pPr>
                      <w:pStyle w:val="3"/>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  \* MERGEFORMAT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w:t>
                    </w:r>
                    <w:r>
                      <w:rPr>
                        <w:rFonts w:hint="default" w:ascii="Times New Roman" w:hAnsi="Times New Roman" w:cs="Times New Roman"/>
                        <w:sz w:val="22"/>
                        <w:szCs w:val="22"/>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D6A93B"/>
    <w:multiLevelType w:val="singleLevel"/>
    <w:tmpl w:val="81D6A93B"/>
    <w:lvl w:ilvl="0" w:tentative="0">
      <w:start w:val="1"/>
      <w:numFmt w:val="decimal"/>
      <w:lvlText w:val="%1."/>
      <w:lvlJc w:val="left"/>
      <w:pPr>
        <w:tabs>
          <w:tab w:val="left" w:pos="425"/>
        </w:tabs>
        <w:ind w:left="425" w:leftChars="0" w:hanging="425" w:firstLineChars="0"/>
      </w:pPr>
      <w:rPr>
        <w:rFonts w:hint="default"/>
      </w:rPr>
    </w:lvl>
  </w:abstractNum>
  <w:abstractNum w:abstractNumId="1">
    <w:nsid w:val="6DE3A9C6"/>
    <w:multiLevelType w:val="singleLevel"/>
    <w:tmpl w:val="6DE3A9C6"/>
    <w:lvl w:ilvl="0" w:tentative="0">
      <w:start w:val="1"/>
      <w:numFmt w:val="decimal"/>
      <w:lvlText w:val="%1."/>
      <w:lvlJc w:val="left"/>
      <w:pPr>
        <w:tabs>
          <w:tab w:val="left" w:pos="425"/>
        </w:tabs>
        <w:ind w:left="425" w:leftChars="0" w:hanging="425" w:firstLineChars="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213D0"/>
    <w:rsid w:val="02346795"/>
    <w:rsid w:val="02462A4F"/>
    <w:rsid w:val="03962305"/>
    <w:rsid w:val="05687487"/>
    <w:rsid w:val="07E0084F"/>
    <w:rsid w:val="09BB20A2"/>
    <w:rsid w:val="0A1F41F1"/>
    <w:rsid w:val="0C722C9C"/>
    <w:rsid w:val="0D7F51EF"/>
    <w:rsid w:val="0DB75CB8"/>
    <w:rsid w:val="0DE66214"/>
    <w:rsid w:val="0FF11F36"/>
    <w:rsid w:val="103877B0"/>
    <w:rsid w:val="10425480"/>
    <w:rsid w:val="112715D7"/>
    <w:rsid w:val="124A57A9"/>
    <w:rsid w:val="12C51A9C"/>
    <w:rsid w:val="140A5C07"/>
    <w:rsid w:val="14814EC1"/>
    <w:rsid w:val="14C31A74"/>
    <w:rsid w:val="15433EAE"/>
    <w:rsid w:val="15CF515F"/>
    <w:rsid w:val="16176152"/>
    <w:rsid w:val="17001CBE"/>
    <w:rsid w:val="170736D8"/>
    <w:rsid w:val="186F27B0"/>
    <w:rsid w:val="1A235F91"/>
    <w:rsid w:val="1B0A44F5"/>
    <w:rsid w:val="1BF2555C"/>
    <w:rsid w:val="1C8708F3"/>
    <w:rsid w:val="1CAF2C3E"/>
    <w:rsid w:val="1D1F7306"/>
    <w:rsid w:val="1DB03E28"/>
    <w:rsid w:val="1E2A35E1"/>
    <w:rsid w:val="1ED12D01"/>
    <w:rsid w:val="1EEC7A8C"/>
    <w:rsid w:val="1F7C2CE0"/>
    <w:rsid w:val="20642787"/>
    <w:rsid w:val="224E40E6"/>
    <w:rsid w:val="22575BBF"/>
    <w:rsid w:val="233D0DFF"/>
    <w:rsid w:val="25917193"/>
    <w:rsid w:val="259D1413"/>
    <w:rsid w:val="28072153"/>
    <w:rsid w:val="2B8A559C"/>
    <w:rsid w:val="2C387782"/>
    <w:rsid w:val="2C7B5398"/>
    <w:rsid w:val="2CA14645"/>
    <w:rsid w:val="2FAB6462"/>
    <w:rsid w:val="30976DA2"/>
    <w:rsid w:val="3098299F"/>
    <w:rsid w:val="319934B1"/>
    <w:rsid w:val="32117518"/>
    <w:rsid w:val="32A40826"/>
    <w:rsid w:val="33DB42E6"/>
    <w:rsid w:val="34D058C0"/>
    <w:rsid w:val="358F4C83"/>
    <w:rsid w:val="35B4714A"/>
    <w:rsid w:val="36202A8B"/>
    <w:rsid w:val="38193087"/>
    <w:rsid w:val="38286CC9"/>
    <w:rsid w:val="38296019"/>
    <w:rsid w:val="38874FCD"/>
    <w:rsid w:val="38A21BCA"/>
    <w:rsid w:val="39E9692C"/>
    <w:rsid w:val="3CEE333F"/>
    <w:rsid w:val="3D98229D"/>
    <w:rsid w:val="3DF53D49"/>
    <w:rsid w:val="3DFF4976"/>
    <w:rsid w:val="442B4CA6"/>
    <w:rsid w:val="446A7138"/>
    <w:rsid w:val="45B756C2"/>
    <w:rsid w:val="47134419"/>
    <w:rsid w:val="47C55632"/>
    <w:rsid w:val="493C0430"/>
    <w:rsid w:val="495737ED"/>
    <w:rsid w:val="49991CBB"/>
    <w:rsid w:val="4A3459A1"/>
    <w:rsid w:val="4B2B3590"/>
    <w:rsid w:val="4C6C31D0"/>
    <w:rsid w:val="4DFA077B"/>
    <w:rsid w:val="4E1B06BB"/>
    <w:rsid w:val="51816D85"/>
    <w:rsid w:val="51FD0610"/>
    <w:rsid w:val="53380017"/>
    <w:rsid w:val="533D68E5"/>
    <w:rsid w:val="535321C1"/>
    <w:rsid w:val="538A5EE9"/>
    <w:rsid w:val="540839FD"/>
    <w:rsid w:val="56E078B0"/>
    <w:rsid w:val="577F10CA"/>
    <w:rsid w:val="578F06BB"/>
    <w:rsid w:val="579F77F4"/>
    <w:rsid w:val="58D6288E"/>
    <w:rsid w:val="594F3B0C"/>
    <w:rsid w:val="5AC72C37"/>
    <w:rsid w:val="5CF43F2D"/>
    <w:rsid w:val="5DA51471"/>
    <w:rsid w:val="5E940365"/>
    <w:rsid w:val="610A2A1F"/>
    <w:rsid w:val="61D80EC5"/>
    <w:rsid w:val="63892EC6"/>
    <w:rsid w:val="63A250EB"/>
    <w:rsid w:val="63AB1A91"/>
    <w:rsid w:val="64045BB5"/>
    <w:rsid w:val="66BF2FF9"/>
    <w:rsid w:val="674E5A20"/>
    <w:rsid w:val="681B32D5"/>
    <w:rsid w:val="697E5F4B"/>
    <w:rsid w:val="69AC0C58"/>
    <w:rsid w:val="6AF75CE4"/>
    <w:rsid w:val="6B52785D"/>
    <w:rsid w:val="6DB1777F"/>
    <w:rsid w:val="6DE34AE4"/>
    <w:rsid w:val="6E3C219F"/>
    <w:rsid w:val="6E4152D7"/>
    <w:rsid w:val="6F3925B9"/>
    <w:rsid w:val="71F22B08"/>
    <w:rsid w:val="72E36382"/>
    <w:rsid w:val="733D60BC"/>
    <w:rsid w:val="7477213F"/>
    <w:rsid w:val="74BD341A"/>
    <w:rsid w:val="76FF686B"/>
    <w:rsid w:val="786F5C73"/>
    <w:rsid w:val="7AE377C7"/>
    <w:rsid w:val="7B0B2BDE"/>
    <w:rsid w:val="7BE6624C"/>
    <w:rsid w:val="7BF628C7"/>
    <w:rsid w:val="7C4F1F14"/>
    <w:rsid w:val="7E7365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header"/>
    <w:basedOn w:val="1"/>
    <w:qFormat/>
    <w:uiPriority w:val="0"/>
    <w:pPr>
      <w:tabs>
        <w:tab w:val="center" w:pos="4153"/>
        <w:tab w:val="right" w:pos="8306"/>
      </w:tabs>
    </w:pPr>
  </w:style>
  <w:style w:type="paragraph" w:styleId="3">
    <w:name w:val="footer"/>
    <w:basedOn w:val="1"/>
    <w:qFormat/>
    <w:uiPriority w:val="0"/>
    <w:pPr>
      <w:tabs>
        <w:tab w:val="center" w:pos="4153"/>
        <w:tab w:val="right" w:pos="8306"/>
      </w:tabs>
    </w:p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font21"/>
    <w:qFormat/>
    <w:uiPriority w:val="0"/>
    <w:rPr>
      <w:rFonts w:hint="default" w:ascii="Times New Roman" w:hAnsi="Times New Roman" w:cs="Times New Roman"/>
      <w:color w:val="000000"/>
      <w:u w:val="none"/>
    </w:rPr>
  </w:style>
  <w:style w:type="character" w:customStyle="1" w:styleId="8">
    <w:name w:val="font01"/>
    <w:qFormat/>
    <w:uiPriority w:val="0"/>
    <w:rPr>
      <w:rFonts w:hint="default" w:ascii="Times New Roman" w:hAnsi="Times New Roman" w:cs="Times New Roman"/>
      <w:color w:val="00000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6</TotalTime>
  <ScaleCrop>false</ScaleCrop>
  <LinksUpToDate>false</LinksUpToDate>
  <CharactersWithSpaces>0</CharactersWithSpaces>
  <Application>WPS Office_11.2.0.9327_F1E327BC-269C-435d-A152-05C5408002CA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2022-11-03T10:30:00Z</dcterms:created>
  <dc:creator>A_Basistii</dc:creator>
  <cp:lastModifiedBy>A_Bulat</cp:lastModifiedBy>
  <dcterms:modified xsi:type="dcterms:W3CDTF">2026-02-11T09:39:05Z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1049-11.2.0.9327</vt:lpwstr>
  </property>
  <property fmtid="{D5CDD505-2E9C-101B-9397-08002B2CF9AE}" pid="3" name="ICV">
    <vt:lpwstr>8632AD39FE9449BD8F94C96F62E4A7D3</vt:lpwstr>
  </property>
</Properties>
</file>