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ind w:left="1800" w:hanging="1800" w:hangingChars="900"/>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elementelor portante a podului rulant KM-20/5 din sala de mașini, inclusiv verificarea documentației de proiect și exercitarea</w:t>
            </w:r>
            <w:r>
              <w:rPr>
                <w:rFonts w:hint="default" w:ascii="Times New Roman" w:hAnsi="Times New Roman"/>
                <w:u w:val="single"/>
                <w:vertAlign w:val="baseline"/>
                <w:lang/>
              </w:rPr>
              <w:t xml:space="preserve"> </w:t>
            </w:r>
            <w:r>
              <w:rPr>
                <w:rFonts w:hint="default" w:ascii="Times New Roman" w:hAnsi="Times New Roman"/>
                <w:u w:val="single"/>
                <w:vertAlign w:val="baseline"/>
              </w:rPr>
              <w:t>supravegherii de autor</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830"/>
        <w:gridCol w:w="1550"/>
        <w:gridCol w:w="1550"/>
        <w:gridCol w:w="1417"/>
        <w:gridCol w:w="2733"/>
        <w:gridCol w:w="2684"/>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83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serviciului</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41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273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268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83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5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41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273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268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blHeader/>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szCs w:val="20"/>
              </w:rPr>
            </w:pPr>
            <w:r>
              <w:rPr>
                <w:rFonts w:hint="default" w:ascii="Times New Roman" w:hAnsi="Times New Roman" w:cs="Times New Roman"/>
                <w:b/>
                <w:color w:val="000000" w:themeColor="text1"/>
                <w:sz w:val="20"/>
                <w:szCs w:val="20"/>
                <w14:textFill>
                  <w14:solidFill>
                    <w14:schemeClr w14:val="tx1"/>
                  </w14:solidFill>
                </w14:textFill>
              </w:rPr>
              <w:t>Lot 1. Elaborarea documentației de proiect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830" w:type="dxa"/>
            <w:vAlign w:val="center"/>
          </w:tcPr>
          <w:p>
            <w:pPr>
              <w:widowControl w:val="0"/>
              <w:spacing w:after="0" w:line="23" w:lineRule="atLeast"/>
              <w:jc w:val="both"/>
              <w:rPr>
                <w:rFonts w:hint="default" w:ascii="Times New Roman" w:hAnsi="Times New Roman" w:cs="Times New Roman"/>
                <w:b w:val="0"/>
                <w:bCs/>
                <w:sz w:val="20"/>
                <w:szCs w:val="20"/>
                <w:lang w:eastAsia="ro-RO"/>
              </w:rPr>
            </w:pPr>
            <w:r>
              <w:rPr>
                <w:rFonts w:hint="default" w:ascii="Times New Roman" w:hAnsi="Times New Roman" w:cs="Times New Roman"/>
              </w:rPr>
              <w:t>Elaborarea documentației de proiect (faza de proiectare - proiect de execuție a lucrărilor „PEL”; proiect de organizare a șantierului „POS”), având la bază Raportul de expertiză tehnică nr. 625-04-24/T și documentele normative în vigoare</w:t>
            </w: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41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2733" w:type="dxa"/>
            <w:vAlign w:val="center"/>
          </w:tcPr>
          <w:p>
            <w:pPr>
              <w:widowControl w:val="0"/>
              <w:spacing w:after="0" w:line="23" w:lineRule="atLeast"/>
              <w:jc w:val="center"/>
              <w:rPr>
                <w:rFonts w:hint="default" w:ascii="Times New Roman" w:hAnsi="Times New Roman"/>
                <w:b w:val="0"/>
                <w:bCs/>
                <w:sz w:val="20"/>
                <w:szCs w:val="20"/>
                <w:lang w:val="en-US" w:eastAsia="ro-RO"/>
              </w:rPr>
            </w:pPr>
            <w:r>
              <w:rPr>
                <w:rFonts w:hint="default" w:ascii="Times New Roman" w:hAnsi="Times New Roman" w:eastAsia="SimSun" w:cs="Times New Roman"/>
                <w:i w:val="0"/>
                <w:iCs w:val="0"/>
                <w:color w:val="000000"/>
                <w:kern w:val="0"/>
                <w:sz w:val="20"/>
                <w:szCs w:val="20"/>
                <w:u w:val="none"/>
                <w:lang w:eastAsia="ro-RO" w:bidi="ar"/>
              </w:rPr>
              <w:t>Conform Caietului de sarcini</w:t>
            </w:r>
          </w:p>
        </w:tc>
        <w:tc>
          <w:tcPr>
            <w:tcW w:w="268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830" w:type="dxa"/>
            <w:vAlign w:val="center"/>
          </w:tcPr>
          <w:p>
            <w:pPr>
              <w:widowControl w:val="0"/>
              <w:spacing w:after="0" w:line="23" w:lineRule="atLeast"/>
              <w:jc w:val="both"/>
              <w:rPr>
                <w:rFonts w:hint="default" w:ascii="Times New Roman" w:hAnsi="Times New Roman" w:eastAsia="SimSun" w:cs="Times New Roman"/>
                <w:i w:val="0"/>
                <w:iCs w:val="0"/>
                <w:color w:val="000000"/>
                <w:kern w:val="0"/>
                <w:sz w:val="20"/>
                <w:szCs w:val="20"/>
                <w:u w:val="none"/>
                <w:lang w:eastAsia="zh-CN"/>
              </w:rPr>
            </w:pPr>
            <w:r>
              <w:rPr>
                <w:rFonts w:hint="default" w:ascii="Times New Roman" w:hAnsi="Times New Roman" w:cs="Times New Roman"/>
              </w:rPr>
              <w:t>Verificarea documentației de proiect elaborate, conform documentelor normative naționale</w:t>
            </w: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41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2733" w:type="dxa"/>
            <w:vAlign w:val="center"/>
          </w:tcPr>
          <w:p>
            <w:pPr>
              <w:widowControl w:val="0"/>
              <w:spacing w:after="0" w:line="23" w:lineRule="atLeast"/>
              <w:jc w:val="center"/>
              <w:rPr>
                <w:rFonts w:hint="default" w:ascii="Times New Roman" w:hAnsi="Times New Roman" w:eastAsia="SimSun" w:cs="Times New Roman"/>
                <w:i w:val="0"/>
                <w:iCs w:val="0"/>
                <w:color w:val="000000"/>
                <w:kern w:val="0"/>
                <w:sz w:val="20"/>
                <w:szCs w:val="20"/>
                <w:u w:val="none"/>
                <w:lang w:eastAsia="ro-RO" w:bidi="ar"/>
              </w:rPr>
            </w:pPr>
            <w:r>
              <w:rPr>
                <w:rFonts w:hint="default" w:ascii="Times New Roman" w:hAnsi="Times New Roman" w:eastAsia="SimSun" w:cs="Times New Roman"/>
                <w:i w:val="0"/>
                <w:iCs w:val="0"/>
                <w:color w:val="000000"/>
                <w:kern w:val="0"/>
                <w:sz w:val="20"/>
                <w:szCs w:val="20"/>
                <w:u w:val="none"/>
                <w:lang w:eastAsia="ro-RO" w:bidi="ar"/>
              </w:rPr>
              <w:t>Conform Caietului de sarcini</w:t>
            </w:r>
          </w:p>
        </w:tc>
        <w:tc>
          <w:tcPr>
            <w:tcW w:w="268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szCs w:val="20"/>
                <w:highlight w:val="lightGray"/>
                <w:shd w:val="clear" w:color="FFFFFF" w:fill="D9D9D9"/>
                <w:vertAlign w:val="baseline"/>
              </w:rPr>
            </w:pPr>
            <w:r>
              <w:rPr>
                <w:rFonts w:hint="default" w:ascii="Times New Roman" w:hAnsi="Times New Roman"/>
                <w:b/>
                <w:bCs/>
                <w:sz w:val="20"/>
                <w:szCs w:val="20"/>
                <w:highlight w:val="lightGray"/>
                <w:shd w:val="clear" w:color="FFFFFF" w:fill="D9D9D9"/>
                <w:vertAlign w:val="baseline"/>
              </w:rPr>
              <w:t>Lot 2. Supraveghere de autor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830" w:type="dxa"/>
            <w:vAlign w:val="center"/>
          </w:tcPr>
          <w:p>
            <w:pPr>
              <w:widowControl w:val="0"/>
              <w:spacing w:after="0" w:line="23" w:lineRule="atLeast"/>
              <w:jc w:val="both"/>
              <w:rPr>
                <w:rFonts w:hint="default" w:ascii="Times New Roman" w:hAnsi="Times New Roman" w:eastAsia="SimSun"/>
                <w:i w:val="0"/>
                <w:iCs w:val="0"/>
                <w:color w:val="000000"/>
                <w:kern w:val="0"/>
                <w:sz w:val="20"/>
                <w:szCs w:val="20"/>
                <w:u w:val="none"/>
                <w:lang w:eastAsia="zh-CN"/>
              </w:rPr>
            </w:pPr>
            <w:r>
              <w:rPr>
                <w:rFonts w:hint="default" w:ascii="Times New Roman" w:hAnsi="Times New Roman" w:eastAsia="SimSun"/>
                <w:i w:val="0"/>
                <w:iCs w:val="0"/>
                <w:color w:val="000000"/>
                <w:kern w:val="0"/>
                <w:sz w:val="20"/>
                <w:szCs w:val="20"/>
                <w:u w:val="none"/>
                <w:lang w:eastAsia="zh-CN"/>
              </w:rPr>
              <w:t>Monitorizarea aplicării prevederilor documentației de proiect în procesul de execuție a lucrărilor de construcții, în baza contractului de supraveghere de autor</w:t>
            </w: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5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41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2733" w:type="dxa"/>
            <w:vAlign w:val="center"/>
          </w:tcPr>
          <w:p>
            <w:pPr>
              <w:widowControl w:val="0"/>
              <w:spacing w:after="0" w:line="23" w:lineRule="atLeast"/>
              <w:jc w:val="center"/>
              <w:rPr>
                <w:rFonts w:hint="default" w:ascii="Times New Roman" w:hAnsi="Times New Roman" w:eastAsia="SimSun" w:cs="Times New Roman"/>
                <w:i w:val="0"/>
                <w:iCs w:val="0"/>
                <w:color w:val="000000"/>
                <w:kern w:val="0"/>
                <w:sz w:val="20"/>
                <w:szCs w:val="20"/>
                <w:u w:val="none"/>
                <w:lang w:eastAsia="ro-RO" w:bidi="ar"/>
              </w:rPr>
            </w:pPr>
            <w:r>
              <w:rPr>
                <w:rFonts w:hint="default" w:ascii="Times New Roman" w:hAnsi="Times New Roman" w:eastAsia="SimSun" w:cs="Times New Roman"/>
                <w:i w:val="0"/>
                <w:iCs w:val="0"/>
                <w:color w:val="000000"/>
                <w:kern w:val="0"/>
                <w:sz w:val="20"/>
                <w:szCs w:val="20"/>
                <w:u w:val="none"/>
                <w:lang w:eastAsia="ro-RO" w:bidi="ar"/>
              </w:rPr>
              <w:t>Conform Caietului de sarcini</w:t>
            </w:r>
          </w:p>
        </w:tc>
        <w:tc>
          <w:tcPr>
            <w:tcW w:w="268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rPr>
          <w:rFonts w:hint="default" w:ascii="Times New Roman" w:hAnsi="Times New Roman" w:cs="Times New Roman"/>
        </w:rPr>
      </w:pPr>
    </w:p>
    <w:p>
      <w:pPr>
        <w:tabs>
          <w:tab w:val="left" w:pos="6120"/>
        </w:tabs>
        <w:rPr>
          <w:rFonts w:hint="default" w:ascii="Times New Roman" w:hAnsi="Times New Roman" w:cs="Times New Roman"/>
          <w:b/>
          <w:bCs/>
          <w:sz w:val="20"/>
          <w:szCs w:val="20"/>
        </w:rPr>
      </w:pPr>
      <w:r>
        <w:rPr>
          <w:rFonts w:hint="default" w:ascii="Times New Roman" w:hAnsi="Times New Roman" w:cs="Times New Roman"/>
          <w:b/>
          <w:bCs/>
          <w:sz w:val="20"/>
          <w:szCs w:val="20"/>
        </w:rPr>
        <w:t>*Notă: Ofertantul trebuie să completeze coloana 6 cu specificația tehnică desfășurată, adică să indice toți parametrii tehnici detaliat.</w:t>
      </w:r>
    </w:p>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ind w:left="1700" w:hanging="1700" w:hangingChars="850"/>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elementelor portante a podului rulant KM-20/5 din sala de mașini, inclusiv verificarea documentației de proiect și exercitarea supravegherii de autor</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821"/>
        <w:gridCol w:w="2196"/>
        <w:gridCol w:w="1200"/>
        <w:gridCol w:w="975"/>
        <w:gridCol w:w="1290"/>
        <w:gridCol w:w="1365"/>
        <w:gridCol w:w="1275"/>
        <w:gridCol w:w="1125"/>
        <w:gridCol w:w="2749"/>
        <w:gridCol w:w="1200"/>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9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3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1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274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9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3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1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274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u w:val="none"/>
              </w:rPr>
            </w:pPr>
            <w:r>
              <w:rPr>
                <w:rFonts w:hint="default" w:ascii="Times New Roman" w:hAnsi="Times New Roman" w:cs="Times New Roman"/>
                <w:b/>
                <w:color w:val="000000" w:themeColor="text1"/>
                <w:sz w:val="20"/>
                <w:szCs w:val="20"/>
                <w14:textFill>
                  <w14:solidFill>
                    <w14:schemeClr w14:val="tx1"/>
                  </w14:solidFill>
                </w14:textFill>
              </w:rPr>
              <w:t>Lot 1. Elaborarea documentației de proiect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color w:val="000000" w:themeColor="text1"/>
                <w:sz w:val="15"/>
                <w:szCs w:val="15"/>
                <w:lang w:eastAsia="en-US"/>
                <w14:textFill>
                  <w14:solidFill>
                    <w14:schemeClr w14:val="tx1"/>
                  </w14:solidFill>
                </w14:textFill>
              </w:rPr>
            </w:pPr>
            <w:bookmarkStart w:id="0" w:name="_GoBack"/>
            <w:bookmarkEnd w:id="0"/>
            <w:r>
              <w:rPr>
                <w:rFonts w:hint="default" w:ascii="Times New Roman" w:hAnsi="Times New Roman" w:cs="Times New Roman"/>
                <w:iCs/>
                <w:color w:val="000000" w:themeColor="text1"/>
                <w:sz w:val="20"/>
                <w:szCs w:val="20"/>
                <w:highlight w:val="none"/>
                <w14:textFill>
                  <w14:solidFill>
                    <w14:schemeClr w14:val="tx1"/>
                  </w14:solidFill>
                </w14:textFill>
              </w:rPr>
              <w:t>71327000-6</w:t>
            </w:r>
          </w:p>
        </w:tc>
        <w:tc>
          <w:tcPr>
            <w:tcW w:w="2196" w:type="dxa"/>
            <w:vAlign w:val="top"/>
          </w:tcPr>
          <w:p>
            <w:pPr>
              <w:widowControl w:val="0"/>
              <w:spacing w:after="0" w:line="23" w:lineRule="atLeast"/>
              <w:jc w:val="both"/>
              <w:rPr>
                <w:rFonts w:hint="default" w:ascii="Times New Roman" w:hAnsi="Times New Roman" w:cs="Times New Roman"/>
                <w:i w:val="0"/>
                <w:iCs w:val="0"/>
                <w:sz w:val="20"/>
                <w:szCs w:val="20"/>
                <w:lang w:eastAsia="ro-RO"/>
              </w:rPr>
            </w:pPr>
            <w:r>
              <w:rPr>
                <w:rFonts w:hint="default" w:ascii="Times New Roman" w:hAnsi="Times New Roman" w:cs="Times New Roman"/>
              </w:rPr>
              <w:t>Elaborarea documentației de proiect (faza de proiectare - proiect de execuție a lucrărilor „PEL”; proiect de organizare a șantierului „POS”), având la bază Raportul de expertiză tehnică nr. 625-04-24/T și documentele normative în vigoare</w:t>
            </w:r>
          </w:p>
        </w:tc>
        <w:tc>
          <w:tcPr>
            <w:tcW w:w="120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SimSun" w:cs="Times New Roman"/>
                <w:i w:val="0"/>
                <w:iCs w:val="0"/>
                <w:color w:val="000000"/>
                <w:kern w:val="0"/>
                <w:sz w:val="20"/>
                <w:szCs w:val="20"/>
                <w:u w:val="none"/>
                <w:lang w:eastAsia="zh-CN" w:bidi="ar"/>
              </w:rPr>
              <w:t>-</w:t>
            </w:r>
          </w:p>
        </w:tc>
        <w:tc>
          <w:tcPr>
            <w:tcW w:w="975"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cs="Times New Roman"/>
                <w:b w:val="0"/>
                <w:bCs/>
                <w:sz w:val="20"/>
                <w:szCs w:val="20"/>
                <w:lang w:eastAsia="en-US"/>
              </w:rPr>
            </w:pPr>
            <w:r>
              <w:rPr>
                <w:rFonts w:hint="default" w:ascii="Times New Roman" w:hAnsi="Times New Roman" w:eastAsia="SimSun" w:cs="Times New Roman"/>
                <w:i w:val="0"/>
                <w:iCs w:val="0"/>
                <w:color w:val="000000"/>
                <w:kern w:val="0"/>
                <w:sz w:val="20"/>
                <w:szCs w:val="20"/>
                <w:u w:val="none"/>
                <w:lang w:eastAsia="zh-CN" w:bidi="ar"/>
              </w:rPr>
              <w:t>Servicii</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vMerge w:val="restart"/>
            <w:shd w:val="clear" w:color="auto" w:fill="auto"/>
            <w:vAlign w:val="center"/>
          </w:tcPr>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u w:val="single"/>
                <w:vertAlign w:val="baseline"/>
                <w:lang w:val="en-US" w:eastAsia="zh-CN"/>
              </w:rPr>
            </w:pPr>
            <w:r>
              <w:rPr>
                <w:rFonts w:hint="default" w:ascii="Times New Roman" w:hAnsi="Times New Roman" w:eastAsiaTheme="minorEastAsia"/>
                <w:u w:val="single"/>
                <w:vertAlign w:val="baseline"/>
                <w:lang w:val="en-US" w:eastAsia="zh-CN"/>
              </w:rPr>
              <w:t>Prestarea serviciilor va avea loc în 2 (două) etape:</w:t>
            </w:r>
          </w:p>
          <w:p>
            <w:pPr>
              <w:keepNext w:val="0"/>
              <w:keepLines w:val="0"/>
              <w:pageBreakBefore w:val="0"/>
              <w:widowControl/>
              <w:numPr>
                <w:ilvl w:val="0"/>
                <w:numId w:val="4"/>
              </w:numPr>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u w:val="single"/>
                <w:vertAlign w:val="baseline"/>
                <w:lang w:val="en-US" w:eastAsia="zh-CN"/>
              </w:rPr>
            </w:pPr>
            <w:r>
              <w:rPr>
                <w:rFonts w:hint="default" w:ascii="Times New Roman" w:hAnsi="Times New Roman" w:eastAsiaTheme="minorEastAsia"/>
                <w:u w:val="single"/>
                <w:vertAlign w:val="baseline"/>
                <w:lang w:val="en-US" w:eastAsia="zh-CN"/>
              </w:rPr>
              <w:t>Operatorul economic desemnat câștigător se obligă să livreze documentația de proiect, elaborată și verificată, în termen de 45 (patruzeci și cinci) zile de la semnarea contractului. Odată cu coordonarea documentației de proiect de către Entitatea contractantă, Operatorul economic o va livra Entității contractante în 3 exemplare pe suport de hârtie (copertate) și electronic, în format PDF.</w:t>
            </w:r>
          </w:p>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u w:val="single"/>
                <w:vertAlign w:val="baseline"/>
                <w:lang w:val="en-US" w:eastAsia="zh-CN"/>
              </w:rPr>
            </w:pPr>
            <w:r>
              <w:rPr>
                <w:rFonts w:hint="default" w:ascii="Times New Roman" w:hAnsi="Times New Roman" w:eastAsiaTheme="minorEastAsia"/>
                <w:u w:val="single"/>
                <w:vertAlign w:val="baseline"/>
                <w:lang w:val="en-US" w:eastAsia="zh-CN"/>
              </w:rPr>
              <w:t>Serviciile prestate vor fi recepționate în baza următoarelor documente:</w:t>
            </w:r>
          </w:p>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u w:val="single"/>
                <w:vertAlign w:val="baseline"/>
                <w:lang w:val="en-US" w:eastAsia="zh-CN"/>
              </w:rPr>
            </w:pPr>
            <w:r>
              <w:rPr>
                <w:rFonts w:hint="default" w:ascii="Times New Roman" w:hAnsi="Times New Roman" w:eastAsiaTheme="minorEastAsia"/>
                <w:u w:val="single"/>
                <w:vertAlign w:val="baseline"/>
                <w:lang w:val="en-US" w:eastAsia="zh-CN"/>
              </w:rPr>
              <w:t>-factura fiscală;</w:t>
            </w:r>
          </w:p>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u w:val="single"/>
                <w:vertAlign w:val="baseline"/>
                <w:lang w:val="en-US" w:eastAsia="zh-CN"/>
              </w:rPr>
            </w:pPr>
            <w:r>
              <w:rPr>
                <w:rFonts w:hint="default" w:ascii="Times New Roman" w:hAnsi="Times New Roman" w:eastAsiaTheme="minorEastAsia"/>
                <w:u w:val="single"/>
                <w:vertAlign w:val="baseline"/>
                <w:lang w:val="en-US" w:eastAsia="zh-CN"/>
              </w:rPr>
              <w:t>-act de recepție a serviciilor prestate;</w:t>
            </w:r>
          </w:p>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u w:val="single"/>
                <w:vertAlign w:val="baseline"/>
                <w:lang w:val="en-US" w:eastAsia="zh-CN"/>
              </w:rPr>
            </w:pPr>
            <w:r>
              <w:rPr>
                <w:rFonts w:hint="default" w:ascii="Times New Roman" w:hAnsi="Times New Roman" w:eastAsiaTheme="minorEastAsia"/>
                <w:u w:val="single"/>
                <w:vertAlign w:val="baseline"/>
                <w:lang w:val="en-US" w:eastAsia="zh-CN"/>
              </w:rPr>
              <w:t>-alte documente, după caz.</w:t>
            </w:r>
          </w:p>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u w:val="none"/>
                <w:vertAlign w:val="baseline"/>
                <w:lang w:eastAsia="zh-CN"/>
              </w:rPr>
              <w:t xml:space="preserve">2. </w:t>
            </w:r>
            <w:r>
              <w:rPr>
                <w:rFonts w:hint="default" w:ascii="Times New Roman" w:hAnsi="Times New Roman" w:eastAsiaTheme="minorEastAsia"/>
                <w:u w:val="single"/>
                <w:vertAlign w:val="baseline"/>
                <w:lang w:val="en-US" w:eastAsia="zh-CN"/>
              </w:rPr>
              <w:t>Prestatorul se obligă, pe parcursul exercitării supravegherii de autor, să efectueze modificări la documentația de proiect, în cazul în care apare necesitatea. La finalizarea integrală a serviciilor, operatorul economic va notifica și va remite entității contractante documentația de proiect modificată.</w:t>
            </w:r>
          </w:p>
        </w:tc>
        <w:tc>
          <w:tcPr>
            <w:tcW w:w="1200"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sz w:val="20"/>
                <w:szCs w:val="20"/>
                <w:u w:val="none"/>
              </w:rPr>
              <w:t>MD21ML022510000000004015</w:t>
            </w: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vMerge w:val="continue"/>
            <w:tcBorders/>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iCs/>
                <w:color w:val="000000" w:themeColor="text1"/>
                <w:sz w:val="20"/>
                <w:szCs w:val="20"/>
                <w:highlight w:val="none"/>
                <w14:textFill>
                  <w14:solidFill>
                    <w14:schemeClr w14:val="tx1"/>
                  </w14:solidFill>
                </w14:textFill>
              </w:rPr>
            </w:pPr>
          </w:p>
        </w:tc>
        <w:tc>
          <w:tcPr>
            <w:tcW w:w="2196" w:type="dxa"/>
            <w:vAlign w:val="top"/>
          </w:tcPr>
          <w:p>
            <w:pPr>
              <w:widowControl w:val="0"/>
              <w:spacing w:after="0" w:line="23" w:lineRule="atLeast"/>
              <w:jc w:val="both"/>
              <w:rPr>
                <w:rFonts w:hint="default" w:ascii="Times New Roman" w:hAnsi="Times New Roman" w:eastAsia="SimSun"/>
                <w:i w:val="0"/>
                <w:iCs w:val="0"/>
                <w:color w:val="000000"/>
                <w:kern w:val="0"/>
                <w:sz w:val="20"/>
                <w:szCs w:val="20"/>
                <w:u w:val="none"/>
                <w:lang w:eastAsia="zh-CN"/>
              </w:rPr>
            </w:pPr>
            <w:r>
              <w:rPr>
                <w:rFonts w:hint="default" w:ascii="Times New Roman" w:hAnsi="Times New Roman" w:cs="Times New Roman"/>
              </w:rPr>
              <w:t>Verificarea documentației de proiect elaborate, conform documentelor normative naționale</w:t>
            </w:r>
          </w:p>
        </w:tc>
        <w:tc>
          <w:tcPr>
            <w:tcW w:w="120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p>
        </w:tc>
        <w:tc>
          <w:tcPr>
            <w:tcW w:w="975"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vMerge w:val="continue"/>
            <w:tcBorders/>
            <w:shd w:val="clear" w:color="auto" w:fill="auto"/>
            <w:vAlign w:val="center"/>
          </w:tcPr>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00"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sz w:val="20"/>
                <w:szCs w:val="20"/>
                <w:u w:val="none"/>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u w:val="none"/>
                <w:vertAlign w:val="baseline"/>
              </w:rPr>
            </w:pPr>
            <w:r>
              <w:rPr>
                <w:rFonts w:hint="default" w:ascii="Times New Roman" w:hAnsi="Times New Roman"/>
                <w:b/>
                <w:bCs/>
                <w:sz w:val="20"/>
                <w:szCs w:val="20"/>
                <w:highlight w:val="lightGray"/>
                <w:shd w:val="clear" w:color="FFFFFF" w:fill="D9D9D9"/>
                <w:vertAlign w:val="baseline"/>
              </w:rPr>
              <w:t>Lot 2. Supraveghere de autor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5"/>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iCs/>
                <w:color w:val="000000" w:themeColor="text1"/>
                <w:sz w:val="20"/>
                <w:szCs w:val="20"/>
                <w:highlight w:val="none"/>
                <w14:textFill>
                  <w14:solidFill>
                    <w14:schemeClr w14:val="tx1"/>
                  </w14:solidFill>
                </w14:textFill>
              </w:rPr>
            </w:pPr>
          </w:p>
        </w:tc>
        <w:tc>
          <w:tcPr>
            <w:tcW w:w="219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eastAsia="SimSun"/>
                <w:i w:val="0"/>
                <w:iCs w:val="0"/>
                <w:color w:val="000000"/>
                <w:kern w:val="0"/>
                <w:sz w:val="20"/>
                <w:szCs w:val="20"/>
                <w:u w:val="none"/>
                <w:lang w:eastAsia="zh-CN"/>
              </w:rPr>
            </w:pPr>
            <w:r>
              <w:rPr>
                <w:rFonts w:hint="default" w:ascii="Times New Roman" w:hAnsi="Times New Roman" w:eastAsia="SimSun"/>
                <w:i w:val="0"/>
                <w:iCs w:val="0"/>
                <w:color w:val="000000"/>
                <w:kern w:val="0"/>
                <w:sz w:val="20"/>
                <w:szCs w:val="20"/>
                <w:u w:val="none"/>
                <w:lang w:eastAsia="zh-CN"/>
              </w:rPr>
              <w:t>Monitorizarea aplicării prevederilor documentației de proiect în procesul de execuție a lucrărilor de construcții, în baza contractului de supraveghere de autor</w:t>
            </w:r>
          </w:p>
        </w:tc>
        <w:tc>
          <w:tcPr>
            <w:tcW w:w="120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p>
        </w:tc>
        <w:tc>
          <w:tcPr>
            <w:tcW w:w="975"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SimSun" w:cs="Times New Roman"/>
                <w:i w:val="0"/>
                <w:iCs w:val="0"/>
                <w:color w:val="000000"/>
                <w:kern w:val="0"/>
                <w:sz w:val="20"/>
                <w:szCs w:val="20"/>
                <w:u w:val="none"/>
                <w:lang w:eastAsia="zh-CN" w:bidi="ar"/>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shd w:val="clear" w:color="auto" w:fill="auto"/>
            <w:vAlign w:val="center"/>
          </w:tcPr>
          <w:p>
            <w:pPr>
              <w:keepNext w:val="0"/>
              <w:keepLines w:val="0"/>
              <w:pageBreakBefore w:val="0"/>
              <w:widowControl/>
              <w:numPr>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u w:val="none"/>
                <w:vertAlign w:val="baseline"/>
                <w:lang w:eastAsia="zh-CN"/>
              </w:rPr>
            </w:pPr>
          </w:p>
        </w:tc>
        <w:tc>
          <w:tcPr>
            <w:tcW w:w="1200"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sz w:val="20"/>
                <w:szCs w:val="20"/>
                <w:u w:val="none"/>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u w:val="none"/>
                <w:vertAlign w:val="baseline"/>
              </w:rPr>
            </w:pPr>
          </w:p>
        </w:tc>
        <w:tc>
          <w:tcPr>
            <w:tcW w:w="82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19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eastAsia="SimSun" w:cs="Times New Roman"/>
                <w:i w:val="0"/>
                <w:iCs w:val="0"/>
                <w:color w:val="000000"/>
                <w:kern w:val="0"/>
                <w:sz w:val="20"/>
                <w:szCs w:val="20"/>
                <w:u w:val="none"/>
                <w:lang w:val="en-US" w:eastAsia="zh-CN" w:bidi="ar"/>
              </w:rPr>
            </w:pPr>
            <w:r>
              <w:rPr>
                <w:rFonts w:hint="default" w:ascii="Times New Roman" w:hAnsi="Times New Roman" w:cs="Times New Roman"/>
                <w:b/>
                <w:bCs/>
                <w:u w:val="none"/>
                <w:vertAlign w:val="baseline"/>
              </w:rPr>
              <w:t>TOTAL</w:t>
            </w:r>
          </w:p>
        </w:tc>
        <w:tc>
          <w:tcPr>
            <w:tcW w:w="1200" w:type="dxa"/>
            <w:vAlign w:val="center"/>
          </w:tcPr>
          <w:p>
            <w:pPr>
              <w:widowControl w:val="0"/>
              <w:spacing w:after="0" w:line="23" w:lineRule="atLeast"/>
              <w:jc w:val="center"/>
              <w:rPr>
                <w:rFonts w:hint="default" w:ascii="Times New Roman" w:hAnsi="Times New Roman" w:cs="Times New Roman"/>
                <w:b w:val="0"/>
                <w:bCs/>
                <w:sz w:val="20"/>
                <w:szCs w:val="20"/>
                <w:lang w:val="ro-RO" w:eastAsia="ru-RU"/>
              </w:rPr>
            </w:pPr>
          </w:p>
        </w:tc>
        <w:tc>
          <w:tcPr>
            <w:tcW w:w="975" w:type="dxa"/>
            <w:vAlign w:val="center"/>
          </w:tcPr>
          <w:p>
            <w:pPr>
              <w:keepNext w:val="0"/>
              <w:keepLines w:val="0"/>
              <w:widowControl/>
              <w:suppressLineNumbers w:val="0"/>
              <w:jc w:val="center"/>
              <w:textAlignment w:val="bottom"/>
              <w:rPr>
                <w:rFonts w:hint="default" w:ascii="Times New Roman" w:hAnsi="Times New Roman" w:eastAsia="SimSun" w:cs="Times New Roman"/>
                <w:i w:val="0"/>
                <w:iCs w:val="0"/>
                <w:color w:val="000000"/>
                <w:kern w:val="0"/>
                <w:sz w:val="20"/>
                <w:szCs w:val="20"/>
                <w:u w:val="none"/>
                <w:lang w:val="en-US" w:eastAsia="zh-CN" w:bidi="ar"/>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7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12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74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91FDBDFF"/>
    <w:multiLevelType w:val="singleLevel"/>
    <w:tmpl w:val="91FDBDFF"/>
    <w:lvl w:ilvl="0" w:tentative="0">
      <w:start w:val="1"/>
      <w:numFmt w:val="decimal"/>
      <w:lvlText w:val="%1."/>
      <w:lvlJc w:val="left"/>
      <w:pPr>
        <w:tabs>
          <w:tab w:val="left" w:pos="425"/>
        </w:tabs>
        <w:ind w:left="425" w:leftChars="0" w:hanging="425" w:firstLineChars="0"/>
      </w:pPr>
      <w:rPr>
        <w:rFonts w:hint="default"/>
      </w:rPr>
    </w:lvl>
  </w:abstractNum>
  <w:abstractNum w:abstractNumId="2">
    <w:nsid w:val="EF833687"/>
    <w:multiLevelType w:val="singleLevel"/>
    <w:tmpl w:val="EF833687"/>
    <w:lvl w:ilvl="0" w:tentative="0">
      <w:start w:val="1"/>
      <w:numFmt w:val="decimal"/>
      <w:suff w:val="space"/>
      <w:lvlText w:val="%1."/>
      <w:lvlJc w:val="left"/>
    </w:lvl>
  </w:abstractNum>
  <w:abstractNum w:abstractNumId="3">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abstractNum w:abstractNumId="4">
    <w:nsid w:val="7A8847CB"/>
    <w:multiLevelType w:val="singleLevel"/>
    <w:tmpl w:val="7A8847CB"/>
    <w:lvl w:ilvl="0" w:tentative="0">
      <w:start w:val="1"/>
      <w:numFmt w:val="decimal"/>
      <w:lvlText w:val="%1."/>
      <w:lvlJc w:val="left"/>
      <w:pPr>
        <w:tabs>
          <w:tab w:val="left" w:pos="425"/>
        </w:tabs>
        <w:ind w:left="425" w:leftChars="0" w:hanging="425" w:firstLineChars="0"/>
      </w:pPr>
      <w:rPr>
        <w:rFont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2346795"/>
    <w:rsid w:val="02462A4F"/>
    <w:rsid w:val="03962305"/>
    <w:rsid w:val="050176F1"/>
    <w:rsid w:val="05687487"/>
    <w:rsid w:val="074D008A"/>
    <w:rsid w:val="07E0084F"/>
    <w:rsid w:val="09BB20A2"/>
    <w:rsid w:val="0A1F41F1"/>
    <w:rsid w:val="0C722C9C"/>
    <w:rsid w:val="0D7F51EF"/>
    <w:rsid w:val="0DAD0FE9"/>
    <w:rsid w:val="0DE66214"/>
    <w:rsid w:val="0FF11F36"/>
    <w:rsid w:val="10425480"/>
    <w:rsid w:val="124A57A9"/>
    <w:rsid w:val="140A5C07"/>
    <w:rsid w:val="14814EC1"/>
    <w:rsid w:val="14C31A74"/>
    <w:rsid w:val="15433EAE"/>
    <w:rsid w:val="15CF515F"/>
    <w:rsid w:val="16176152"/>
    <w:rsid w:val="17001CBE"/>
    <w:rsid w:val="170736D8"/>
    <w:rsid w:val="186F27B0"/>
    <w:rsid w:val="1A235F91"/>
    <w:rsid w:val="1A422977"/>
    <w:rsid w:val="1B0A44F5"/>
    <w:rsid w:val="1BF2555C"/>
    <w:rsid w:val="1C8708F3"/>
    <w:rsid w:val="1CAF2C3E"/>
    <w:rsid w:val="1D1F7306"/>
    <w:rsid w:val="1DB03E28"/>
    <w:rsid w:val="1E2A35E1"/>
    <w:rsid w:val="1ED12D01"/>
    <w:rsid w:val="1EEC7A8C"/>
    <w:rsid w:val="1F7C2CE0"/>
    <w:rsid w:val="20642787"/>
    <w:rsid w:val="224E40E6"/>
    <w:rsid w:val="22575BBF"/>
    <w:rsid w:val="233D0DFF"/>
    <w:rsid w:val="25917193"/>
    <w:rsid w:val="259D1413"/>
    <w:rsid w:val="2B8A559C"/>
    <w:rsid w:val="2C180A74"/>
    <w:rsid w:val="2E5470EE"/>
    <w:rsid w:val="2FAB6462"/>
    <w:rsid w:val="30936656"/>
    <w:rsid w:val="30976DA2"/>
    <w:rsid w:val="3098299F"/>
    <w:rsid w:val="319934B1"/>
    <w:rsid w:val="32117518"/>
    <w:rsid w:val="32A40826"/>
    <w:rsid w:val="34D058C0"/>
    <w:rsid w:val="358F4C83"/>
    <w:rsid w:val="35B4714A"/>
    <w:rsid w:val="36202A8B"/>
    <w:rsid w:val="37A30A96"/>
    <w:rsid w:val="38286CC9"/>
    <w:rsid w:val="38296019"/>
    <w:rsid w:val="38874FCD"/>
    <w:rsid w:val="38A21BCA"/>
    <w:rsid w:val="39E9692C"/>
    <w:rsid w:val="3BEE3386"/>
    <w:rsid w:val="3CEE333F"/>
    <w:rsid w:val="3D58508A"/>
    <w:rsid w:val="3D98229D"/>
    <w:rsid w:val="3DF53D49"/>
    <w:rsid w:val="3DFF4976"/>
    <w:rsid w:val="41130852"/>
    <w:rsid w:val="442B4CA6"/>
    <w:rsid w:val="446A7138"/>
    <w:rsid w:val="45484B09"/>
    <w:rsid w:val="45B756C2"/>
    <w:rsid w:val="47134419"/>
    <w:rsid w:val="493C0430"/>
    <w:rsid w:val="49991CBB"/>
    <w:rsid w:val="49A64064"/>
    <w:rsid w:val="4A3459A1"/>
    <w:rsid w:val="4B2B3590"/>
    <w:rsid w:val="4C6C31D0"/>
    <w:rsid w:val="4E1B06BB"/>
    <w:rsid w:val="51816D85"/>
    <w:rsid w:val="51FD0610"/>
    <w:rsid w:val="53380017"/>
    <w:rsid w:val="533D68E5"/>
    <w:rsid w:val="540839FD"/>
    <w:rsid w:val="54863A69"/>
    <w:rsid w:val="56E078B0"/>
    <w:rsid w:val="577F10CA"/>
    <w:rsid w:val="578F06BB"/>
    <w:rsid w:val="579F77F4"/>
    <w:rsid w:val="57B439EF"/>
    <w:rsid w:val="58D6288E"/>
    <w:rsid w:val="594F3B0C"/>
    <w:rsid w:val="59E570A0"/>
    <w:rsid w:val="5AC72C37"/>
    <w:rsid w:val="5CF43F2D"/>
    <w:rsid w:val="5DA51471"/>
    <w:rsid w:val="5E940365"/>
    <w:rsid w:val="610A2A1F"/>
    <w:rsid w:val="61D80EC5"/>
    <w:rsid w:val="63892EC6"/>
    <w:rsid w:val="63A250EB"/>
    <w:rsid w:val="64045BB5"/>
    <w:rsid w:val="66BF2FF9"/>
    <w:rsid w:val="681B32D5"/>
    <w:rsid w:val="69AC0C58"/>
    <w:rsid w:val="6AF75CE4"/>
    <w:rsid w:val="6B52785D"/>
    <w:rsid w:val="6DE34AE4"/>
    <w:rsid w:val="6E3C219F"/>
    <w:rsid w:val="6E4152D7"/>
    <w:rsid w:val="71F22B08"/>
    <w:rsid w:val="72E36382"/>
    <w:rsid w:val="733D60BC"/>
    <w:rsid w:val="7477213F"/>
    <w:rsid w:val="74BD341A"/>
    <w:rsid w:val="76FF686B"/>
    <w:rsid w:val="7AE377C7"/>
    <w:rsid w:val="7B0B2BDE"/>
    <w:rsid w:val="7BE6624C"/>
    <w:rsid w:val="7BF628C7"/>
    <w:rsid w:val="7C4F1F14"/>
    <w:rsid w:val="7E73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A_Bulat</cp:lastModifiedBy>
  <dcterms:modified xsi:type="dcterms:W3CDTF">2026-05-12T11:46:55Z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8632AD39FE9449BD8F94C96F62E4A7D3</vt:lpwstr>
  </property>
</Properties>
</file>