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58B795">
      <w:pPr>
        <w:jc w:val="center"/>
        <w:rPr>
          <w:b/>
          <w:sz w:val="22"/>
          <w:szCs w:val="22"/>
          <w:lang w:val="en-US"/>
        </w:rPr>
      </w:pPr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8"/>
        <w:gridCol w:w="2053"/>
        <w:gridCol w:w="1073"/>
        <w:gridCol w:w="1127"/>
        <w:gridCol w:w="3415"/>
        <w:gridCol w:w="527"/>
        <w:gridCol w:w="3781"/>
        <w:gridCol w:w="1219"/>
        <w:gridCol w:w="1479"/>
      </w:tblGrid>
      <w:tr w14:paraId="28B7A1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C6E778C">
            <w:pPr>
              <w:jc w:val="both"/>
              <w:rPr>
                <w:sz w:val="22"/>
                <w:szCs w:val="22"/>
                <w:lang w:val="it-IT"/>
              </w:rPr>
            </w:pPr>
            <w:bookmarkStart w:id="0" w:name="_Toc449539095"/>
            <w:bookmarkStart w:id="1" w:name="_Toc356920194"/>
            <w:bookmarkStart w:id="2" w:name="_Toc392180206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789D3B8C">
            <w:pPr>
              <w:pStyle w:val="2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  <w:lang/>
              </w:rPr>
              <w:t>n</w:t>
            </w:r>
            <w:bookmarkStart w:id="4" w:name="_GoBack"/>
            <w:bookmarkEnd w:id="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ice </w:t>
            </w:r>
            <w:bookmarkEnd w:id="0"/>
            <w:bookmarkEnd w:id="1"/>
            <w:bookmarkEnd w:id="2"/>
            <w:bookmarkEnd w:id="3"/>
          </w:p>
          <w:p w14:paraId="53D16147">
            <w:pPr>
              <w:rPr>
                <w:lang w:val="en-US"/>
              </w:rPr>
            </w:pPr>
          </w:p>
        </w:tc>
      </w:tr>
      <w:tr w14:paraId="288E7A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9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553E4149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9DE69B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  <w:p w14:paraId="6F0911F7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 w14:paraId="00069AFD">
            <w:pPr>
              <w:jc w:val="center"/>
              <w:rPr>
                <w:sz w:val="22"/>
                <w:szCs w:val="22"/>
              </w:rPr>
            </w:pPr>
          </w:p>
        </w:tc>
      </w:tr>
      <w:tr w14:paraId="6914CD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BF08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1A741E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EAC127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rtl w:val="0"/>
              </w:rPr>
              <w:t>Construcție modulară din PVC cu instalare</w:t>
            </w:r>
          </w:p>
          <w:p w14:paraId="0CFFDE28">
            <w:pPr>
              <w:rPr>
                <w:rFonts w:hint="default"/>
                <w:sz w:val="22"/>
                <w:szCs w:val="22"/>
                <w:lang w:val="ro-RO"/>
              </w:rPr>
            </w:pPr>
          </w:p>
        </w:tc>
      </w:tr>
      <w:tr w14:paraId="6A2CD9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5" w:type="pct"/>
            <w:gridSpan w:val="5"/>
            <w:shd w:val="clear" w:color="auto" w:fill="auto"/>
          </w:tcPr>
          <w:p w14:paraId="0E5672AB">
            <w:pPr>
              <w:rPr>
                <w:sz w:val="22"/>
                <w:szCs w:val="22"/>
              </w:rPr>
            </w:pPr>
          </w:p>
        </w:tc>
        <w:tc>
          <w:tcPr>
            <w:tcW w:w="2074" w:type="pct"/>
            <w:gridSpan w:val="4"/>
            <w:shd w:val="clear" w:color="auto" w:fill="auto"/>
          </w:tcPr>
          <w:p w14:paraId="1FF37D6E">
            <w:pPr>
              <w:rPr>
                <w:sz w:val="22"/>
                <w:szCs w:val="22"/>
              </w:rPr>
            </w:pPr>
          </w:p>
        </w:tc>
      </w:tr>
      <w:tr w14:paraId="10988C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1043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8A200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74389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A60F7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6DF2F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53E9A7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0A3057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783F8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555E118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F0247E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1A920D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83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90FF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AE76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7C59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0CB9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0731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B271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698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3BC9CE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74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302D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rtl w:val="0"/>
              </w:rPr>
              <w:t>Construcție modulară din PVC</w:t>
            </w:r>
            <w:r>
              <w:rPr>
                <w:rFonts w:hint="default" w:cs="Times New Roman"/>
                <w:color w:val="000000"/>
                <w:sz w:val="22"/>
                <w:szCs w:val="22"/>
                <w:rtl w:val="0"/>
              </w:rPr>
              <w:t xml:space="preserve"> cu instalare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8DBF4">
            <w:pPr>
              <w:rPr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260199">
            <w:pPr>
              <w:rPr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9ECFC">
            <w:pPr>
              <w:rPr>
                <w:sz w:val="22"/>
                <w:szCs w:val="22"/>
              </w:rPr>
            </w:pP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CF637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Dimensiuni exterioare: 3000x6000x3000mm</w:t>
            </w:r>
          </w:p>
          <w:p w14:paraId="328B98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eastAsia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rtl w:val="0"/>
              </w:rPr>
              <w:t>Camera dispecer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rtl w:val="0"/>
              </w:rPr>
              <w:t>: 2000x3000mm</w:t>
            </w:r>
          </w:p>
          <w:p w14:paraId="2ACBB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Material: Panouri sandwich cu spumă poliuretanică exterior- 60 mm (culoarea antracit RAL 7016)</w:t>
            </w:r>
          </w:p>
          <w:p w14:paraId="7445EF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rtl w:val="0"/>
              </w:rPr>
              <w:t>Podea compusă din:</w:t>
            </w:r>
          </w:p>
          <w:p w14:paraId="2FB431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Tablă zincată 0,5mm</w:t>
            </w:r>
          </w:p>
          <w:p w14:paraId="38FE3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Folie de protecție  100mkr</w:t>
            </w:r>
          </w:p>
          <w:p w14:paraId="37DDF2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Vată minerală 100mm</w:t>
            </w:r>
          </w:p>
          <w:p w14:paraId="5C33D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OSB-3 18mm gruntuit si vopsit pe ambele parti</w:t>
            </w:r>
          </w:p>
          <w:p w14:paraId="37429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 xml:space="preserve">Laminat </w:t>
            </w:r>
          </w:p>
          <w:p w14:paraId="274EE9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Structura metalică zincată profilat 3 mm, piese de colț 2-10mm</w:t>
            </w:r>
          </w:p>
          <w:p w14:paraId="2F4A5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Modulul dotat cu sistem de traverse pentru susținerea pardoselii, din carcasă metalică pe perimetru, cu grinzi din metal cu grrosime de 3.5mm, amplasate la o</w:t>
            </w:r>
            <w:r>
              <w:rPr>
                <w:rFonts w:hint="default" w:cs="Times New Roman"/>
                <w:sz w:val="22"/>
                <w:szCs w:val="22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distanță de maxim 400mm, cu rezistență maximă de pâna la 700kg</w:t>
            </w:r>
          </w:p>
          <w:p w14:paraId="70522B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rtl w:val="0"/>
              </w:rPr>
              <w:t>Acoperis compus din:</w:t>
            </w:r>
          </w:p>
          <w:p w14:paraId="29229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Panou Sandwich 80 mm</w:t>
            </w:r>
          </w:p>
          <w:p w14:paraId="21F4A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rtl w:val="0"/>
              </w:rPr>
              <w:t>Pereți compuși din:</w:t>
            </w:r>
          </w:p>
          <w:p w14:paraId="53D02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Panouri sendwich cu spumă poliuritanică 60mm (culoarea alba interior), îmbinați cu colțari sanitare pe perimetru pereților și podului</w:t>
            </w:r>
          </w:p>
          <w:p w14:paraId="24CF2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Masti decorativă 0,5mm (culoarea la solicitare)</w:t>
            </w:r>
          </w:p>
          <w:p w14:paraId="50073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Geam PVC cu contur metalic</w:t>
            </w:r>
            <w:r>
              <w:rPr>
                <w:rFonts w:hint="default" w:cs="Times New Roman"/>
                <w:sz w:val="22"/>
                <w:szCs w:val="22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(culoarea antracit RAL 7016) 2000x2000mm, - 2 buc deschidere glisanta</w:t>
            </w:r>
          </w:p>
          <w:p w14:paraId="7A73B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Geam PVC</w:t>
            </w:r>
            <w:r>
              <w:rPr>
                <w:rFonts w:hint="default" w:cs="Times New Roman"/>
                <w:sz w:val="22"/>
                <w:szCs w:val="22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camera dispecer 1000*800 (cu fereastra incadrata 400*400)</w:t>
            </w:r>
          </w:p>
          <w:p w14:paraId="2B100F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Ușă interior PVC 800x2050mm - 1 buc</w:t>
            </w:r>
          </w:p>
          <w:p w14:paraId="498764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Ușă exterior PVC 800x2050mm</w:t>
            </w:r>
            <w:r>
              <w:rPr>
                <w:rFonts w:hint="default" w:cs="Times New Roman"/>
                <w:sz w:val="22"/>
                <w:szCs w:val="22"/>
                <w:rtl w:val="0"/>
              </w:rPr>
              <w:t xml:space="preserve"> - 1 buc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 xml:space="preserve"> </w:t>
            </w:r>
          </w:p>
          <w:p w14:paraId="292C1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rtl w:val="0"/>
              </w:rPr>
              <w:t>Instalație electrică:</w:t>
            </w:r>
          </w:p>
          <w:p w14:paraId="7BBFA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Instalarea obligatorie</w:t>
            </w:r>
            <w:r>
              <w:rPr>
                <w:rFonts w:hint="default" w:cs="Times New Roman"/>
                <w:sz w:val="22"/>
                <w:szCs w:val="22"/>
                <w:rtl w:val="0"/>
              </w:rPr>
              <w:t xml:space="preserve"> a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 xml:space="preserve"> ladei (cutiei) de distribuire cu separarea pe grupe:</w:t>
            </w:r>
          </w:p>
          <w:p w14:paraId="73E06A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a) Prize duble încăperii nr.</w:t>
            </w:r>
            <w:r>
              <w:rPr>
                <w:rFonts w:hint="default" w:cs="Times New Roman"/>
                <w:sz w:val="22"/>
                <w:szCs w:val="22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1 - linia separate- 2 buc</w:t>
            </w:r>
          </w:p>
          <w:p w14:paraId="33B8D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b) Prize duble  încăperii nr.</w:t>
            </w:r>
            <w:r>
              <w:rPr>
                <w:rFonts w:hint="default" w:cs="Times New Roman"/>
                <w:sz w:val="22"/>
                <w:szCs w:val="22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2 - linia separate- 2 buc</w:t>
            </w:r>
          </w:p>
          <w:p w14:paraId="07FE1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c) Iluminare încăperii nr.</w:t>
            </w:r>
            <w:r>
              <w:rPr>
                <w:rFonts w:hint="default" w:cs="Times New Roman"/>
                <w:sz w:val="22"/>
                <w:szCs w:val="22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1 - linia separată</w:t>
            </w:r>
          </w:p>
          <w:p w14:paraId="1C5991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d) Iluminare încăperii nr.</w:t>
            </w:r>
            <w:r>
              <w:rPr>
                <w:rFonts w:hint="default" w:cs="Times New Roman"/>
                <w:sz w:val="22"/>
                <w:szCs w:val="22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2 - linia separată</w:t>
            </w:r>
          </w:p>
          <w:p w14:paraId="0E87F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e) Iluminare exterioară - linia separată.</w:t>
            </w:r>
          </w:p>
          <w:p w14:paraId="09ADCE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Instalarea obligatorie aparatelor de comutare cu apărare diferențială de 30mA (UZO)</w:t>
            </w:r>
          </w:p>
          <w:p w14:paraId="3DC5F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Cablul electric VVGnG 3×2.5 ascuns în pereți, montat în tub metalic gofrat D-16mm, cu apărate de comutare de max 16A cu clasa C pentru alimentarea prizelor (cu împamîntarea obligatorie);</w:t>
            </w:r>
          </w:p>
          <w:p w14:paraId="23F959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Cablul electric VVGnG 3×1,5 ascuns în pereți, montat în tub metalic gofrat D-16mm, cu apărate de comutare de max 10A cu clasa B pentru alimentarea corpurilor de iluminare pe baza LED.</w:t>
            </w:r>
          </w:p>
          <w:p w14:paraId="507BA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cs="Times New Roman"/>
                <w:b/>
                <w:bCs/>
                <w:sz w:val="22"/>
                <w:szCs w:val="22"/>
                <w:rtl w:val="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rtl w:val="0"/>
              </w:rPr>
              <w:t>Instalare obligatorie</w:t>
            </w:r>
            <w:r>
              <w:rPr>
                <w:rFonts w:hint="default" w:cs="Times New Roman"/>
                <w:b/>
                <w:bCs/>
                <w:sz w:val="22"/>
                <w:szCs w:val="22"/>
                <w:rtl w:val="0"/>
              </w:rPr>
              <w:t>:</w:t>
            </w:r>
          </w:p>
          <w:p w14:paraId="10EE6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  <w:rtl w:val="0"/>
              </w:rPr>
              <w:t>a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) mobilier (masa pentru pr</w:t>
            </w:r>
            <w:r>
              <w:rPr>
                <w:rFonts w:hint="default" w:cs="Times New Roman"/>
                <w:sz w:val="22"/>
                <w:szCs w:val="22"/>
                <w:rtl w:val="0"/>
              </w:rPr>
              <w:t>â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nz) 6 m.l.</w:t>
            </w:r>
          </w:p>
          <w:p w14:paraId="13C7D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</w:pPr>
            <w:r>
              <w:rPr>
                <w:rFonts w:hint="default" w:cs="Times New Roman"/>
                <w:sz w:val="22"/>
                <w:szCs w:val="22"/>
                <w:rtl w:val="0"/>
              </w:rPr>
              <w:t>b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)</w:t>
            </w:r>
            <w:r>
              <w:rPr>
                <w:rFonts w:hint="default" w:cs="Times New Roman"/>
                <w:sz w:val="22"/>
                <w:szCs w:val="22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ventilare cu recuperare – 1 buc</w:t>
            </w:r>
          </w:p>
          <w:p w14:paraId="56C661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  <w:rtl w:val="0"/>
              </w:rPr>
              <w:t>c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)</w:t>
            </w:r>
            <w:r>
              <w:rPr>
                <w:rFonts w:hint="default" w:cs="Times New Roman"/>
                <w:sz w:val="22"/>
                <w:szCs w:val="22"/>
                <w:rtl w:val="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Conditioner cu invert</w:t>
            </w:r>
            <w:r>
              <w:rPr>
                <w:rFonts w:hint="default" w:cs="Times New Roman"/>
                <w:sz w:val="22"/>
                <w:szCs w:val="22"/>
                <w:rtl w:val="0"/>
              </w:rPr>
              <w:t>e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 xml:space="preserve">r- 2 buc </w:t>
            </w:r>
          </w:p>
          <w:p w14:paraId="2367CF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rtl w:val="0"/>
              </w:rPr>
              <w:t xml:space="preserve">Camera dispecer </w:t>
            </w:r>
          </w:p>
          <w:p w14:paraId="0324E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rtl w:val="0"/>
              </w:rPr>
              <w:t>*incalzire suplimentar</w:t>
            </w:r>
            <w:r>
              <w:rPr>
                <w:rFonts w:cs="Times New Roman"/>
                <w:b/>
                <w:sz w:val="22"/>
                <w:szCs w:val="22"/>
                <w:rtl w:val="0"/>
              </w:rPr>
              <w:t>ă</w:t>
            </w: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rtl w:val="0"/>
              </w:rPr>
              <w:t xml:space="preserve"> din polisteren extrudat de 50 mm cu osb de 18 mm placat cu laminat</w:t>
            </w:r>
          </w:p>
          <w:p w14:paraId="6A7670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rtl w:val="0"/>
              </w:rPr>
              <w:t>Platforma de beton armat 8000x 3000</w:t>
            </w:r>
          </w:p>
          <w:p w14:paraId="60D876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rtl w:val="0"/>
              </w:rPr>
              <w:t xml:space="preserve">Copertina zona dispecer din constructie metalica </w:t>
            </w:r>
            <w:r>
              <w:rPr>
                <w:rFonts w:hint="default" w:cs="Times New Roman"/>
                <w:b/>
                <w:sz w:val="22"/>
                <w:szCs w:val="22"/>
                <w:rtl w:val="0"/>
              </w:rPr>
              <w:t>î</w:t>
            </w: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rtl w:val="0"/>
              </w:rPr>
              <w:t>nglobat</w:t>
            </w:r>
            <w:r>
              <w:rPr>
                <w:rFonts w:cs="Times New Roman"/>
                <w:b/>
                <w:sz w:val="22"/>
                <w:szCs w:val="22"/>
                <w:rtl w:val="0"/>
              </w:rPr>
              <w:t>ă</w:t>
            </w: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rtl w:val="0"/>
              </w:rPr>
              <w:t xml:space="preserve"> </w:t>
            </w:r>
            <w:r>
              <w:rPr>
                <w:rFonts w:hint="default" w:cs="Times New Roman"/>
                <w:b/>
                <w:sz w:val="22"/>
                <w:szCs w:val="22"/>
                <w:rtl w:val="0"/>
              </w:rPr>
              <w:t>î</w:t>
            </w: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rtl w:val="0"/>
              </w:rPr>
              <w:t>n beton 2000x3000</w:t>
            </w:r>
          </w:p>
          <w:p w14:paraId="0EB71B99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rtl w:val="0"/>
              </w:rPr>
              <w:t>Transport si montare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0114A2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9096AD">
            <w:pPr>
              <w:rPr>
                <w:sz w:val="22"/>
                <w:szCs w:val="22"/>
              </w:rPr>
            </w:pPr>
          </w:p>
        </w:tc>
      </w:tr>
    </w:tbl>
    <w:p w14:paraId="50C4D37E"/>
    <w:p w14:paraId="3C4ACDCA"/>
    <w:p w14:paraId="31D53FAB"/>
    <w:tbl>
      <w:tblPr>
        <w:tblStyle w:val="4"/>
        <w:tblpPr w:leftFromText="180" w:rightFromText="180" w:vertAnchor="page" w:horzAnchor="page" w:tblpX="1089" w:tblpY="1062"/>
        <w:tblOverlap w:val="never"/>
        <w:tblW w:w="1161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 w14:paraId="4812A7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A968579">
            <w:pPr>
              <w:tabs>
                <w:tab w:val="left" w:pos="6120"/>
              </w:tabs>
              <w:rPr>
                <w:sz w:val="20"/>
              </w:rPr>
            </w:pPr>
          </w:p>
          <w:p w14:paraId="1260323B">
            <w:pPr>
              <w:tabs>
                <w:tab w:val="left" w:pos="6120"/>
              </w:tabs>
              <w:rPr>
                <w:sz w:val="20"/>
              </w:rPr>
            </w:pPr>
          </w:p>
          <w:p w14:paraId="7D3B954D">
            <w:pPr>
              <w:tabs>
                <w:tab w:val="left" w:pos="6120"/>
              </w:tabs>
              <w:rPr>
                <w:sz w:val="20"/>
              </w:rPr>
            </w:pPr>
          </w:p>
          <w:p w14:paraId="22992AE8">
            <w:pPr>
              <w:tabs>
                <w:tab w:val="left" w:pos="6120"/>
              </w:tabs>
              <w:rPr>
                <w:sz w:val="20"/>
              </w:rPr>
            </w:pPr>
          </w:p>
          <w:p w14:paraId="2EB4B46C">
            <w:pPr>
              <w:tabs>
                <w:tab w:val="left" w:pos="6120"/>
              </w:tabs>
              <w:rPr>
                <w:sz w:val="20"/>
              </w:rPr>
            </w:pPr>
          </w:p>
          <w:p w14:paraId="3942662B">
            <w:pPr>
              <w:tabs>
                <w:tab w:val="left" w:pos="6120"/>
              </w:tabs>
              <w:rPr>
                <w:sz w:val="20"/>
              </w:rPr>
            </w:pPr>
          </w:p>
          <w:p w14:paraId="03798BDE">
            <w:pPr>
              <w:tabs>
                <w:tab w:val="left" w:pos="6120"/>
              </w:tabs>
              <w:rPr>
                <w:sz w:val="20"/>
              </w:rPr>
            </w:pPr>
          </w:p>
          <w:p w14:paraId="0273AA9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5D34981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8CABCC4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40A3B70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847902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010A2063"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 w14:paraId="59E1720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2493149"/>
    <w:p w14:paraId="5AF2AFB3"/>
    <w:p w14:paraId="1861B10C"/>
    <w:p w14:paraId="1DF20C0C"/>
    <w:p w14:paraId="4DF1809B"/>
    <w:p w14:paraId="6F9B894D"/>
    <w:p w14:paraId="37DEACB9"/>
    <w:p w14:paraId="3E998143"/>
    <w:p w14:paraId="765C99B9"/>
    <w:p w14:paraId="51E99CB5"/>
    <w:p w14:paraId="227191FE"/>
    <w:p w14:paraId="75E58494"/>
    <w:p w14:paraId="1699F3BA"/>
    <w:p w14:paraId="5EB0ADC5"/>
    <w:p w14:paraId="380F2F4D"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068E3D75"/>
    <w:rsid w:val="10861297"/>
    <w:rsid w:val="170A500B"/>
    <w:rsid w:val="1FA65A97"/>
    <w:rsid w:val="2DD67D64"/>
    <w:rsid w:val="2E140AB9"/>
    <w:rsid w:val="344572EC"/>
    <w:rsid w:val="402E2818"/>
    <w:rsid w:val="47EF10A6"/>
    <w:rsid w:val="4DF54D06"/>
    <w:rsid w:val="501D6352"/>
    <w:rsid w:val="53434D07"/>
    <w:rsid w:val="62D6048B"/>
    <w:rsid w:val="6FD974B4"/>
    <w:rsid w:val="724E76A4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table" w:customStyle="1" w:styleId="9">
    <w:name w:val="_Style 10"/>
    <w:basedOn w:val="10"/>
    <w:qFormat/>
    <w:uiPriority w:val="0"/>
    <w:pPr>
      <w:widowControl w:val="0"/>
      <w:spacing w:after="0" w:line="240" w:lineRule="auto"/>
      <w:jc w:val="both"/>
    </w:pPr>
    <w:rPr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Table Normal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Ludmila</cp:lastModifiedBy>
  <dcterms:modified xsi:type="dcterms:W3CDTF">2024-10-18T06:43:28Z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1E65E64F589644A3849B435185B99DC9</vt:lpwstr>
  </property>
</Properties>
</file>