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4"/>
        <w:tblpPr w:leftFromText="180" w:rightFromText="180" w:vertAnchor="page" w:horzAnchor="margin" w:tblpY="347"/>
        <w:tblW w:w="4914" w:type="pc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587"/>
        <w:gridCol w:w="1416"/>
        <w:gridCol w:w="1029"/>
        <w:gridCol w:w="1552"/>
        <w:gridCol w:w="46"/>
        <w:gridCol w:w="2797"/>
        <w:gridCol w:w="2063"/>
        <w:gridCol w:w="1224"/>
        <w:gridCol w:w="421"/>
        <w:gridCol w:w="1397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625" w:type="pct"/>
          <w:trHeight w:val="38" w:hRule="atLeast"/>
        </w:trPr>
        <w:tc>
          <w:tcPr>
            <w:tcW w:w="4374" w:type="pct"/>
            <w:gridSpan w:val="8"/>
            <w:vAlign w:val="center"/>
          </w:tcPr>
          <w:p>
            <w:pPr>
              <w:jc w:val="center"/>
              <w:rPr>
                <w:lang w:val="it-IT"/>
              </w:rPr>
            </w:pPr>
            <w:r>
              <w:rPr>
                <w:b/>
                <w:sz w:val="20"/>
                <w:szCs w:val="20"/>
                <w:lang w:val="en-US"/>
              </w:rPr>
              <w:br w:type="page"/>
            </w:r>
            <w:r>
              <w:rPr>
                <w:b/>
                <w:lang w:val="en-US"/>
              </w:rPr>
              <w:br w:type="page"/>
            </w:r>
            <w:r>
              <w:rPr>
                <w:b/>
                <w:lang w:val="en-US"/>
              </w:rPr>
              <w:br w:type="page"/>
            </w:r>
            <w:r>
              <w:rPr>
                <w:b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449539095"/>
            <w:bookmarkStart w:id="2" w:name="_Toc392180206"/>
            <w:r>
              <w:rPr>
                <w:b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r>
              <w:rPr>
                <w:lang w:val="it-IT"/>
              </w:rPr>
              <w:t>Anexa nr. 22</w:t>
            </w:r>
          </w:p>
          <w:p>
            <w:pPr>
              <w:jc w:val="center"/>
              <w:rPr>
                <w:lang w:val="it-IT"/>
              </w:rPr>
            </w:pPr>
            <w:r>
              <w:rPr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la Documentația standard nr._____</w:t>
            </w:r>
          </w:p>
          <w:p>
            <w:pPr>
              <w:jc w:val="center"/>
              <w:rPr>
                <w:lang w:val="it-IT"/>
              </w:rPr>
            </w:pPr>
            <w:r>
              <w:rPr>
                <w:lang w:val="it-IT"/>
              </w:rPr>
              <w:t xml:space="preserve">                                                                                                                                                                             din “____” ________ 20___</w:t>
            </w:r>
          </w:p>
          <w:p>
            <w:pPr>
              <w:pStyle w:val="2"/>
              <w:rPr>
                <w:sz w:val="24"/>
                <w:lang w:val="en-US"/>
              </w:rPr>
            </w:pPr>
            <w:bookmarkStart w:id="3" w:name="_Hlk77771394"/>
            <w:r>
              <w:t xml:space="preserve">Specificaţii tehnice </w:t>
            </w:r>
            <w:bookmarkEnd w:id="0"/>
            <w:bookmarkEnd w:id="1"/>
            <w:bookmarkEnd w:id="2"/>
            <w:bookmarkEnd w:id="3"/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625" w:type="pct"/>
          <w:trHeight w:val="8" w:hRule="atLeast"/>
        </w:trPr>
        <w:tc>
          <w:tcPr>
            <w:tcW w:w="4374" w:type="pct"/>
            <w:gridSpan w:val="8"/>
            <w:tcBorders>
              <w:bottom w:val="single" w:color="auto" w:sz="4" w:space="0"/>
            </w:tcBorders>
          </w:tcPr>
          <w:tbl>
            <w:tblPr>
              <w:tblStyle w:val="4"/>
              <w:tblW w:w="10500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</w:tblPr>
            <w:tblGrid>
              <w:gridCol w:w="10500"/>
            </w:tblGrid>
            <w:tr>
              <w:tblPrEx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</w:tblPrEx>
              <w:trPr>
                <w:jc w:val="center"/>
              </w:trPr>
              <w:tc>
                <w:tcPr>
                  <w:tcW w:w="1050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</w:tcPr>
                <w:p>
                  <w:pPr>
                    <w:jc w:val="center"/>
                    <w:rPr>
                      <w:lang w:val="en-US"/>
                    </w:rPr>
                  </w:pPr>
                  <w:r>
                    <w:rPr>
                      <w:i/>
                      <w:iCs/>
                      <w:lang w:val="en-US"/>
                    </w:rPr>
                    <w:t>[Acest tabel va fi completat de către ofertant în coloanele 2, 3, 4, 6, 7, iar de către autoritatea contractantă – în coloanele 1, 5,]</w:t>
                  </w:r>
                </w:p>
              </w:tc>
            </w:tr>
          </w:tbl>
          <w:p>
            <w:pPr>
              <w:jc w:val="center"/>
              <w:rPr>
                <w:lang w:val="en-US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" w:hRule="atLeast"/>
        </w:trPr>
        <w:tc>
          <w:tcPr>
            <w:tcW w:w="5000" w:type="pct"/>
            <w:gridSpan w:val="1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lang w:val="en-US"/>
              </w:rPr>
            </w:pPr>
            <w:r>
              <w:rPr>
                <w:lang w:val="en-US"/>
              </w:rPr>
              <w:t>Numărul procedurii de achiziție______________din_________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" w:hRule="atLeast"/>
        </w:trPr>
        <w:tc>
          <w:tcPr>
            <w:tcW w:w="5000" w:type="pct"/>
            <w:gridSpan w:val="1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r>
              <w:t>Obiectul achiziției:____________________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625" w:type="pct"/>
          <w:trHeight w:val="31" w:hRule="atLeast"/>
        </w:trPr>
        <w:tc>
          <w:tcPr>
            <w:tcW w:w="2281" w:type="pct"/>
            <w:gridSpan w:val="5"/>
          </w:tcPr>
          <w:p>
            <w:pPr>
              <w:rPr>
                <w:lang w:val="en-US"/>
              </w:rPr>
            </w:pPr>
          </w:p>
        </w:tc>
        <w:tc>
          <w:tcPr>
            <w:tcW w:w="2093" w:type="pct"/>
            <w:gridSpan w:val="3"/>
          </w:tcPr>
          <w:p>
            <w:pPr>
              <w:rPr>
                <w:lang w:val="en-US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480" w:type="pct"/>
          <w:trHeight w:val="56" w:hRule="atLeast"/>
        </w:trPr>
        <w:tc>
          <w:tcPr>
            <w:tcW w:w="89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Denumirea bunurilor/serviciilor </w:t>
            </w:r>
          </w:p>
        </w:tc>
        <w:tc>
          <w:tcPr>
            <w:tcW w:w="48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Denumirea modelului bunului/serviciului</w:t>
            </w:r>
          </w:p>
        </w:tc>
        <w:tc>
          <w:tcPr>
            <w:tcW w:w="35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53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978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b/>
                <w:sz w:val="20"/>
                <w:szCs w:val="20"/>
                <w:lang w:val="en-US"/>
              </w:rPr>
            </w:pPr>
            <w:r>
              <w:rPr>
                <w:b/>
                <w:sz w:val="20"/>
                <w:szCs w:val="20"/>
                <w:lang w:val="en-US"/>
              </w:rPr>
              <w:t>Specificarea tehnică deplină solicitată de către autoritatea contractantă</w:t>
            </w:r>
          </w:p>
          <w:p>
            <w:pPr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70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b/>
                <w:sz w:val="20"/>
                <w:szCs w:val="20"/>
                <w:lang w:val="en-US"/>
              </w:rPr>
            </w:pPr>
            <w:r>
              <w:rPr>
                <w:b/>
                <w:sz w:val="20"/>
                <w:szCs w:val="20"/>
                <w:lang w:val="en-US"/>
              </w:rPr>
              <w:t>Specificarea tehnică deplină propusă de către ofertant</w:t>
            </w:r>
          </w:p>
          <w:p>
            <w:pPr>
              <w:jc w:val="center"/>
              <w:rPr>
                <w:b/>
                <w:sz w:val="20"/>
                <w:szCs w:val="20"/>
                <w:lang w:val="en-US"/>
              </w:rPr>
            </w:pPr>
          </w:p>
        </w:tc>
        <w:tc>
          <w:tcPr>
            <w:tcW w:w="565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Standarde de referinţă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480" w:type="pct"/>
          <w:trHeight w:val="14" w:hRule="atLeast"/>
        </w:trPr>
        <w:tc>
          <w:tcPr>
            <w:tcW w:w="89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</w:pPr>
            <w:r>
              <w:rPr>
                <w:lang w:val="ro-RO"/>
              </w:rPr>
              <w:t>1</w:t>
            </w:r>
          </w:p>
        </w:tc>
        <w:tc>
          <w:tcPr>
            <w:tcW w:w="48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</w:pPr>
            <w:r>
              <w:rPr>
                <w:lang w:val="ro-RO"/>
              </w:rPr>
              <w:t>2</w:t>
            </w:r>
          </w:p>
        </w:tc>
        <w:tc>
          <w:tcPr>
            <w:tcW w:w="35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</w:pPr>
            <w:r>
              <w:rPr>
                <w:lang w:val="ro-RO"/>
              </w:rPr>
              <w:t>3</w:t>
            </w:r>
          </w:p>
        </w:tc>
        <w:tc>
          <w:tcPr>
            <w:tcW w:w="53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</w:pPr>
            <w:r>
              <w:rPr>
                <w:lang w:val="ro-RO"/>
              </w:rPr>
              <w:t>4</w:t>
            </w:r>
          </w:p>
        </w:tc>
        <w:tc>
          <w:tcPr>
            <w:tcW w:w="978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</w:pPr>
            <w:r>
              <w:rPr>
                <w:lang w:val="ro-RO"/>
              </w:rPr>
              <w:t>5</w:t>
            </w:r>
          </w:p>
        </w:tc>
        <w:tc>
          <w:tcPr>
            <w:tcW w:w="70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</w:pPr>
            <w:r>
              <w:rPr>
                <w:lang w:val="ro-RO"/>
              </w:rPr>
              <w:t>6</w:t>
            </w:r>
          </w:p>
        </w:tc>
        <w:tc>
          <w:tcPr>
            <w:tcW w:w="565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</w:pPr>
            <w:r>
              <w:rPr>
                <w:lang w:val="ro-RO"/>
              </w:rPr>
              <w:t>7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480" w:type="pct"/>
          <w:trHeight w:val="22" w:hRule="atLeast"/>
        </w:trPr>
        <w:tc>
          <w:tcPr>
            <w:tcW w:w="89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b/>
              </w:rPr>
            </w:pPr>
            <w:r>
              <w:rPr>
                <w:b/>
              </w:rPr>
              <w:t>Bunuri/servicii</w:t>
            </w:r>
          </w:p>
        </w:tc>
        <w:tc>
          <w:tcPr>
            <w:tcW w:w="48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/>
        </w:tc>
        <w:tc>
          <w:tcPr>
            <w:tcW w:w="35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/>
        </w:tc>
        <w:tc>
          <w:tcPr>
            <w:tcW w:w="53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/>
        </w:tc>
        <w:tc>
          <w:tcPr>
            <w:tcW w:w="978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/>
        </w:tc>
        <w:tc>
          <w:tcPr>
            <w:tcW w:w="70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/>
        </w:tc>
        <w:tc>
          <w:tcPr>
            <w:tcW w:w="565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/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480" w:type="pct"/>
          <w:trHeight w:val="22" w:hRule="atLeast"/>
        </w:trPr>
        <w:tc>
          <w:tcPr>
            <w:tcW w:w="89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before="120"/>
              <w:jc w:val="center"/>
              <w:rPr>
                <w:lang w:val="zh-CN"/>
              </w:rPr>
            </w:pPr>
            <w:r>
              <w:rPr>
                <w:b/>
                <w:lang w:val="zh-CN"/>
              </w:rPr>
              <w:t xml:space="preserve">Lotul 1 Petrol </w:t>
            </w:r>
            <w:r>
              <w:rPr>
                <w:b/>
                <w:lang w:val="ro-RO"/>
              </w:rPr>
              <w:t>şi p</w:t>
            </w:r>
            <w:r>
              <w:rPr>
                <w:b/>
                <w:lang w:val="zh-CN"/>
              </w:rPr>
              <w:t xml:space="preserve">roduse distilate </w:t>
            </w:r>
          </w:p>
        </w:tc>
        <w:tc>
          <w:tcPr>
            <w:tcW w:w="48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lang w:val="en-US"/>
              </w:rPr>
            </w:pPr>
          </w:p>
        </w:tc>
        <w:tc>
          <w:tcPr>
            <w:tcW w:w="35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lang w:val="en-US"/>
              </w:rPr>
            </w:pPr>
          </w:p>
        </w:tc>
        <w:tc>
          <w:tcPr>
            <w:tcW w:w="53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lang w:val="en-US"/>
              </w:rPr>
            </w:pPr>
          </w:p>
        </w:tc>
        <w:tc>
          <w:tcPr>
            <w:tcW w:w="978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lang w:val="en-US"/>
              </w:rPr>
            </w:pPr>
          </w:p>
        </w:tc>
        <w:tc>
          <w:tcPr>
            <w:tcW w:w="70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lang w:val="en-US"/>
              </w:rPr>
            </w:pPr>
          </w:p>
        </w:tc>
        <w:tc>
          <w:tcPr>
            <w:tcW w:w="565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lang w:val="en-US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480" w:type="pct"/>
          <w:trHeight w:val="22" w:hRule="atLeast"/>
        </w:trPr>
        <w:tc>
          <w:tcPr>
            <w:tcW w:w="89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before="120"/>
              <w:jc w:val="center"/>
              <w:rPr>
                <w:rFonts w:hint="default" w:ascii="Times New Roman" w:hAnsi="Times New Roman" w:cs="Times New Roman"/>
                <w:i w:val="0"/>
                <w:iCs/>
                <w:lang w:val="en-US" w:eastAsia="ru-RU"/>
              </w:rPr>
            </w:pPr>
            <w:r>
              <w:rPr>
                <w:rFonts w:hint="default" w:ascii="Times New Roman" w:hAnsi="Times New Roman" w:cs="Times New Roman"/>
                <w:i w:val="0"/>
                <w:iCs/>
                <w:lang w:val="en-US" w:eastAsia="ru-RU"/>
              </w:rPr>
              <w:t>Euro Premium 95</w:t>
            </w:r>
          </w:p>
          <w:p>
            <w:pPr>
              <w:spacing w:before="120"/>
              <w:jc w:val="center"/>
              <w:rPr>
                <w:i/>
                <w:lang w:val="en-US"/>
              </w:rPr>
            </w:pPr>
            <w:r>
              <w:rPr>
                <w:rFonts w:hint="default" w:ascii="Times New Roman" w:hAnsi="Times New Roman" w:cs="Times New Roman"/>
                <w:i w:val="0"/>
                <w:iCs/>
                <w:lang w:val="en-US"/>
              </w:rPr>
              <w:t>(carduri valorice)</w:t>
            </w:r>
          </w:p>
        </w:tc>
        <w:tc>
          <w:tcPr>
            <w:tcW w:w="48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lang w:val="en-US"/>
              </w:rPr>
            </w:pPr>
          </w:p>
        </w:tc>
        <w:tc>
          <w:tcPr>
            <w:tcW w:w="35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lang w:val="en-US"/>
              </w:rPr>
            </w:pPr>
          </w:p>
        </w:tc>
        <w:tc>
          <w:tcPr>
            <w:tcW w:w="53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lang w:val="en-US"/>
              </w:rPr>
            </w:pPr>
          </w:p>
        </w:tc>
        <w:tc>
          <w:tcPr>
            <w:tcW w:w="978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before="120"/>
              <w:jc w:val="center"/>
              <w:rPr>
                <w:lang w:val="en-US"/>
              </w:rPr>
            </w:pPr>
            <w:r>
              <w:rPr>
                <w:rFonts w:hint="default"/>
                <w:lang w:val="ro-RO"/>
              </w:rPr>
              <w:t xml:space="preserve">Carburant de tip benzină auto cu cifra octanică minim 95; Carburantul îndeplinește toate cerințele standartului SM EN 228+A1:2017 </w:t>
            </w:r>
          </w:p>
        </w:tc>
        <w:tc>
          <w:tcPr>
            <w:tcW w:w="70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lang w:val="en-US"/>
              </w:rPr>
            </w:pPr>
          </w:p>
        </w:tc>
        <w:tc>
          <w:tcPr>
            <w:tcW w:w="565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color w:val="000000"/>
                <w:lang w:val="en-US"/>
              </w:rPr>
            </w:pPr>
          </w:p>
          <w:p>
            <w:pPr>
              <w:rPr>
                <w:lang w:val="en-US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480" w:type="pct"/>
          <w:trHeight w:val="22" w:hRule="atLeast"/>
        </w:trPr>
        <w:tc>
          <w:tcPr>
            <w:tcW w:w="89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ind w:firstLine="660" w:firstLineChars="300"/>
              <w:rPr>
                <w:rFonts w:hint="default"/>
                <w:b w:val="0"/>
                <w:bCs w:val="0"/>
                <w:sz w:val="22"/>
                <w:szCs w:val="22"/>
                <w:lang w:val="ro-RO" w:eastAsia="ru-RU"/>
              </w:rPr>
            </w:pPr>
            <w:r>
              <w:rPr>
                <w:rFonts w:hint="default"/>
                <w:b w:val="0"/>
                <w:bCs w:val="0"/>
                <w:sz w:val="22"/>
                <w:szCs w:val="22"/>
                <w:lang w:val="ro-RO" w:eastAsia="ru-RU"/>
              </w:rPr>
              <w:t>Euro Diesel</w:t>
            </w:r>
          </w:p>
          <w:p>
            <w:pPr>
              <w:spacing w:before="120"/>
              <w:jc w:val="center"/>
              <w:rPr>
                <w:lang w:val="en-US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(carduri valorice)</w:t>
            </w:r>
          </w:p>
        </w:tc>
        <w:tc>
          <w:tcPr>
            <w:tcW w:w="48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lang w:val="en-US"/>
              </w:rPr>
            </w:pPr>
          </w:p>
        </w:tc>
        <w:tc>
          <w:tcPr>
            <w:tcW w:w="35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lang w:val="en-US"/>
              </w:rPr>
            </w:pPr>
          </w:p>
        </w:tc>
        <w:tc>
          <w:tcPr>
            <w:tcW w:w="53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lang w:val="en-US"/>
              </w:rPr>
            </w:pPr>
          </w:p>
        </w:tc>
        <w:tc>
          <w:tcPr>
            <w:tcW w:w="978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before="120"/>
              <w:jc w:val="center"/>
              <w:rPr>
                <w:lang w:val="en-US"/>
              </w:rPr>
            </w:pPr>
            <w:r>
              <w:rPr>
                <w:rFonts w:hint="default"/>
                <w:lang w:val="ro-RO"/>
              </w:rPr>
              <w:t xml:space="preserve">Carburantul de calitate pentru mașini cu orice tip de motor cu aprindere prin compresie(diesel); Carburantul îndeplinește toate cerințele standartului SM EN 590+A1:2017 </w:t>
            </w:r>
          </w:p>
        </w:tc>
        <w:tc>
          <w:tcPr>
            <w:tcW w:w="70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lang w:val="en-US"/>
              </w:rPr>
            </w:pPr>
          </w:p>
        </w:tc>
        <w:tc>
          <w:tcPr>
            <w:tcW w:w="565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color w:val="000000"/>
                <w:lang w:val="en-US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480" w:type="pct"/>
          <w:trHeight w:val="22" w:hRule="atLeast"/>
        </w:trPr>
        <w:tc>
          <w:tcPr>
            <w:tcW w:w="89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8"/>
              <w:ind w:firstLine="660" w:firstLineChars="300"/>
              <w:rPr>
                <w:rFonts w:hint="default" w:ascii="Times New Roman" w:hAnsi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 xml:space="preserve">Gaz lichefiat </w:t>
            </w:r>
          </w:p>
          <w:p>
            <w:pPr>
              <w:spacing w:before="120"/>
              <w:jc w:val="center"/>
              <w:rPr>
                <w:i/>
                <w:lang w:val="zh-CN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 xml:space="preserve">(carduri valorice) </w:t>
            </w:r>
          </w:p>
        </w:tc>
        <w:tc>
          <w:tcPr>
            <w:tcW w:w="48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lang w:val="en-US"/>
              </w:rPr>
            </w:pPr>
          </w:p>
        </w:tc>
        <w:tc>
          <w:tcPr>
            <w:tcW w:w="35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lang w:val="en-US"/>
              </w:rPr>
            </w:pPr>
          </w:p>
        </w:tc>
        <w:tc>
          <w:tcPr>
            <w:tcW w:w="53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lang w:val="en-US"/>
              </w:rPr>
            </w:pPr>
          </w:p>
        </w:tc>
        <w:tc>
          <w:tcPr>
            <w:tcW w:w="978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8"/>
              <w:jc w:val="left"/>
              <w:rPr>
                <w:rFonts w:hint="default"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en-US"/>
              </w:rPr>
              <w:t xml:space="preserve">-Cifa octanică „motor” a eșantionului de GPL, min. 89,0; </w:t>
            </w:r>
          </w:p>
          <w:p>
            <w:pPr>
              <w:pStyle w:val="8"/>
              <w:jc w:val="left"/>
              <w:rPr>
                <w:rFonts w:hint="default"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en-US"/>
              </w:rPr>
              <w:t xml:space="preserve">- conținutul de diene (inclusiv 1,3-butadienă), max. 0,5; </w:t>
            </w:r>
          </w:p>
          <w:p>
            <w:pPr>
              <w:pStyle w:val="8"/>
              <w:jc w:val="left"/>
              <w:rPr>
                <w:rFonts w:hint="default"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en-US"/>
              </w:rPr>
              <w:t xml:space="preserve">- presiunea de vapori la 40°C, kPA, max. 1550. </w:t>
            </w:r>
          </w:p>
          <w:p>
            <w:pPr>
              <w:spacing w:before="120"/>
              <w:jc w:val="left"/>
              <w:rPr>
                <w:rFonts w:hint="default"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en-US"/>
              </w:rPr>
              <w:t>Carburantul îndeplinește toate cerințele standartului SM SR</w:t>
            </w: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 xml:space="preserve"> </w:t>
            </w:r>
            <w:r>
              <w:rPr>
                <w:rFonts w:hint="default" w:ascii="Times New Roman" w:hAnsi="Times New Roman" w:cs="Times New Roman"/>
                <w:sz w:val="22"/>
                <w:szCs w:val="22"/>
                <w:lang w:val="en-US"/>
              </w:rPr>
              <w:t>EN 589+</w:t>
            </w: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 xml:space="preserve"> </w:t>
            </w:r>
            <w:r>
              <w:rPr>
                <w:rFonts w:hint="default" w:ascii="Times New Roman" w:hAnsi="Times New Roman" w:cs="Times New Roman"/>
                <w:sz w:val="22"/>
                <w:szCs w:val="22"/>
                <w:lang w:val="en-US"/>
              </w:rPr>
              <w:t xml:space="preserve">A1:2016 </w:t>
            </w:r>
          </w:p>
        </w:tc>
        <w:tc>
          <w:tcPr>
            <w:tcW w:w="70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lang w:val="en-US"/>
              </w:rPr>
            </w:pPr>
            <w:bookmarkStart w:id="4" w:name="_GoBack"/>
            <w:bookmarkEnd w:id="4"/>
          </w:p>
        </w:tc>
        <w:tc>
          <w:tcPr>
            <w:tcW w:w="565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color w:val="000000"/>
                <w:lang w:val="en-US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480" w:type="pct"/>
          <w:trHeight w:val="22" w:hRule="atLeast"/>
        </w:trPr>
        <w:tc>
          <w:tcPr>
            <w:tcW w:w="89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r>
              <w:t>Total lot</w:t>
            </w:r>
          </w:p>
        </w:tc>
        <w:tc>
          <w:tcPr>
            <w:tcW w:w="48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</w:pPr>
          </w:p>
        </w:tc>
        <w:tc>
          <w:tcPr>
            <w:tcW w:w="35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</w:pPr>
          </w:p>
        </w:tc>
        <w:tc>
          <w:tcPr>
            <w:tcW w:w="53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lang w:val="en-US"/>
              </w:rPr>
            </w:pPr>
          </w:p>
        </w:tc>
        <w:tc>
          <w:tcPr>
            <w:tcW w:w="978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lang w:val="en-US"/>
              </w:rPr>
            </w:pPr>
          </w:p>
        </w:tc>
        <w:tc>
          <w:tcPr>
            <w:tcW w:w="70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/>
        </w:tc>
        <w:tc>
          <w:tcPr>
            <w:tcW w:w="565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lang w:val="en-US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625" w:type="pct"/>
          <w:trHeight w:val="22" w:hRule="atLeast"/>
        </w:trPr>
        <w:tc>
          <w:tcPr>
            <w:tcW w:w="4374" w:type="pct"/>
            <w:gridSpan w:val="8"/>
            <w:tcBorders>
              <w:top w:val="single" w:color="auto" w:sz="4" w:space="0"/>
            </w:tcBorders>
            <w:vAlign w:val="center"/>
          </w:tcPr>
          <w:p>
            <w:pPr>
              <w:tabs>
                <w:tab w:val="left" w:pos="6120"/>
              </w:tabs>
              <w:rPr>
                <w:lang w:val="en-US"/>
              </w:rPr>
            </w:pPr>
          </w:p>
          <w:p>
            <w:pPr>
              <w:rPr>
                <w:lang w:val="en-US"/>
              </w:rPr>
            </w:pPr>
            <w:r>
              <w:rPr>
                <w:lang w:val="en-US"/>
              </w:rPr>
              <w:t>Semnat:_______________ Numele, Prenumele:_____________________________ În calitate de: ________________</w:t>
            </w:r>
          </w:p>
          <w:p>
            <w:pPr>
              <w:rPr>
                <w:bCs/>
                <w:iCs/>
              </w:rPr>
            </w:pPr>
            <w:r>
              <w:rPr>
                <w:bCs/>
                <w:iCs/>
              </w:rPr>
              <w:t>Ofertantul: _______________________ Adresa: ______________________________</w:t>
            </w:r>
          </w:p>
        </w:tc>
      </w:tr>
    </w:tbl>
    <w:p/>
    <w:sectPr>
      <w:pgSz w:w="16838" w:h="11906" w:orient="landscape"/>
      <w:pgMar w:top="1701" w:right="1134" w:bottom="850" w:left="1134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CC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  <w:font w:name="Cambria">
    <w:panose1 w:val="02040503050406030204"/>
    <w:charset w:val="CC"/>
    <w:family w:val="roman"/>
    <w:pitch w:val="default"/>
    <w:sig w:usb0="E00006FF" w:usb1="420024FF" w:usb2="02000000" w:usb3="00000000" w:csb0="2000019F" w:csb1="00000000"/>
  </w:font>
  <w:font w:name="Yu Gothic UI Semibold">
    <w:panose1 w:val="020B0700000000000000"/>
    <w:charset w:val="80"/>
    <w:family w:val="auto"/>
    <w:pitch w:val="default"/>
    <w:sig w:usb0="E00002FF" w:usb1="2AC7FDFF" w:usb2="00000016" w:usb3="00000000" w:csb0="2002009F" w:csb1="00000000"/>
  </w:font>
  <w:font w:name="Georgia">
    <w:panose1 w:val="02040502050405020303"/>
    <w:charset w:val="00"/>
    <w:family w:val="auto"/>
    <w:pitch w:val="default"/>
    <w:sig w:usb0="00000287" w:usb1="00000000" w:usb2="00000000" w:usb3="00000000" w:csb0="2000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59" w:lineRule="auto"/>
      </w:pPr>
      <w:r>
        <w:separator/>
      </w:r>
    </w:p>
  </w:footnote>
  <w:footnote w:type="continuationSeparator" w:id="1">
    <w:p>
      <w:pPr>
        <w:spacing w:before="0" w:after="0" w:line="259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A0BE8"/>
    <w:rsid w:val="001A1152"/>
    <w:rsid w:val="001D7D04"/>
    <w:rsid w:val="002840DE"/>
    <w:rsid w:val="0036705F"/>
    <w:rsid w:val="00427711"/>
    <w:rsid w:val="00475486"/>
    <w:rsid w:val="004E417E"/>
    <w:rsid w:val="00534878"/>
    <w:rsid w:val="00594E06"/>
    <w:rsid w:val="005A0BE8"/>
    <w:rsid w:val="00601596"/>
    <w:rsid w:val="00625FD7"/>
    <w:rsid w:val="00634947"/>
    <w:rsid w:val="006B68EA"/>
    <w:rsid w:val="006F4CA1"/>
    <w:rsid w:val="0079769B"/>
    <w:rsid w:val="00815CF8"/>
    <w:rsid w:val="00942541"/>
    <w:rsid w:val="00B37DB1"/>
    <w:rsid w:val="00BD6030"/>
    <w:rsid w:val="00C55881"/>
    <w:rsid w:val="00E96314"/>
    <w:rsid w:val="00EB67AF"/>
    <w:rsid w:val="35300B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nhideWhenUsed="0" w:uiPriority="0" w:semiHidden="0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160" w:line="259" w:lineRule="auto"/>
    </w:pPr>
    <w:rPr>
      <w:rFonts w:asciiTheme="minorHAnsi" w:hAnsiTheme="minorHAnsi" w:eastAsiaTheme="minorHAnsi" w:cstheme="minorBidi"/>
      <w:sz w:val="22"/>
      <w:szCs w:val="22"/>
      <w:lang w:val="ru-RU" w:eastAsia="en-US" w:bidi="ar-SA"/>
    </w:rPr>
  </w:style>
  <w:style w:type="paragraph" w:styleId="2">
    <w:name w:val="heading 2"/>
    <w:basedOn w:val="1"/>
    <w:next w:val="1"/>
    <w:link w:val="5"/>
    <w:qFormat/>
    <w:uiPriority w:val="0"/>
    <w:pPr>
      <w:keepNext/>
      <w:keepLines/>
      <w:spacing w:before="200" w:after="0" w:line="240" w:lineRule="auto"/>
      <w:outlineLvl w:val="1"/>
    </w:pPr>
    <w:rPr>
      <w:rFonts w:ascii="Cambria" w:hAnsi="Cambria" w:eastAsia="Calibri" w:cs="Times New Roman"/>
      <w:b/>
      <w:bCs/>
      <w:color w:val="4F81BD"/>
      <w:sz w:val="26"/>
      <w:szCs w:val="26"/>
      <w:lang w:val="ro-RO"/>
    </w:rPr>
  </w:style>
  <w:style w:type="character" w:default="1" w:styleId="3">
    <w:name w:val="Default Paragraph Font"/>
    <w:semiHidden/>
    <w:unhideWhenUsed/>
    <w:uiPriority w:val="1"/>
  </w:style>
  <w:style w:type="table" w:default="1" w:styleId="4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5">
    <w:name w:val="Заголовок 2 Знак"/>
    <w:basedOn w:val="3"/>
    <w:link w:val="2"/>
    <w:uiPriority w:val="0"/>
    <w:rPr>
      <w:rFonts w:ascii="Cambria" w:hAnsi="Cambria" w:eastAsia="Calibri" w:cs="Times New Roman"/>
      <w:b/>
      <w:bCs/>
      <w:color w:val="4F81BD"/>
      <w:sz w:val="26"/>
      <w:szCs w:val="26"/>
      <w:lang w:val="ro-RO"/>
    </w:rPr>
  </w:style>
  <w:style w:type="paragraph" w:customStyle="1" w:styleId="6">
    <w:name w:val="BankNormal"/>
    <w:basedOn w:val="1"/>
    <w:uiPriority w:val="0"/>
    <w:pPr>
      <w:spacing w:after="240" w:line="240" w:lineRule="auto"/>
    </w:pPr>
    <w:rPr>
      <w:rFonts w:ascii="Times New Roman" w:hAnsi="Times New Roman" w:eastAsia="Calibri" w:cs="Times New Roman"/>
      <w:sz w:val="24"/>
      <w:szCs w:val="20"/>
      <w:lang w:val="en-US"/>
    </w:rPr>
  </w:style>
  <w:style w:type="table" w:customStyle="1" w:styleId="7">
    <w:name w:val="Grilă Tabel2"/>
    <w:basedOn w:val="4"/>
    <w:qFormat/>
    <w:uiPriority w:val="0"/>
    <w:pPr>
      <w:spacing w:after="0" w:line="240" w:lineRule="auto"/>
      <w:ind w:firstLine="709"/>
      <w:jc w:val="both"/>
    </w:pPr>
    <w:rPr>
      <w:rFonts w:ascii="Times New Roman" w:hAnsi="Times New Roman" w:eastAsia="Times New Roman" w:cs="Times New Roman"/>
      <w:kern w:val="0"/>
      <w:sz w:val="20"/>
      <w:szCs w:val="20"/>
      <w14:ligatures w14:val="none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customStyle="1" w:styleId="8">
    <w:name w:val="Default"/>
    <w:uiPriority w:val="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 w:eastAsiaTheme="minorHAnsi"/>
      <w:color w:val="000000"/>
      <w:sz w:val="24"/>
      <w:szCs w:val="24"/>
      <w:lang w:val="ru-RU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350</Words>
  <Characters>2000</Characters>
  <Lines>16</Lines>
  <Paragraphs>4</Paragraphs>
  <TotalTime>0</TotalTime>
  <ScaleCrop>false</ScaleCrop>
  <LinksUpToDate>false</LinksUpToDate>
  <CharactersWithSpaces>2346</CharactersWithSpaces>
  <Application>WPS Office_12.2.0.13359_F1E327BC-269C-435d-A152-05C5408002CA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2021-11-29T09:00:00Z</dcterms:created>
  <dc:creator>Victor Goroholschi</dc:creator>
  <cp:lastModifiedBy>Diana Coropceanu</cp:lastModifiedBy>
  <dcterms:modified xsi:type="dcterms:W3CDTF">2023-12-27T11:54:22Z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1033-12.2.0.13359</vt:lpwstr>
  </property>
  <property fmtid="{D5CDD505-2E9C-101B-9397-08002B2CF9AE}" pid="3" name="ICV">
    <vt:lpwstr>346499F9A4FF443E8E8A4F281B99BAC7_13</vt:lpwstr>
  </property>
</Properties>
</file>