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widowControl w:val="false"/>
        <w:pBdr/>
        <w:shd w:val="clear" w:color="auto" w:fill="ffffff"/>
        <w:spacing w:after="0" w:line="240" w:lineRule="auto"/>
        <w:ind w:right="284"/>
        <w:jc w:val="center"/>
        <w:rPr>
          <w:rFonts w:asciiTheme="majorHAnsi" w:hAnsiTheme="majorHAnsi" w:cstheme="majorHAnsi"/>
          <w:b/>
          <w:bCs/>
          <w:smallCaps/>
          <w:color w:val="000000"/>
          <w:sz w:val="20"/>
          <w:szCs w:val="20"/>
        </w:rPr>
      </w:pPr>
      <w:r>
        <w:rPr>
          <w:rFonts w:asciiTheme="majorHAnsi" w:hAnsiTheme="majorHAnsi" w:cstheme="majorHAnsi"/>
          <w:b/>
          <w:bCs/>
          <w:smallCaps/>
          <w:color w:val="000000"/>
          <w:sz w:val="20"/>
          <w:szCs w:val="20"/>
        </w:rPr>
      </w:r>
      <w:r>
        <w:rPr>
          <w:rFonts w:asciiTheme="majorHAnsi" w:hAnsiTheme="majorHAnsi" w:cstheme="majorHAnsi"/>
          <w:b/>
          <w:bCs/>
          <w:smallCaps/>
          <w:color w:val="000000"/>
          <w:sz w:val="20"/>
          <w:szCs w:val="20"/>
        </w:rPr>
      </w:r>
    </w:p>
    <w:p>
      <w:pPr>
        <w:widowControl w:val="false"/>
        <w:pBdr/>
        <w:shd w:val="clear" w:color="auto" w:fill="ffffff"/>
        <w:spacing w:after="0" w:line="240" w:lineRule="auto"/>
        <w:ind w:right="284"/>
        <w:jc w:val="center"/>
        <w:rPr>
          <w:rFonts w:asciiTheme="majorHAnsi" w:hAnsiTheme="majorHAnsi" w:cstheme="majorHAnsi"/>
          <w:b/>
          <w:bCs/>
          <w:smallCaps/>
          <w:color w:val="0070c0"/>
          <w:sz w:val="20"/>
          <w:szCs w:val="20"/>
        </w:rPr>
      </w:pPr>
      <w:r>
        <w:rPr>
          <w:rFonts w:asciiTheme="majorHAnsi" w:hAnsiTheme="majorHAnsi" w:cstheme="majorHAnsi"/>
          <w:b/>
          <w:bCs/>
          <w:smallCaps/>
          <w:color w:val="0070c0"/>
          <w:sz w:val="20"/>
          <w:szCs w:val="20"/>
        </w:rPr>
      </w:r>
      <w:r>
        <w:rPr>
          <w:rFonts w:asciiTheme="majorHAnsi" w:hAnsiTheme="majorHAnsi" w:cstheme="majorHAnsi"/>
          <w:b/>
          <w:bCs/>
          <w:smallCaps/>
          <w:color w:val="0070c0"/>
          <w:sz w:val="20"/>
          <w:szCs w:val="20"/>
        </w:rPr>
      </w:r>
    </w:p>
    <w:p>
      <w:pPr>
        <w:widowControl w:val="false"/>
        <w:pBdr/>
        <w:shd w:val="clear" w:color="auto" w:fill="ffffff"/>
        <w:spacing w:after="0" w:line="240" w:lineRule="auto"/>
        <w:ind w:right="284"/>
        <w:jc w:val="center"/>
        <w:rPr>
          <w:rFonts w:ascii="Times New Roman" w:hAnsi="Times New Roman" w:cs="Times New Roman"/>
          <w:b/>
          <w:bCs/>
          <w:smallCaps/>
          <w:color w:val="0070c0"/>
          <w:sz w:val="20"/>
          <w:szCs w:val="20"/>
        </w:rPr>
      </w:pPr>
      <w:r>
        <w:rPr>
          <w:rFonts w:ascii="Times New Roman" w:hAnsi="Times New Roman" w:cs="Times New Roman"/>
          <w:b/>
          <w:bCs/>
          <w:smallCaps/>
          <w:color w:val="0070c0"/>
          <w:sz w:val="20"/>
          <w:szCs w:val="20"/>
        </w:rPr>
      </w:r>
      <w:r>
        <w:rPr>
          <w:rFonts w:ascii="Times New Roman" w:hAnsi="Times New Roman" w:cs="Times New Roman"/>
          <w:b/>
          <w:bCs/>
          <w:smallCaps/>
          <w:color w:val="0070c0"/>
          <w:sz w:val="20"/>
          <w:szCs w:val="20"/>
        </w:rPr>
      </w:r>
    </w:p>
    <w:p>
      <w:pPr>
        <w:widowControl w:val="false"/>
        <w:pBdr/>
        <w:shd w:val="clear" w:color="auto" w:fill="ffffff"/>
        <w:spacing w:after="0" w:line="240" w:lineRule="auto"/>
        <w:ind w:right="284"/>
        <w:jc w:val="center"/>
        <w:rPr>
          <w:rFonts w:ascii="Times New Roman" w:hAnsi="Times New Roman" w:cs="Times New Roman"/>
          <w:b/>
          <w:bCs/>
          <w:smallCaps/>
          <w:color w:val="0070c0"/>
          <w:sz w:val="20"/>
          <w:szCs w:val="20"/>
        </w:rPr>
      </w:pPr>
      <w:r>
        <w:rPr>
          <w:rFonts w:ascii="Times New Roman" w:hAnsi="Times New Roman" w:cs="Times New Roman"/>
          <w:b/>
          <w:bCs/>
          <w:smallCaps/>
          <w:color w:val="0070c0"/>
          <w:sz w:val="20"/>
          <w:szCs w:val="20"/>
        </w:rPr>
        <w:t xml:space="preserve">CAIET DE SARCINI</w:t>
      </w:r>
      <w:r>
        <w:rPr>
          <w:rFonts w:ascii="Times New Roman" w:hAnsi="Times New Roman" w:cs="Times New Roman"/>
          <w:b/>
          <w:bCs/>
          <w:smallCaps/>
          <w:color w:val="0070c0"/>
          <w:sz w:val="20"/>
          <w:szCs w:val="20"/>
        </w:rPr>
      </w:r>
    </w:p>
    <w:p>
      <w:pPr>
        <w:widowControl w:val="false"/>
        <w:pBdr/>
        <w:shd w:val="clear" w:color="auto" w:fill="ffffff"/>
        <w:spacing w:after="0" w:line="240" w:lineRule="auto"/>
        <w:ind w:right="284"/>
        <w:jc w:val="center"/>
        <w:rPr>
          <w:rFonts w:ascii="Times New Roman" w:hAnsi="Times New Roman" w:cs="Times New Roman"/>
          <w:b/>
          <w:bCs/>
          <w:smallCaps/>
          <w:color w:val="0070c0"/>
          <w:sz w:val="20"/>
          <w:szCs w:val="20"/>
        </w:rPr>
      </w:pPr>
      <w:r>
        <w:rPr>
          <w:rFonts w:ascii="Times New Roman" w:hAnsi="Times New Roman" w:cs="Times New Roman"/>
          <w:b/>
          <w:bCs/>
          <w:smallCaps/>
          <w:color w:val="0070c0"/>
          <w:sz w:val="20"/>
          <w:szCs w:val="20"/>
        </w:rPr>
        <w:t xml:space="preserve">LICITAŢIE DESCHISĂ PENTRU ACHIZIŢIA LUCRĂRILOR DE REPARAȚIE ȘI AMENAJARE A SPAȚIULUI DESTINAT GRUPEI DE CREȘĂ</w:t>
      </w:r>
      <w:r>
        <w:rPr>
          <w:rFonts w:ascii="Times New Roman" w:hAnsi="Times New Roman" w:cs="Times New Roman"/>
          <w:b/>
          <w:bCs/>
          <w:smallCaps/>
          <w:color w:val="0070c0"/>
          <w:sz w:val="20"/>
          <w:szCs w:val="20"/>
        </w:rPr>
      </w:r>
    </w:p>
    <w:p>
      <w:pPr>
        <w:widowControl w:val="false"/>
        <w:pBdr/>
        <w:shd w:val="clear" w:color="auto" w:fill="ffffff"/>
        <w:spacing w:after="0" w:line="240" w:lineRule="auto"/>
        <w:ind w:right="284"/>
        <w:jc w:val="left"/>
        <w:rPr>
          <w:rFonts w:ascii="Times New Roman" w:hAnsi="Times New Roman" w:cs="Times New Roman"/>
          <w:b/>
          <w:bCs/>
          <w:smallCap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smallCaps/>
          <w:color w:val="000000"/>
          <w:sz w:val="20"/>
          <w:szCs w:val="20"/>
        </w:rPr>
      </w:r>
      <w:r>
        <w:rPr>
          <w:rFonts w:ascii="Times New Roman" w:hAnsi="Times New Roman" w:cs="Times New Roman"/>
          <w:b/>
          <w:bCs/>
          <w:smallCaps/>
          <w:color w:val="000000"/>
          <w:sz w:val="20"/>
          <w:szCs w:val="20"/>
        </w:rPr>
      </w:r>
    </w:p>
    <w:p>
      <w:pPr>
        <w:widowControl w:val="false"/>
        <w:pBdr/>
        <w:spacing w:after="0" w:line="240" w:lineRule="auto"/>
        <w:ind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</w:p>
    <w:p>
      <w:pPr>
        <w:pBdr/>
        <w:shd w:val="clear" w:color="auto" w:fill="ffffff"/>
        <w:spacing w:after="0" w:line="240" w:lineRule="auto"/>
        <w:ind w:right="-26"/>
        <w:jc w:val="both"/>
        <w:rPr>
          <w:rFonts w:ascii="Times New Roman" w:hAnsi="Times New Roman" w:cs="Times New Roman"/>
          <w:color w:val="212121"/>
          <w:sz w:val="20"/>
          <w:szCs w:val="20"/>
        </w:rPr>
      </w:pPr>
      <w:r>
        <w:rPr>
          <w:rFonts w:ascii="Times New Roman" w:hAnsi="Times New Roman" w:cs="Times New Roman"/>
          <w:color w:val="212121"/>
          <w:sz w:val="20"/>
          <w:szCs w:val="20"/>
        </w:rPr>
      </w:r>
      <w:r>
        <w:rPr>
          <w:rFonts w:ascii="Times New Roman" w:hAnsi="Times New Roman" w:cs="Times New Roman"/>
          <w:color w:val="212121"/>
          <w:sz w:val="20"/>
          <w:szCs w:val="20"/>
        </w:rPr>
      </w:r>
    </w:p>
    <w:p>
      <w:pPr>
        <w:widowControl w:val="false"/>
        <w:pBdr/>
        <w:shd w:val="clear" w:color="auto" w:fill="008556"/>
        <w:spacing w:after="0" w:line="240" w:lineRule="auto"/>
        <w:ind w:right="-26"/>
        <w:jc w:val="both"/>
        <w:rPr>
          <w:rFonts w:ascii="Times New Roman" w:hAnsi="Times New Roman" w:cs="Times New Roman"/>
          <w:b/>
          <w:bCs/>
          <w:color w:val="ffffff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ffffff"/>
          <w:sz w:val="20"/>
          <w:szCs w:val="20"/>
        </w:rPr>
        <w:t xml:space="preserve">CONTEXT</w:t>
      </w:r>
      <w:r>
        <w:rPr>
          <w:rFonts w:ascii="Times New Roman" w:hAnsi="Times New Roman" w:cs="Times New Roman"/>
          <w:b/>
          <w:bCs/>
          <w:color w:val="ffffff"/>
          <w:sz w:val="20"/>
          <w:szCs w:val="20"/>
        </w:rPr>
      </w:r>
    </w:p>
    <w:p>
      <w:pPr>
        <w:pBdr/>
        <w:shd w:val="clear" w:color="auto" w:fill="ffffff"/>
        <w:spacing w:after="0" w:line="240" w:lineRule="auto"/>
        <w:ind w:right="-26"/>
        <w:jc w:val="both"/>
        <w:rPr>
          <w:rFonts w:ascii="Times New Roman" w:hAnsi="Times New Roman" w:cs="Times New Roman"/>
          <w:color w:val="212121"/>
          <w:sz w:val="20"/>
          <w:szCs w:val="20"/>
        </w:rPr>
      </w:pPr>
      <w:r>
        <w:rPr>
          <w:rFonts w:ascii="Times New Roman" w:hAnsi="Times New Roman" w:cs="Times New Roman"/>
          <w:color w:val="212121"/>
          <w:sz w:val="20"/>
          <w:szCs w:val="20"/>
        </w:rPr>
        <w:t xml:space="preserve">În cadrul proiectului „CREȘtem viitorul ACASĂ” implementat de AO Servicii Sociale Durabile în baza Contr</w:t>
      </w:r>
      <w:r>
        <w:rPr>
          <w:rFonts w:ascii="Times New Roman" w:hAnsi="Times New Roman" w:cs="Times New Roman"/>
          <w:color w:val="212121"/>
          <w:sz w:val="20"/>
          <w:szCs w:val="20"/>
        </w:rPr>
        <w:t xml:space="preserve">actului de Grant nr.G15347 din 24.02.2026 finanțat de Uniunea Europeană și co-finanțat de Fundația Soros Moldova, este preconizată achiziția lucrărilor de reparație și amenajare a spațiului destinat grupei de creșă din cadrul IET Grădinița-creșă ”Izvoraș”.</w:t>
      </w:r>
      <w:r>
        <w:rPr>
          <w:rFonts w:ascii="Times New Roman" w:hAnsi="Times New Roman" w:cs="Times New Roman"/>
          <w:color w:val="212121"/>
          <w:sz w:val="20"/>
          <w:szCs w:val="20"/>
        </w:rPr>
      </w:r>
    </w:p>
    <w:p>
      <w:pPr>
        <w:pBdr/>
        <w:shd w:val="clear" w:color="auto" w:fill="ffffff"/>
        <w:spacing w:after="0" w:line="240" w:lineRule="auto"/>
        <w:ind w:right="-26"/>
        <w:jc w:val="both"/>
        <w:rPr>
          <w:rFonts w:ascii="Times New Roman" w:hAnsi="Times New Roman" w:cs="Times New Roman"/>
          <w:color w:val="212121"/>
          <w:sz w:val="20"/>
          <w:szCs w:val="20"/>
        </w:rPr>
      </w:pPr>
      <w:r>
        <w:rPr>
          <w:rFonts w:ascii="Times New Roman" w:hAnsi="Times New Roman" w:cs="Times New Roman"/>
          <w:color w:val="212121"/>
          <w:sz w:val="20"/>
          <w:szCs w:val="20"/>
        </w:rPr>
      </w:r>
      <w:r>
        <w:rPr>
          <w:rFonts w:ascii="Times New Roman" w:hAnsi="Times New Roman" w:cs="Times New Roman"/>
          <w:color w:val="212121"/>
          <w:sz w:val="20"/>
          <w:szCs w:val="20"/>
        </w:rPr>
      </w:r>
    </w:p>
    <w:p>
      <w:pPr>
        <w:pBdr/>
        <w:shd w:val="clear" w:color="auto" w:fill="ffffff"/>
        <w:spacing w:after="0" w:line="240" w:lineRule="auto"/>
        <w:ind w:right="-26"/>
        <w:jc w:val="both"/>
        <w:rPr>
          <w:rFonts w:ascii="Times New Roman" w:hAnsi="Times New Roman" w:cs="Times New Roman"/>
          <w:color w:val="212121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212121"/>
          <w:sz w:val="20"/>
          <w:szCs w:val="20"/>
        </w:rPr>
        <w:t xml:space="preserve">În acest sens, solicităm oferte pentru reparație și amenajare a spațiului destinat grupei de creșă din cadrul IET Grădinița-creșă ”Izvoraș”situat în satul Camencea, raionul Orhei: </w:t>
      </w:r>
      <w:r>
        <w:rPr>
          <w:rFonts w:ascii="Times New Roman" w:hAnsi="Times New Roman" w:cs="Times New Roman"/>
          <w:color w:val="212121"/>
          <w:sz w:val="20"/>
          <w:szCs w:val="20"/>
        </w:rPr>
      </w:r>
    </w:p>
    <w:p>
      <w:pPr>
        <w:widowControl w:val="false"/>
        <w:pBdr/>
        <w:shd w:val="clear" w:color="auto" w:fill="008556"/>
        <w:spacing w:after="240" w:before="240" w:line="240" w:lineRule="auto"/>
        <w:ind/>
        <w:jc w:val="both"/>
        <w:rPr>
          <w:rFonts w:ascii="Times New Roman" w:hAnsi="Times New Roman" w:cs="Times New Roman"/>
          <w:b/>
          <w:bCs/>
          <w:color w:val="ffffff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ffffff"/>
          <w:sz w:val="20"/>
          <w:szCs w:val="20"/>
        </w:rPr>
        <w:t xml:space="preserve">SPECIFICAȚIILE TEHNICE A LUCRĂRILOR DE REPARAȚII</w:t>
      </w:r>
      <w:r>
        <w:rPr>
          <w:rFonts w:ascii="Times New Roman" w:hAnsi="Times New Roman" w:cs="Times New Roman"/>
          <w:b/>
          <w:bCs/>
          <w:color w:val="ffffff"/>
          <w:sz w:val="20"/>
          <w:szCs w:val="20"/>
        </w:rPr>
      </w:r>
    </w:p>
    <w:p>
      <w:pPr>
        <w:widowControl w:val="false"/>
        <w:pBdr/>
        <w:spacing w:after="240" w:before="240" w:line="240" w:lineRule="auto"/>
        <w:ind/>
        <w:jc w:val="both"/>
        <w:rPr>
          <w:rFonts w:ascii="Times New Roman" w:hAnsi="Times New Roman" w:eastAsia="Arial" w:cs="Times New Roman"/>
          <w:b/>
          <w:bCs/>
          <w:sz w:val="20"/>
          <w:szCs w:val="20"/>
        </w:rPr>
      </w:pPr>
      <w:r>
        <w:rPr>
          <w:rFonts w:ascii="Times New Roman" w:hAnsi="Times New Roman" w:eastAsia="Arial" w:cs="Times New Roman"/>
          <w:b/>
          <w:bCs/>
          <w:sz w:val="20"/>
          <w:szCs w:val="20"/>
        </w:rPr>
        <w:t xml:space="preserve"> Termenul executare a lucrărilor nu va depăși 120 de zile calendaristice.</w:t>
      </w:r>
      <w:r>
        <w:rPr>
          <w:rFonts w:ascii="Times New Roman" w:hAnsi="Times New Roman" w:eastAsia="Arial" w:cs="Times New Roman"/>
          <w:b/>
          <w:bCs/>
          <w:sz w:val="20"/>
          <w:szCs w:val="20"/>
        </w:rPr>
      </w:r>
    </w:p>
    <w:p>
      <w:pPr>
        <w:widowControl w:val="false"/>
        <w:pBdr/>
        <w:shd w:val="clear" w:color="auto" w:fill="ffffff"/>
        <w:spacing w:after="240" w:before="240" w:line="240" w:lineRule="auto"/>
        <w:ind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Termenul de valabilitate a ofertei trebuie să fie minim de 30 zile din data încheierii concursului de tender.</w:t>
      </w:r>
      <w:r>
        <w:rPr>
          <w:rFonts w:ascii="Times New Roman" w:hAnsi="Times New Roman" w:cs="Times New Roman"/>
          <w:b/>
          <w:bCs/>
          <w:sz w:val="20"/>
          <w:szCs w:val="20"/>
        </w:rPr>
      </w:r>
    </w:p>
    <w:tbl>
      <w:tblPr>
        <w:tblInd w:w="250" w:type="dxa"/>
        <w:tblW w:w="9781" w:type="dxa"/>
        <w:tblBorders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>
        <w:trPr>
          <w:cantSplit/>
          <w:trHeight w:val="592"/>
        </w:trPr>
        <w:tc>
          <w:tcPr>
            <w:shd w:val="pct5" w:color="auto" w:fill="auto"/>
            <w:tcBorders>
              <w:top w:val="single" w:color="auto" w:sz="6" w:space="0"/>
              <w:left w:val="single" w:color="auto" w:sz="6" w:space="0"/>
              <w:bottom w:val="none" w:color="000000" w:sz="4" w:space="0"/>
              <w:right w:val="none" w:color="000000" w:sz="4" w:space="0"/>
            </w:tcBorders>
            <w:tcW w:w="709" w:type="dxa"/>
          </w:tcPr>
          <w:p>
            <w:pPr>
              <w:pBdr/>
              <w:spacing w:after="0" w:line="240" w:lineRule="auto"/>
              <w:ind w:right="-108"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val="en-US" w:eastAsia="ru-RU"/>
              </w:rPr>
              <w:t xml:space="preserve">   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  <w:p>
            <w:pPr>
              <w:pBdr/>
              <w:spacing w:after="0" w:line="240" w:lineRule="auto"/>
              <w:ind w:right="-108"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crt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shd w:val="pct5" w:color="auto" w:fill="auto"/>
            <w:tcBorders>
              <w:top w:val="single" w:color="auto" w:sz="6" w:space="0"/>
              <w:left w:val="single" w:color="auto" w:sz="6" w:space="0"/>
              <w:bottom w:val="none" w:color="000000" w:sz="4" w:space="0"/>
              <w:right w:val="none" w:color="000000" w:sz="4" w:space="0"/>
            </w:tcBorders>
            <w:tcW w:w="1559" w:type="dxa"/>
          </w:tcPr>
          <w:p>
            <w:pPr>
              <w:pBdr/>
              <w:spacing w:after="0" w:line="240" w:lineRule="auto"/>
              <w:ind w:right="-108" w:left="-120"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ro-RO" w:eastAsia="ru-RU"/>
              </w:rPr>
              <w:t xml:space="preserve">Simbol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lang w:val="ro-RO" w:eastAsia="ru-RU"/>
              </w:rPr>
              <w:t xml:space="preserve">norme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lang w:val="ro-RO" w:eastAsia="ru-RU"/>
              </w:rPr>
              <w:t xml:space="preserve">şi Cod 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lang w:val="ro-RO" w:eastAsia="ru-RU"/>
              </w:rPr>
              <w:t xml:space="preserve">resurse  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  <w:tc>
          <w:tcPr>
            <w:shd w:val="pct5" w:color="auto" w:fill="auto"/>
            <w:tcBorders>
              <w:top w:val="single" w:color="auto" w:sz="6" w:space="0"/>
              <w:left w:val="single" w:color="auto" w:sz="6" w:space="0"/>
              <w:bottom w:val="none" w:color="000000" w:sz="4" w:space="0"/>
              <w:right w:val="none" w:color="000000" w:sz="4" w:space="0"/>
            </w:tcBorders>
            <w:tcW w:w="4678" w:type="dxa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o-RO" w:eastAsia="ru-RU"/>
              </w:rPr>
            </w:pPr>
            <w:r>
              <w:rPr>
                <w:rFonts w:ascii="Times New Roman" w:hAnsi="Times New Roman" w:eastAsia="Times New Roman" w:cs="Times New Roman"/>
                <w:lang w:val="ro-RO" w:eastAsia="ru-RU"/>
              </w:rPr>
            </w:r>
            <w:r>
              <w:rPr>
                <w:rFonts w:ascii="Times New Roman" w:hAnsi="Times New Roman" w:eastAsia="Times New Roman" w:cs="Times New Roman"/>
                <w:lang w:val="ro-RO" w:eastAsia="ru-RU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ro-RO" w:eastAsia="ru-RU"/>
              </w:rPr>
              <w:t xml:space="preserve">Denumire lucrărilor    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  <w:tc>
          <w:tcPr>
            <w:shd w:val="pct5" w:color="auto" w:fill="auto"/>
            <w:tcBorders>
              <w:top w:val="single" w:color="auto" w:sz="6" w:space="0"/>
              <w:left w:val="single" w:color="auto" w:sz="6" w:space="0"/>
              <w:bottom w:val="none" w:color="000000" w:sz="4" w:space="0"/>
              <w:right w:val="none" w:color="000000" w:sz="4" w:space="0"/>
            </w:tcBorders>
            <w:tcW w:w="992" w:type="dxa"/>
          </w:tcPr>
          <w:p>
            <w:pPr>
              <w:pBdr/>
              <w:spacing w:after="0" w:line="240" w:lineRule="auto"/>
              <w:ind w:right="-108" w:left="-108"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o-RO" w:eastAsia="ru-RU"/>
              </w:rPr>
              <w:t xml:space="preserve">Unitatea de masura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shd w:val="pct5" w:color="auto" w:fill="auto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tcW w:w="1843" w:type="dxa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Volum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</w:tbl>
    <w:p>
      <w:pPr>
        <w:pBdr/>
        <w:spacing w:after="0" w:line="240" w:lineRule="auto"/>
        <w:ind/>
        <w:rPr>
          <w:rFonts w:ascii="Times New Roman" w:hAnsi="Times New Roman" w:eastAsia="Times New Roman" w:cs="Times New Roman"/>
          <w:sz w:val="2"/>
          <w:szCs w:val="2"/>
          <w:lang w:val="en-US" w:eastAsia="ru-RU"/>
        </w:rPr>
      </w:pPr>
      <w:r>
        <w:rPr>
          <w:rFonts w:ascii="Times New Roman" w:hAnsi="Times New Roman" w:eastAsia="Times New Roman" w:cs="Times New Roman"/>
          <w:sz w:val="2"/>
          <w:szCs w:val="2"/>
          <w:lang w:val="en-US" w:eastAsia="ru-RU"/>
        </w:rPr>
      </w:r>
      <w:r>
        <w:rPr>
          <w:rFonts w:ascii="Times New Roman" w:hAnsi="Times New Roman" w:eastAsia="Times New Roman" w:cs="Times New Roman"/>
          <w:sz w:val="2"/>
          <w:szCs w:val="2"/>
          <w:lang w:val="en-US" w:eastAsia="ru-RU"/>
        </w:rPr>
      </w:r>
    </w:p>
    <w:tbl>
      <w:tblPr>
        <w:tblInd w:w="250" w:type="dxa"/>
        <w:tblW w:w="9781" w:type="dxa"/>
        <w:tblBorders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>
        <w:trPr>
          <w:cantSplit/>
          <w:tblHeader/>
        </w:trPr>
        <w:tc>
          <w:tcPr>
            <w:shd w:val="pct5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one" w:color="000000" w:sz="4" w:space="0"/>
            </w:tcBorders>
            <w:tcW w:w="709" w:type="dxa"/>
          </w:tcPr>
          <w:p>
            <w:pPr>
              <w:pBdr/>
              <w:spacing w:after="0" w:line="240" w:lineRule="auto"/>
              <w:ind w:right="-108"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shd w:val="pct5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one" w:color="000000" w:sz="4" w:space="0"/>
            </w:tcBorders>
            <w:tcW w:w="1559" w:type="dxa"/>
          </w:tcPr>
          <w:p>
            <w:pPr>
              <w:pBdr/>
              <w:spacing w:after="0" w:line="240" w:lineRule="auto"/>
              <w:ind w:right="-108" w:left="-120"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shd w:val="pct5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one" w:color="000000" w:sz="4" w:space="0"/>
            </w:tcBorders>
            <w:tcW w:w="4678" w:type="dxa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shd w:val="pct5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one" w:color="000000" w:sz="4" w:space="0"/>
            </w:tcBorders>
            <w:tcW w:w="992" w:type="dxa"/>
          </w:tcPr>
          <w:p>
            <w:pPr>
              <w:pBdr/>
              <w:spacing w:after="0" w:line="240" w:lineRule="auto"/>
              <w:ind w:right="-108" w:left="-108"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shd w:val="pct5" w:color="auto" w:fill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843" w:type="dxa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single" w:color="auto" w:sz="6" w:space="0"/>
              <w:bottom w:val="none" w:color="000000" w:sz="4" w:space="0"/>
              <w:right w:val="none" w:color="000000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6" w:space="0"/>
              <w:bottom w:val="none" w:color="000000" w:sz="4" w:space="0"/>
              <w:right w:val="none" w:color="000000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auto" w:sz="6" w:space="0"/>
              <w:bottom w:val="none" w:color="000000" w:sz="4" w:space="0"/>
              <w:right w:val="single" w:color="auto" w:sz="6" w:space="0"/>
            </w:tcBorders>
            <w:tcW w:w="7513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val="ru-RU" w:eastAsia="ru-RU"/>
              </w:rPr>
              <w:t xml:space="preserve">1. </w:t>
            </w:r>
            <w:r>
              <w:rPr>
                <w:rFonts w:ascii="Times New Roman" w:hAnsi="Times New Roman" w:eastAsia="Times New Roman" w:cs="Times New Roman"/>
                <w:b/>
                <w:bCs/>
                <w:lang w:val="ru-RU" w:eastAsia="ru-RU"/>
              </w:rPr>
              <w:t xml:space="preserve">Reparatia</w:t>
            </w:r>
            <w:r>
              <w:rPr>
                <w:rFonts w:ascii="Times New Roman" w:hAnsi="Times New Roman" w:eastAsia="Times New Roman" w:cs="Times New Roman"/>
                <w:b/>
                <w:bCs/>
                <w:lang w:val="ru-RU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lang w:val="ru-RU" w:eastAsia="ru-RU"/>
              </w:rPr>
              <w:t xml:space="preserve">capitala</w:t>
            </w:r>
            <w:r>
              <w:rPr>
                <w:rFonts w:ascii="Times New Roman" w:hAnsi="Times New Roman" w:eastAsia="Times New Roman" w:cs="Times New Roman"/>
                <w:b/>
                <w:bCs/>
                <w:lang w:val="ru-RU" w:eastAsia="ru-RU"/>
              </w:rPr>
              <w:t xml:space="preserve"> a </w:t>
            </w:r>
            <w:r>
              <w:rPr>
                <w:rFonts w:ascii="Times New Roman" w:hAnsi="Times New Roman" w:eastAsia="Times New Roman" w:cs="Times New Roman"/>
                <w:b/>
                <w:bCs/>
                <w:lang w:val="ru-RU" w:eastAsia="ru-RU"/>
              </w:rPr>
              <w:t xml:space="preserve">grupei</w:t>
            </w:r>
            <w:r>
              <w:rPr>
                <w:rFonts w:ascii="Times New Roman" w:hAnsi="Times New Roman" w:eastAsia="Times New Roman" w:cs="Times New Roman"/>
                <w:b/>
                <w:bCs/>
                <w:lang w:val="ru-RU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lang w:val="ru-RU" w:eastAsia="ru-RU"/>
              </w:rPr>
              <w:t xml:space="preserve">cresa</w:t>
            </w:r>
            <w:r>
              <w:rPr>
                <w:rFonts w:ascii="Times New Roman" w:hAnsi="Times New Roman" w:eastAsia="Times New Roman" w:cs="Times New Roman"/>
                <w:b/>
                <w:bCs/>
                <w:lang w:val="en-US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RpCJ35A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Desfaceri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tencuieli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interioare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sau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exterioare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driscuite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pereti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sau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tavane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m2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52,000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RpCK41A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Desfacerea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pardoselilor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dusumele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scindura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dulapi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etc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m2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47,000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RpCK41C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Desfacerea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pardoselilor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covor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din PVC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suport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sau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fara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suport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textil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mocheta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etc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m2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23,000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RpCK42C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Desfacerea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pardoselilor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reci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placi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beton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marmura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piatra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gresie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placi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ceramice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etc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m2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24,000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RpCO56A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Demontari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timplarie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lemn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usi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ferestre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obloane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cutii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rulou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masti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etc.)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m2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6,400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CK25A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Usi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confectionate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profiluri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mase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plastice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inclusiv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armaturile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accesoriile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necesare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usilor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montate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zidarie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orice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natura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constructii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inaltimea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pina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la 35 m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inclusiv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intr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-un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canat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suprafata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tocului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pina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la 7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mp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inclusiv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m2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6,800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CK25A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Usi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confectionate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profiluri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mase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plastice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inclusiv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armaturile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accesoriile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necesare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usilor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montate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zidarie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orice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natura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constructii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inaltimea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pina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la 35 m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inclusiv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intr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-un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canat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suprafata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tocului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pina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la 7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mp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inclusiv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m2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3,800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IE05A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Demontarea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pozitie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corpurilor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radiatoare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vederea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vopsirii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sau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reparatiei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remontarea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lor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m2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5,400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RpCF10A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Demolarea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zidariilor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piatra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bruta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bolovani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riu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sau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moloane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prelucrate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zidite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cu mortar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ciment-var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mijloace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manuale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pina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la 1 mc la un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punct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lucru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m3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1,420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CD70A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Zidarie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ordinara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blocuri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calcar 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cotilet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) la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pereti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cu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prepararea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manuala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mortarului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M-50,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inaltimea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etajului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pina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la 4m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m3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0,620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CD51C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Zidarie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fortan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, format 400 x 200 x 120 la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pereti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despartitori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armati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grosimea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120,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inaltimea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pina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la 4 m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100m2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0,360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TsC54A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Strat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fundatie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nisip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m3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10,000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CG01A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Strat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suport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pentru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pardoseli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executat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din mortar din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ciment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M 100-T de 3 cm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grosime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cu fata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driscuita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fin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m2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47,000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RpCB18C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Demolarea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betoanelor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vechi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mijloace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manuale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beton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armat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 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fundatii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pereti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stilpi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etc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m3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0,400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RpED01A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Montarea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cablurilor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pentru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energie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electrica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instalate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liber 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santuri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sau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fundul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canalelor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avind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sectiunea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conductorilor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pina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la 16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mmp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m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120,000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RpEF13A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Montarea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corpurilor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iluminat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60 W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buc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12,000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RpEE01A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Montarea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interupatoarelor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unipolare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sau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bipolare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10-25 A,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constructie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normala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impermeabile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sau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etanse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carcasa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aminoplast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bachelita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metalica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sau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portelan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montate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ingropat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sau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aparent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dibluri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lemn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sau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plastic,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racordate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conductori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cupru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sau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aluminiu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buc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5,000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RpEE03A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Montarea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prizelor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bipolare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constructie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normala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bachelita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sau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aminoplast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simpla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dubla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constructie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impermeabila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etanse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etanse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metalica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sau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similare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montate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ingropat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tencuiala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sau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aparent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dibluri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lemn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sau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plastic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buc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10,000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19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CF05A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Tencuieli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interioare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3 cm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grosime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executate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impletitura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sirma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driscuite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cu mortar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ciment-var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marca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M 100-T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pentru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smir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mortar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ciment-var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marca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M 50-T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pentru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grund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mortar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var-ciment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M 10-T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pentru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stratul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vizibil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executate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manual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suprafete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drepte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inclusiv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montarea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armaturii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otel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impletiturii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aplicate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pereti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m2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52,000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IB15A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Sistem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incalzire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prin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pardoseala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incaperi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avind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suprafata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incalzita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pina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la 100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mp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inclusiv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m2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92,640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21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CG01A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Strat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suport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pentru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pardoseli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executat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din mortar din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ciment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M 100-T de 3 cm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grosime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cu fata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driscuita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fin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  <w:t xml:space="preserve">Коэффициент к трудозатратам=2,000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  <w:t xml:space="preserve">Коэффициент к материалам=2,000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  <w:t xml:space="preserve">Коэффициент к машинам=2,000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m2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92,600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22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CN54A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Aplicarea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manuala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grundului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cuart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"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Gleta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"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intr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-un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strat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pereti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tavane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interioare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m2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278,000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23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CF50B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Tencuieli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interioare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5 mm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grosime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executate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manual, cu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amestec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uscat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baza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ipsos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pereti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pereti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despartitori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preparare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manuala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mortarului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m2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213,000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24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CF52B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Tencuieli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interioare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5 mm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grosime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executate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manual, cu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amestec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uscat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baza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ipsos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tavan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preparare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manuala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mortarului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m2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92,000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25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CN53A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Grunduirea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suprafetelor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interioare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peretilor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tavanelor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m2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305,000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26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CN06A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Vopsitorii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interioare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vopsea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baza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copolimeri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vinilici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emulsie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apoasa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aplicate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in 2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straturi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glet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existent,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executate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manual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m2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305,000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27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CG36A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Pardoseli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placi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laminat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montale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uscat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pozarea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stratului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sintetic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suport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existent,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inclusiv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plintele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lemn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curatarea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incaperii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mai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mare de 16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mp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  <w:t xml:space="preserve">Materiale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  <w:t xml:space="preserve">marunte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  <w:t xml:space="preserve"> (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  <w:t xml:space="preserve">cuie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  <w:t xml:space="preserve">)=1,010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m2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74,640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28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IB06B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Radiatoare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otel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monobloc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avind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lungimea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1001 - 1500 mm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buc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6,000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29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CI06C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Placaj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fainata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smaltuita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nesmaltuita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mata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sau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lucioasa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placi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aceeasi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culoare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format cu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dimensiuni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la 15 x 15 cm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pina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la 30 x 30 cm,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executate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suprafete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plane la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pereti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stilpi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inclusiv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glafurile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muchiile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rosturi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alternante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incaperi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suprafata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mai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mare de 10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mp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fixate cu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adeziv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pentu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montarea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placajelor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m2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24,000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30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CG47C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Pardoseli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placi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gresie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ceramica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inclusiv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stratul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suport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adezivi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amestec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uscat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),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dimensiuni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placi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pina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la 300 x 300 mm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  <w:t xml:space="preserve">Materiale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  <w:t xml:space="preserve">marunte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  <w:t xml:space="preserve"> (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  <w:t xml:space="preserve">cirpe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  <w:t xml:space="preserve">)=1,01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m2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9,000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31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TsA03E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Sapatura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manuala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pamint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spatii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limitate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avind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sub 1,00 m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latime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executata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fara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sprijiniri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taluz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inclinat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fundatii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canale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etc.,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teren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coeziune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mijlocie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sau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foarte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coeziv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pina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la 1,5 m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adincime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teren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mijlociu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m3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10,000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32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SB12B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Teava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din material plastic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pentru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canalizare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imbinata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prin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sudura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cap la cap,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avind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diametrul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110 mm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Material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marunt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sirma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otel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hirt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. de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slefuit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etc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)=1,050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m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40,000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33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SB12A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Teava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din material plastic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pentru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canalizare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imbinata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prin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sudura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cap la cap,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avind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diametrul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50 mm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Material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marunt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sirma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otel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hirt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. de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slefuit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etc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)=1,050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m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9,000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34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SD07A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Robinet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trecere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ventil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mufa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sau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fara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descarcare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pentru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teava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otel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avind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diametrul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3/8" - 1/2"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Material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marunt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cinepa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fuior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,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grund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miniu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etc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)=1,020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buc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12,000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35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SC07A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Vas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pentru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closet,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complet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echipat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din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semiportelan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portelan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sanitar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etc.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inclusiv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pentru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handicapati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asezat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pardoseala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rezervorul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apa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montat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inaltime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sau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semiinaltime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avind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sifonul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interior tip S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Material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marunt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dibluri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lemn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ipsos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holtsuruburi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codez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dicloretan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, etc.)=1,050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buc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5,000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36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SC04C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Lavoar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semiportelan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portelan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sanitar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etc.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inclusiv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pentru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handicapati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avind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teava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scurgere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din material plastic,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montat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piedestal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Material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marunt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codez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diblu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lemn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ipsos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etc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)=1,020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buc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5,000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37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SC02A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Cada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pentru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dus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fonta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emailata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tabla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emailata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polimetacril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etc.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Material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marunt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codez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dicloretan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cirpe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sters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etc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=1,030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buc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1,000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single" w:color="auto" w:sz="6" w:space="0"/>
              <w:bottom w:val="none" w:color="000000" w:sz="4" w:space="0"/>
              <w:right w:val="none" w:color="000000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6" w:space="0"/>
              <w:bottom w:val="none" w:color="000000" w:sz="4" w:space="0"/>
              <w:right w:val="none" w:color="000000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auto" w:sz="6" w:space="0"/>
              <w:bottom w:val="none" w:color="000000" w:sz="4" w:space="0"/>
              <w:right w:val="single" w:color="auto" w:sz="6" w:space="0"/>
            </w:tcBorders>
            <w:tcW w:w="7513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val="ru-RU" w:eastAsia="ru-RU"/>
              </w:rPr>
              <w:t xml:space="preserve">2. </w:t>
            </w:r>
            <w:r>
              <w:rPr>
                <w:rFonts w:ascii="Times New Roman" w:hAnsi="Times New Roman" w:eastAsia="Times New Roman" w:cs="Times New Roman"/>
                <w:b/>
                <w:bCs/>
                <w:lang w:val="ru-RU" w:eastAsia="ru-RU"/>
              </w:rPr>
              <w:t xml:space="preserve">Pereul</w:t>
            </w:r>
            <w:r>
              <w:rPr>
                <w:rFonts w:ascii="Times New Roman" w:hAnsi="Times New Roman" w:eastAsia="Times New Roman" w:cs="Times New Roman"/>
                <w:b/>
                <w:bCs/>
                <w:lang w:val="en-US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38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TsC54B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Strat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fundatie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piatra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sparta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m3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4,800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39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CA03E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Beton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turnat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fundatii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socluri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ziduri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sprijin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pereti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cota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zero,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preparat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centrala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betoane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turnarea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mijloace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clasice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beton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armat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clasa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C 20/16 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Bc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20/B 250)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Material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marunt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dulapi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rasinoase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, cuie,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scoabe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)=1,015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m3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4,800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TsA03E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Sapatura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manuala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pamint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spatii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limitate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avind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sub 1,00 m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latime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executata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fara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sprijiniri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taluz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inclinat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fundatii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canale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etc.,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teren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coeziune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mijlocie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sau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foarte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coeziv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pina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la 1,5 m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adincime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teren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mijlociu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m3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4,800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41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DE11A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Borduri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mici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prefabricate din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beton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sectiunea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10x15 cm,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pnetu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incadrarea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spatiilor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verzi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trotuarelor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aleilor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etc.,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asezate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o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fundatie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beton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de 10x20 cm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m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28,000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42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DE17A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Pavaje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executate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placi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trotuare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beton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prefabricat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asezate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un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strat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amestec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uscat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ciment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nisip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proportie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1:3,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rostuit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amestec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uscat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ciment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nisip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grosime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strat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5 cm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m2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48,000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43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VC04B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Montarea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ventilatoarelor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monoaspirante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antiexplozive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antrenate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direct cu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cuplaj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avind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debitul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1.700-5.200 mc/h cu motor electric de 0,8- 1,5 kw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Material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marunt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garnituri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cirpe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, petrol,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etc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)=1,050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buc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3,000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44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CA03E2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Beton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turnat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fundatii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socluri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ziduri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sprijin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pereti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cota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zero,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preparat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betoniera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santier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turnarea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mijloace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clasice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beton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armat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clasa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C 20/16 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Bc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20/B 250)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Material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marunt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dulapi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rasinoase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, cuie,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scoabe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)=1,015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m3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1,500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45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CL17B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Confectii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metalice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diverse,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montate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aparent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balustrada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grile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chepenguri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opritori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zapada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gratare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kg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30,000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46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CB01A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Cofraje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din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scinduri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rasinoase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pentru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turnarea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betonului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monolitizare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intre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elementele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prefabricate 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plansee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grinzi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diafragme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)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inclusiv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sprijinirile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m2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2,000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47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559" w:type="dxa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CC03A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678" w:type="dxa"/>
            <w:vAlign w:val="center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Montare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plase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sudate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inaltimi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mai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mici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sau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egale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cu 35 m, la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pereti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si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diafragme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greutatea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plaselor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pina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la 3 kg/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mp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992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kg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843" w:type="dxa"/>
            <w:vAlign w:val="center"/>
          </w:tcPr>
          <w:p>
            <w:pPr>
              <w:pBdr/>
              <w:spacing w:after="0" w:line="240" w:lineRule="auto"/>
              <w:ind/>
              <w:jc w:val="center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 xml:space="preserve">42,000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</w:r>
          </w:p>
        </w:tc>
      </w:tr>
    </w:tbl>
    <w:p>
      <w:pPr>
        <w:pBdr/>
        <w:spacing w:after="0" w:line="240" w:lineRule="auto"/>
        <w:ind/>
        <w:rPr>
          <w:rFonts w:ascii="Times New Roman" w:hAnsi="Times New Roman" w:eastAsia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val="ru-RU"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val="ru-RU" w:eastAsia="ru-RU"/>
        </w:rPr>
      </w:r>
    </w:p>
    <w:p>
      <w:pPr>
        <w:widowControl w:val="false"/>
        <w:pBdr/>
        <w:shd w:val="clear" w:color="auto" w:fill="ffffff"/>
        <w:spacing w:after="240" w:before="240" w:line="240" w:lineRule="auto"/>
        <w:ind/>
        <w:jc w:val="both"/>
        <w:rPr>
          <w:rFonts w:asciiTheme="majorHAnsi" w:hAnsiTheme="majorHAnsi" w:cstheme="majorHAnsi"/>
          <w:b/>
          <w:bCs/>
          <w:sz w:val="20"/>
          <w:szCs w:val="20"/>
          <w:u w:val="single"/>
        </w:rPr>
      </w:pPr>
      <w:r>
        <w:rPr>
          <w:rFonts w:asciiTheme="majorHAnsi" w:hAnsiTheme="majorHAnsi" w:cstheme="majorHAnsi"/>
          <w:b/>
          <w:bCs/>
          <w:sz w:val="20"/>
          <w:szCs w:val="20"/>
          <w:u w:val="single"/>
        </w:rPr>
      </w:r>
      <w:r>
        <w:rPr>
          <w:rFonts w:asciiTheme="majorHAnsi" w:hAnsiTheme="majorHAnsi" w:cstheme="majorHAnsi"/>
          <w:b/>
          <w:bCs/>
          <w:sz w:val="20"/>
          <w:szCs w:val="20"/>
          <w:u w:val="single"/>
        </w:rPr>
      </w:r>
    </w:p>
    <w:sectPr>
      <w:headerReference w:type="default" r:id="rId8"/>
      <w:footerReference w:type="default" r:id="rId9"/>
      <w:footnotePr/>
      <w:endnotePr/>
      <w:type w:val="nextPage"/>
      <w:pgSz w:h="15840" w:orient="portrait" w:w="12240"/>
      <w:pgMar w:top="900" w:right="1041" w:bottom="1440" w:left="1134" w:header="491" w:footer="1145" w:gutter="0"/>
      <w:pgNumType w:start="1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Georgia">
    <w:panose1 w:val="020405020504050203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center" w:leader="none" w:pos="4680"/>
        <w:tab w:val="right" w:leader="none" w:pos="9360"/>
      </w:tabs>
      <w:spacing w:after="0" w:line="240" w:lineRule="auto"/>
      <w:ind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 xml:space="preserve">PAGE</w:instrText>
    </w:r>
    <w:r>
      <w:rPr>
        <w:color w:val="000000"/>
      </w:rPr>
      <w:fldChar w:fldCharType="separate"/>
    </w:r>
    <w:r>
      <w:rPr>
        <w:color w:val="000000"/>
      </w:rPr>
      <w:t xml:space="preserve">6</w:t>
    </w:r>
    <w:r>
      <w:rPr>
        <w:color w:val="000000"/>
      </w:rPr>
      <w:fldChar w:fldCharType="end"/>
    </w:r>
    <w:r>
      <w:rPr>
        <w:color w:val="000000"/>
      </w:rPr>
    </w:r>
  </w:p>
  <w:p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center" w:leader="none" w:pos="4680"/>
        <w:tab w:val="right" w:leader="none" w:pos="9360"/>
      </w:tabs>
      <w:spacing w:after="0" w:line="240" w:lineRule="auto"/>
      <w:ind/>
      <w:rPr>
        <w:color w:val="000000"/>
      </w:rPr>
    </w:pPr>
    <w:r>
      <w:rPr>
        <w:color w:val="000000"/>
      </w:rPr>
      <w:t xml:space="preserve">                                      </w:t>
    </w:r>
    <w:r>
      <w:rPr>
        <w:color w:val="000000"/>
        <w:lang w:val="ro-RO"/>
      </w:rPr>
      <mc:AlternateContent>
        <mc:Choice Requires="wpg">
          <w:drawing>
            <wp:inline xmlns:wp="http://schemas.openxmlformats.org/drawingml/2006/wordprocessingDrawing" distT="0" distB="0" distL="0" distR="0">
              <wp:extent cx="2859405" cy="713105"/>
              <wp:effectExtent l="0" t="0" r="0" b="0"/>
              <wp:docPr id="2" name="Рисунок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2859405" cy="71310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225.15pt;height:56.1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w:rPr>
        <w:color w:val="000000"/>
        <w:lang w:val="ro-RO"/>
      </w:rPr>
      <mc:AlternateContent>
        <mc:Choice Requires="wpg">
          <w:drawing>
            <wp:inline xmlns:wp="http://schemas.openxmlformats.org/drawingml/2006/wordprocessingDrawing" distT="0" distB="0" distL="0" distR="0">
              <wp:extent cx="1024255" cy="932815"/>
              <wp:effectExtent l="0" t="0" r="4445" b="635"/>
              <wp:docPr id="3" name="Рисунок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2"/>
                      <a:stretch/>
                    </pic:blipFill>
                    <pic:spPr bwMode="auto">
                      <a:xfrm>
                        <a:off x="0" y="0"/>
                        <a:ext cx="1024255" cy="93281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80.65pt;height:73.4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color w:val="00000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center" w:leader="none" w:pos="4680"/>
        <w:tab w:val="right" w:leader="none" w:pos="9360"/>
      </w:tabs>
      <w:spacing w:after="0" w:line="240" w:lineRule="auto"/>
      <w:ind/>
      <w:rPr>
        <w:color w:val="000000"/>
      </w:rPr>
    </w:pPr>
    <w:r>
      <w:rPr>
        <w:color w:val="000000"/>
        <w:lang w:val="ro-RO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389370" cy="457200"/>
              <wp:effectExtent l="0" t="0" r="0" b="0"/>
              <wp:docPr id="1" name="Рисунок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6389370" cy="4572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03.10pt;height:36.00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w:rPr>
        <w:color w:val="000000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Calibri"/>
        <w:sz w:val="22"/>
        <w:szCs w:val="22"/>
        <w:lang w:val="ro" w:eastAsia="ro-RO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77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77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77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77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77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77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77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77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77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77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77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5">
    <w:name w:val="Heading 7"/>
    <w:basedOn w:val="769"/>
    <w:next w:val="769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769"/>
    <w:next w:val="769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769"/>
    <w:next w:val="769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0">
    <w:name w:val="Heading 1 Char"/>
    <w:basedOn w:val="776"/>
    <w:link w:val="77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776"/>
    <w:link w:val="77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776"/>
    <w:link w:val="77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776"/>
    <w:link w:val="77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776"/>
    <w:link w:val="77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776"/>
    <w:link w:val="77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776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776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776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60">
    <w:name w:val="Title Char"/>
    <w:basedOn w:val="776"/>
    <w:link w:val="78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162">
    <w:name w:val="Subtitle Char"/>
    <w:basedOn w:val="776"/>
    <w:link w:val="78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769"/>
    <w:next w:val="769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776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5">
    <w:name w:val="List Paragraph"/>
    <w:basedOn w:val="769"/>
    <w:uiPriority w:val="34"/>
    <w:qFormat/>
    <w:pPr>
      <w:pBdr/>
      <w:spacing/>
      <w:ind w:left="720"/>
      <w:contextualSpacing w:val="true"/>
    </w:pPr>
  </w:style>
  <w:style w:type="character" w:styleId="166">
    <w:name w:val="Intense Emphasis"/>
    <w:basedOn w:val="77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769"/>
    <w:next w:val="769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776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77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70">
    <w:name w:val="No Spacing"/>
    <w:basedOn w:val="769"/>
    <w:uiPriority w:val="1"/>
    <w:qFormat/>
    <w:pPr>
      <w:pBdr/>
      <w:spacing w:after="0" w:line="240" w:lineRule="auto"/>
      <w:ind/>
    </w:pPr>
  </w:style>
  <w:style w:type="character" w:styleId="171">
    <w:name w:val="Subtle Emphasis"/>
    <w:basedOn w:val="77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776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776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77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776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77">
    <w:name w:val="Header Char"/>
    <w:basedOn w:val="776"/>
    <w:link w:val="784"/>
    <w:uiPriority w:val="99"/>
    <w:pPr>
      <w:pBdr/>
      <w:spacing/>
      <w:ind/>
    </w:pPr>
  </w:style>
  <w:style w:type="character" w:styleId="179">
    <w:name w:val="Footer Char"/>
    <w:basedOn w:val="776"/>
    <w:link w:val="786"/>
    <w:uiPriority w:val="99"/>
    <w:pPr>
      <w:pBdr/>
      <w:spacing/>
      <w:ind/>
    </w:pPr>
  </w:style>
  <w:style w:type="paragraph" w:styleId="180">
    <w:name w:val="Caption"/>
    <w:basedOn w:val="769"/>
    <w:next w:val="76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769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776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776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769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776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776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77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77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769"/>
    <w:next w:val="769"/>
    <w:uiPriority w:val="39"/>
    <w:unhideWhenUsed/>
    <w:pPr>
      <w:pBdr/>
      <w:spacing w:after="100"/>
      <w:ind/>
    </w:pPr>
  </w:style>
  <w:style w:type="paragraph" w:styleId="190">
    <w:name w:val="toc 2"/>
    <w:basedOn w:val="769"/>
    <w:next w:val="769"/>
    <w:uiPriority w:val="39"/>
    <w:unhideWhenUsed/>
    <w:pPr>
      <w:pBdr/>
      <w:spacing w:after="100"/>
      <w:ind w:left="220"/>
    </w:pPr>
  </w:style>
  <w:style w:type="paragraph" w:styleId="191">
    <w:name w:val="toc 3"/>
    <w:basedOn w:val="769"/>
    <w:next w:val="769"/>
    <w:uiPriority w:val="39"/>
    <w:unhideWhenUsed/>
    <w:pPr>
      <w:pBdr/>
      <w:spacing w:after="100"/>
      <w:ind w:left="440"/>
    </w:pPr>
  </w:style>
  <w:style w:type="paragraph" w:styleId="192">
    <w:name w:val="toc 4"/>
    <w:basedOn w:val="769"/>
    <w:next w:val="769"/>
    <w:uiPriority w:val="39"/>
    <w:unhideWhenUsed/>
    <w:pPr>
      <w:pBdr/>
      <w:spacing w:after="100"/>
      <w:ind w:left="660"/>
    </w:pPr>
  </w:style>
  <w:style w:type="paragraph" w:styleId="193">
    <w:name w:val="toc 5"/>
    <w:basedOn w:val="769"/>
    <w:next w:val="769"/>
    <w:uiPriority w:val="39"/>
    <w:unhideWhenUsed/>
    <w:pPr>
      <w:pBdr/>
      <w:spacing w:after="100"/>
      <w:ind w:left="880"/>
    </w:pPr>
  </w:style>
  <w:style w:type="paragraph" w:styleId="194">
    <w:name w:val="toc 6"/>
    <w:basedOn w:val="769"/>
    <w:next w:val="769"/>
    <w:uiPriority w:val="39"/>
    <w:unhideWhenUsed/>
    <w:pPr>
      <w:pBdr/>
      <w:spacing w:after="100"/>
      <w:ind w:left="1100"/>
    </w:pPr>
  </w:style>
  <w:style w:type="paragraph" w:styleId="195">
    <w:name w:val="toc 7"/>
    <w:basedOn w:val="769"/>
    <w:next w:val="769"/>
    <w:uiPriority w:val="39"/>
    <w:unhideWhenUsed/>
    <w:pPr>
      <w:pBdr/>
      <w:spacing w:after="100"/>
      <w:ind w:left="1320"/>
    </w:pPr>
  </w:style>
  <w:style w:type="paragraph" w:styleId="196">
    <w:name w:val="toc 8"/>
    <w:basedOn w:val="769"/>
    <w:next w:val="769"/>
    <w:uiPriority w:val="39"/>
    <w:unhideWhenUsed/>
    <w:pPr>
      <w:pBdr/>
      <w:spacing w:after="100"/>
      <w:ind w:left="1540"/>
    </w:pPr>
  </w:style>
  <w:style w:type="paragraph" w:styleId="197">
    <w:name w:val="toc 9"/>
    <w:basedOn w:val="769"/>
    <w:next w:val="769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776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769"/>
    <w:next w:val="769"/>
    <w:uiPriority w:val="99"/>
    <w:unhideWhenUsed/>
    <w:pPr>
      <w:pBdr/>
      <w:spacing w:after="0" w:afterAutospacing="0"/>
      <w:ind/>
    </w:pPr>
  </w:style>
  <w:style w:type="paragraph" w:styleId="769" w:default="1">
    <w:name w:val="Normal"/>
    <w:pPr>
      <w:pBdr/>
      <w:spacing/>
      <w:ind/>
    </w:pPr>
  </w:style>
  <w:style w:type="paragraph" w:styleId="770">
    <w:name w:val="Heading 1"/>
    <w:basedOn w:val="769"/>
    <w:next w:val="769"/>
    <w:pPr>
      <w:keepNext w:val="true"/>
      <w:keepLines w:val="true"/>
      <w:pBdr/>
      <w:spacing w:after="120" w:before="480"/>
      <w:ind/>
      <w:outlineLvl w:val="0"/>
    </w:pPr>
    <w:rPr>
      <w:b/>
      <w:bCs/>
      <w:sz w:val="48"/>
      <w:szCs w:val="48"/>
    </w:rPr>
  </w:style>
  <w:style w:type="paragraph" w:styleId="771">
    <w:name w:val="Heading 2"/>
    <w:basedOn w:val="769"/>
    <w:next w:val="769"/>
    <w:pPr>
      <w:keepNext w:val="true"/>
      <w:keepLines w:val="true"/>
      <w:pBdr/>
      <w:spacing w:after="80" w:before="360"/>
      <w:ind/>
      <w:outlineLvl w:val="1"/>
    </w:pPr>
    <w:rPr>
      <w:b/>
      <w:bCs/>
      <w:sz w:val="36"/>
      <w:szCs w:val="36"/>
    </w:rPr>
  </w:style>
  <w:style w:type="paragraph" w:styleId="772">
    <w:name w:val="Heading 3"/>
    <w:basedOn w:val="769"/>
    <w:next w:val="769"/>
    <w:pPr>
      <w:keepNext w:val="true"/>
      <w:keepLines w:val="true"/>
      <w:pBdr/>
      <w:spacing w:after="80" w:before="280"/>
      <w:ind/>
      <w:outlineLvl w:val="2"/>
    </w:pPr>
    <w:rPr>
      <w:b/>
      <w:bCs/>
      <w:sz w:val="28"/>
      <w:szCs w:val="28"/>
    </w:rPr>
  </w:style>
  <w:style w:type="paragraph" w:styleId="773">
    <w:name w:val="Heading 4"/>
    <w:basedOn w:val="769"/>
    <w:next w:val="769"/>
    <w:pPr>
      <w:keepNext w:val="true"/>
      <w:keepLines w:val="true"/>
      <w:pBdr/>
      <w:spacing w:after="40" w:before="240"/>
      <w:ind/>
      <w:outlineLvl w:val="3"/>
    </w:pPr>
    <w:rPr>
      <w:b/>
      <w:bCs/>
      <w:sz w:val="24"/>
      <w:szCs w:val="24"/>
    </w:rPr>
  </w:style>
  <w:style w:type="paragraph" w:styleId="774">
    <w:name w:val="Heading 5"/>
    <w:basedOn w:val="769"/>
    <w:next w:val="769"/>
    <w:pPr>
      <w:keepNext w:val="true"/>
      <w:keepLines w:val="true"/>
      <w:pBdr/>
      <w:spacing w:after="40" w:before="220"/>
      <w:ind/>
      <w:outlineLvl w:val="4"/>
    </w:pPr>
    <w:rPr>
      <w:b/>
      <w:bCs/>
    </w:rPr>
  </w:style>
  <w:style w:type="paragraph" w:styleId="775">
    <w:name w:val="Heading 6"/>
    <w:basedOn w:val="769"/>
    <w:next w:val="769"/>
    <w:pPr>
      <w:keepNext w:val="true"/>
      <w:keepLines w:val="true"/>
      <w:pBdr/>
      <w:spacing w:after="40" w:before="200"/>
      <w:ind/>
      <w:outlineLvl w:val="5"/>
    </w:pPr>
    <w:rPr>
      <w:b/>
      <w:bCs/>
      <w:sz w:val="20"/>
      <w:szCs w:val="20"/>
    </w:rPr>
  </w:style>
  <w:style w:type="character" w:styleId="776" w:default="1">
    <w:name w:val="Default Paragraph Font"/>
    <w:uiPriority w:val="1"/>
    <w:semiHidden/>
    <w:unhideWhenUsed/>
    <w:pPr>
      <w:pBdr/>
      <w:spacing/>
      <w:ind/>
    </w:pPr>
  </w:style>
  <w:style w:type="table" w:styleId="777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8" w:default="1">
    <w:name w:val="No List"/>
    <w:uiPriority w:val="99"/>
    <w:semiHidden/>
    <w:unhideWhenUsed/>
    <w:pPr>
      <w:pBdr/>
      <w:spacing/>
      <w:ind/>
    </w:pPr>
  </w:style>
  <w:style w:type="table" w:styleId="779" w:customStyle="1">
    <w:name w:val="TableNormal"/>
    <w:pPr>
      <w:pBdr/>
      <w:spacing/>
      <w:ind/>
    </w:pPr>
    <w:tblPr>
      <w:tblCellMar>
        <w:left w:w="100" w:type="dxa"/>
        <w:top w:w="100" w:type="dxa"/>
        <w:right w:w="100" w:type="dxa"/>
        <w:bottom w:w="10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0">
    <w:name w:val="Title"/>
    <w:basedOn w:val="769"/>
    <w:next w:val="769"/>
    <w:pPr>
      <w:keepNext w:val="true"/>
      <w:keepLines w:val="true"/>
      <w:pBdr/>
      <w:spacing w:after="120" w:before="480"/>
      <w:ind/>
    </w:pPr>
    <w:rPr>
      <w:b/>
      <w:bCs/>
      <w:sz w:val="72"/>
      <w:szCs w:val="72"/>
    </w:rPr>
  </w:style>
  <w:style w:type="paragraph" w:styleId="781">
    <w:name w:val="Subtitle"/>
    <w:basedOn w:val="769"/>
    <w:next w:val="769"/>
    <w:pPr>
      <w:keepNext w:val="true"/>
      <w:keepLines w:val="true"/>
      <w:pBdr/>
      <w:spacing w:after="80" w:before="360"/>
      <w:ind/>
    </w:pPr>
    <w:rPr>
      <w:rFonts w:ascii="Georgia" w:hAnsi="Georgia" w:eastAsia="Georgia" w:cs="Georgia"/>
      <w:i/>
      <w:iCs/>
      <w:color w:val="666666"/>
      <w:sz w:val="48"/>
      <w:szCs w:val="48"/>
    </w:rPr>
  </w:style>
  <w:style w:type="table" w:styleId="782" w:customStyle="1">
    <w:name w:val="StGen0"/>
    <w:basedOn w:val="77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 w:customStyle="1">
    <w:name w:val="StGen1"/>
    <w:basedOn w:val="77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4">
    <w:name w:val="Header"/>
    <w:basedOn w:val="769"/>
    <w:link w:val="785"/>
    <w:uiPriority w:val="99"/>
    <w:unhideWhenUsed/>
    <w:pPr>
      <w:pBdr/>
      <w:tabs>
        <w:tab w:val="center" w:leader="none" w:pos="4703"/>
        <w:tab w:val="right" w:leader="none" w:pos="9406"/>
      </w:tabs>
      <w:spacing w:after="0" w:line="240" w:lineRule="auto"/>
      <w:ind/>
    </w:pPr>
  </w:style>
  <w:style w:type="character" w:styleId="785" w:customStyle="1">
    <w:name w:val="Верхний колонтитул Знак"/>
    <w:basedOn w:val="776"/>
    <w:link w:val="784"/>
    <w:uiPriority w:val="99"/>
    <w:pPr>
      <w:pBdr/>
      <w:spacing/>
      <w:ind/>
    </w:pPr>
  </w:style>
  <w:style w:type="paragraph" w:styleId="786">
    <w:name w:val="Footer"/>
    <w:basedOn w:val="769"/>
    <w:link w:val="787"/>
    <w:uiPriority w:val="99"/>
    <w:unhideWhenUsed/>
    <w:pPr>
      <w:pBdr/>
      <w:tabs>
        <w:tab w:val="center" w:leader="none" w:pos="4703"/>
        <w:tab w:val="right" w:leader="none" w:pos="9406"/>
      </w:tabs>
      <w:spacing w:after="0" w:line="240" w:lineRule="auto"/>
      <w:ind/>
    </w:pPr>
  </w:style>
  <w:style w:type="character" w:styleId="787" w:customStyle="1">
    <w:name w:val="Нижний колонтитул Знак"/>
    <w:basedOn w:val="776"/>
    <w:link w:val="786"/>
    <w:uiPriority w:val="99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N9QQ/gMEsfo5sv9iichiAQt36Q==">CgMxLjAyDmgueTV3aG1yb3libTl4OAByITFFUEw5dmhiY3VULUZpZXRiempDUVlPZE1XWWN2cFdVag==</go:docsCustomData>
</go:gDocsCustomXmlDataStorage>
</file>

<file path=customXml/itemProps1.xml><?xml version="1.0" encoding="utf-8"?>
<ds:datastoreItem xmlns:ds="http://schemas.openxmlformats.org/officeDocument/2006/customXml" ds:itemID="11111111-1234-1234-1234-123412341234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Company>SPecialiST RePack</Company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 Digori</dc:creator>
  <cp:revision>4</cp:revision>
  <dcterms:created xsi:type="dcterms:W3CDTF">2026-05-12T11:11:00Z</dcterms:created>
  <dcterms:modified xsi:type="dcterms:W3CDTF">2026-06-02T13:47:57Z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0x01010091EFB773D9D861428BF82ADAF9B00A6C</vt:lpwstr>
  </property>
</Properties>
</file>