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62CC44">
      <w:pPr>
        <w:jc w:val="center"/>
        <w:rPr>
          <w:lang w:val="en-US"/>
        </w:rPr>
      </w:pPr>
      <w:r>
        <w:rPr>
          <w:rFonts w:ascii="Arial" w:hAnsi="Arial"/>
          <w:i/>
          <w:lang w:val="en-GB"/>
        </w:rPr>
        <w:t xml:space="preserve"> </w:t>
      </w:r>
      <w:r>
        <w:rPr>
          <w:lang w:val="en-US"/>
        </w:rPr>
        <w:t>CURRICULUM VITAE</w:t>
      </w:r>
    </w:p>
    <w:p w14:paraId="5D08B54C">
      <w:pPr>
        <w:rPr>
          <w:rFonts w:ascii="Arial" w:hAnsi="Arial"/>
          <w:lang w:val="en-GB" w:eastAsia="fr-FR"/>
        </w:rPr>
      </w:pPr>
      <w:r>
        <w:rPr>
          <w:rFonts w:ascii="Arial" w:hAnsi="Arial"/>
          <w:lang w:val="en-GB"/>
        </w:rPr>
        <w:tab/>
      </w:r>
    </w:p>
    <w:p w14:paraId="17E056C0">
      <w:pPr>
        <w:rPr>
          <w:b/>
          <w:lang w:val="en-GB" w:eastAsia="fr-FR"/>
        </w:rPr>
      </w:pPr>
      <w:r>
        <w:rPr>
          <w:lang w:val="en-GB"/>
        </w:rPr>
        <w:t xml:space="preserve">1. </w:t>
      </w:r>
      <w:r>
        <w:rPr>
          <w:caps/>
          <w:lang w:val="en-GB"/>
        </w:rPr>
        <w:t>FaMILY NAME</w:t>
      </w:r>
      <w:r>
        <w:rPr>
          <w:lang w:val="en-GB"/>
        </w:rPr>
        <w:t>: Covali</w:t>
      </w:r>
      <w:r>
        <w:rPr>
          <w:lang w:val="en-GB"/>
        </w:rPr>
        <w:tab/>
      </w:r>
      <w:r>
        <w:rPr>
          <w:lang w:val="en-GB"/>
        </w:rPr>
        <w:tab/>
      </w:r>
    </w:p>
    <w:p w14:paraId="67AD4EF3">
      <w:pPr>
        <w:rPr>
          <w:lang w:val="en-GB"/>
        </w:rPr>
      </w:pPr>
      <w:r>
        <w:rPr>
          <w:lang w:val="en-GB"/>
        </w:rPr>
        <w:t xml:space="preserve">2. </w:t>
      </w:r>
      <w:r>
        <w:rPr>
          <w:caps/>
          <w:lang w:val="en-GB"/>
        </w:rPr>
        <w:t>First name</w:t>
      </w:r>
      <w:r>
        <w:rPr>
          <w:b/>
          <w:caps/>
          <w:lang w:val="en-GB"/>
        </w:rPr>
        <w:t>S</w:t>
      </w:r>
      <w:r>
        <w:rPr>
          <w:lang w:val="en-GB"/>
        </w:rPr>
        <w:t xml:space="preserve">: Victoria   </w:t>
      </w:r>
    </w:p>
    <w:p w14:paraId="115385A4">
      <w:pPr>
        <w:rPr>
          <w:lang w:val="en-GB" w:eastAsia="fr-FR"/>
        </w:rPr>
      </w:pPr>
      <w:r>
        <w:rPr>
          <w:lang w:val="en-GB"/>
        </w:rPr>
        <w:t xml:space="preserve">3. </w:t>
      </w:r>
      <w:r>
        <w:rPr>
          <w:caps/>
          <w:lang w:val="en-GB"/>
        </w:rPr>
        <w:t>Date of birth</w:t>
      </w:r>
      <w:r>
        <w:rPr>
          <w:lang w:val="en-GB"/>
        </w:rPr>
        <w:t xml:space="preserve">: 30 </w:t>
      </w:r>
      <w:r>
        <w:rPr>
          <w:sz w:val="16"/>
          <w:vertAlign w:val="superscript"/>
          <w:lang w:val="en-GB"/>
        </w:rPr>
        <w:t>th</w:t>
      </w:r>
      <w:r>
        <w:rPr>
          <w:sz w:val="16"/>
          <w:lang w:val="en-GB"/>
        </w:rPr>
        <w:t xml:space="preserve"> </w:t>
      </w:r>
      <w:r>
        <w:rPr>
          <w:lang w:val="en-GB"/>
        </w:rPr>
        <w:t>of March, 1980.</w:t>
      </w:r>
      <w:r>
        <w:rPr>
          <w:lang w:val="en-GB"/>
        </w:rPr>
        <w:tab/>
      </w:r>
      <w:r>
        <w:rPr>
          <w:lang w:val="en-GB"/>
        </w:rPr>
        <w:t xml:space="preserve">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</w:p>
    <w:p w14:paraId="2F03E804">
      <w:pPr>
        <w:rPr>
          <w:b/>
          <w:lang w:val="en-GB" w:eastAsia="fr-FR"/>
        </w:rPr>
      </w:pPr>
      <w:r>
        <w:rPr>
          <w:lang w:val="ro-RO"/>
        </w:rPr>
        <w:t xml:space="preserve">4. </w:t>
      </w:r>
      <w:r>
        <w:rPr>
          <w:caps/>
          <w:lang w:val="en-US"/>
        </w:rPr>
        <w:t>Education</w:t>
      </w:r>
      <w:r>
        <w:rPr>
          <w:lang w:val="en-US"/>
        </w:rPr>
        <w:t>:</w:t>
      </w:r>
    </w:p>
    <w:tbl>
      <w:tblPr>
        <w:tblStyle w:val="7"/>
        <w:tblW w:w="0" w:type="auto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5"/>
        <w:gridCol w:w="4227"/>
      </w:tblGrid>
      <w:tr w14:paraId="1418BA7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95" w:type="dxa"/>
            <w:shd w:val="clear" w:color="auto" w:fill="auto"/>
          </w:tcPr>
          <w:p w14:paraId="09331206">
            <w:pPr>
              <w:pStyle w:val="15"/>
              <w:jc w:val="center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Institution</w:t>
            </w:r>
          </w:p>
          <w:p w14:paraId="2977301D">
            <w:pPr>
              <w:pStyle w:val="15"/>
              <w:jc w:val="center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(Date from – Date to)</w:t>
            </w:r>
          </w:p>
        </w:tc>
        <w:tc>
          <w:tcPr>
            <w:tcW w:w="4227" w:type="dxa"/>
            <w:shd w:val="clear" w:color="auto" w:fill="auto"/>
          </w:tcPr>
          <w:p w14:paraId="20E46B6A">
            <w:pPr>
              <w:pStyle w:val="5"/>
              <w:jc w:val="center"/>
              <w:rPr>
                <w:rFonts w:ascii="Times New Roman" w:hAnsi="Times New Roman"/>
                <w:lang w:val="en-GB"/>
              </w:rPr>
            </w:pPr>
            <w:r>
              <w:rPr>
                <w:rFonts w:ascii="Times New Roman" w:hAnsi="Times New Roman"/>
                <w:lang w:val="en-GB"/>
              </w:rPr>
              <w:t>Degree(s) or Diploma(s) obtained:</w:t>
            </w:r>
          </w:p>
        </w:tc>
      </w:tr>
      <w:tr w14:paraId="5F84C3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5095" w:type="dxa"/>
            <w:shd w:val="clear" w:color="auto" w:fill="auto"/>
          </w:tcPr>
          <w:p w14:paraId="5E935CF5">
            <w:pPr>
              <w:pStyle w:val="1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1998-2002, State University of Moldova</w:t>
            </w:r>
          </w:p>
        </w:tc>
        <w:tc>
          <w:tcPr>
            <w:tcW w:w="4227" w:type="dxa"/>
            <w:shd w:val="clear" w:color="auto" w:fill="auto"/>
          </w:tcPr>
          <w:p w14:paraId="78F0984F">
            <w:pPr>
              <w:pStyle w:val="4"/>
              <w:jc w:val="center"/>
              <w:rPr>
                <w:rFonts w:ascii="Times New Roman" w:hAnsi="Times New Roman"/>
                <w:sz w:val="24"/>
                <w:lang w:val="en-GB"/>
              </w:rPr>
            </w:pPr>
            <w:r>
              <w:rPr>
                <w:rFonts w:ascii="Times New Roman" w:hAnsi="Times New Roman"/>
                <w:sz w:val="24"/>
                <w:lang w:val="en-GB"/>
              </w:rPr>
              <w:t xml:space="preserve">Licensed Forestry and Public Garden, </w:t>
            </w:r>
          </w:p>
          <w:p w14:paraId="34EC32F8">
            <w:pPr>
              <w:jc w:val="center"/>
              <w:rPr>
                <w:lang w:val="en-GB" w:eastAsia="fr-FR"/>
              </w:rPr>
            </w:pPr>
            <w:r>
              <w:rPr>
                <w:lang w:val="en-US" w:eastAsia="fr-FR"/>
              </w:rPr>
              <w:t>AL No 0054385</w:t>
            </w:r>
          </w:p>
        </w:tc>
      </w:tr>
      <w:tr w14:paraId="62F0BDF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" w:hRule="atLeast"/>
        </w:trPr>
        <w:tc>
          <w:tcPr>
            <w:tcW w:w="5095" w:type="dxa"/>
            <w:shd w:val="clear" w:color="auto" w:fill="auto"/>
          </w:tcPr>
          <w:p w14:paraId="2821AC53">
            <w:pPr>
              <w:pStyle w:val="15"/>
              <w:rPr>
                <w:rFonts w:ascii="Times New Roman" w:hAnsi="Times New Roman"/>
                <w:sz w:val="24"/>
                <w:lang w:val="en-US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2002-2009, Botanical Garden  (Institute) of the Academy of Science of Moldova</w:t>
            </w:r>
          </w:p>
        </w:tc>
        <w:tc>
          <w:tcPr>
            <w:tcW w:w="4227" w:type="dxa"/>
            <w:shd w:val="clear" w:color="auto" w:fill="auto"/>
          </w:tcPr>
          <w:p w14:paraId="58D51F15">
            <w:pPr>
              <w:jc w:val="center"/>
              <w:rPr>
                <w:lang w:val="en-GB" w:eastAsia="fr-FR"/>
              </w:rPr>
            </w:pPr>
            <w:r>
              <w:rPr>
                <w:lang w:val="en-GB" w:eastAsia="fr-FR"/>
              </w:rPr>
              <w:t>PhD in biology, DR No 0999</w:t>
            </w:r>
          </w:p>
        </w:tc>
      </w:tr>
      <w:tr w14:paraId="426C6B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" w:hRule="atLeast"/>
        </w:trPr>
        <w:tc>
          <w:tcPr>
            <w:tcW w:w="5095" w:type="dxa"/>
            <w:shd w:val="clear" w:color="auto" w:fill="auto"/>
          </w:tcPr>
          <w:p w14:paraId="21CBA072">
            <w:pPr>
              <w:pStyle w:val="1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2023-2025, State University of Moldova</w:t>
            </w:r>
          </w:p>
        </w:tc>
        <w:tc>
          <w:tcPr>
            <w:tcW w:w="4227" w:type="dxa"/>
            <w:shd w:val="clear" w:color="auto" w:fill="auto"/>
          </w:tcPr>
          <w:p w14:paraId="4C5117BD">
            <w:pPr>
              <w:jc w:val="center"/>
              <w:rPr>
                <w:lang w:val="en-US" w:eastAsia="fr-FR"/>
              </w:rPr>
            </w:pPr>
            <w:r>
              <w:rPr>
                <w:lang w:val="en-US" w:eastAsia="fr-FR"/>
              </w:rPr>
              <w:t>Degree of Master of Environmental Sciences, MP 000034538</w:t>
            </w:r>
          </w:p>
        </w:tc>
      </w:tr>
    </w:tbl>
    <w:p w14:paraId="2697A5FA">
      <w:pPr>
        <w:pStyle w:val="15"/>
        <w:tabs>
          <w:tab w:val="left" w:pos="426"/>
        </w:tabs>
        <w:rPr>
          <w:rFonts w:ascii="Times New Roman" w:hAnsi="Times New Roman"/>
          <w:sz w:val="24"/>
          <w:lang w:val="en-GB"/>
        </w:rPr>
      </w:pPr>
      <w:r>
        <w:rPr>
          <w:rFonts w:ascii="Times New Roman" w:hAnsi="Times New Roman"/>
          <w:sz w:val="24"/>
          <w:lang w:val="en-GB"/>
        </w:rPr>
        <w:t xml:space="preserve">5. </w:t>
      </w:r>
      <w:r>
        <w:rPr>
          <w:rFonts w:ascii="Times New Roman" w:hAnsi="Times New Roman"/>
          <w:caps/>
          <w:sz w:val="24"/>
          <w:lang w:val="en-GB"/>
        </w:rPr>
        <w:t>Nationality</w:t>
      </w:r>
      <w:r>
        <w:rPr>
          <w:rFonts w:ascii="Times New Roman" w:hAnsi="Times New Roman"/>
          <w:sz w:val="24"/>
          <w:lang w:val="en-GB"/>
        </w:rPr>
        <w:t>: Republic of Moldova</w:t>
      </w:r>
      <w:r>
        <w:rPr>
          <w:rFonts w:ascii="Times New Roman" w:hAnsi="Times New Roman"/>
          <w:sz w:val="24"/>
          <w:lang w:val="en-GB"/>
        </w:rPr>
        <w:tab/>
      </w:r>
    </w:p>
    <w:p w14:paraId="5688804F">
      <w:pPr>
        <w:pStyle w:val="15"/>
        <w:tabs>
          <w:tab w:val="left" w:pos="426"/>
        </w:tabs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GB"/>
        </w:rPr>
        <w:tab/>
      </w:r>
    </w:p>
    <w:p w14:paraId="64C0FE7F">
      <w:pPr>
        <w:rPr>
          <w:lang w:val="en-GB" w:eastAsia="fr-FR"/>
        </w:rPr>
      </w:pPr>
      <w:r>
        <w:rPr>
          <w:caps/>
          <w:lang w:val="en-GB"/>
        </w:rPr>
        <w:t>6. Language skills:</w:t>
      </w:r>
      <w:r>
        <w:rPr>
          <w:b/>
          <w:caps/>
          <w:lang w:val="en-GB"/>
        </w:rPr>
        <w:t xml:space="preserve"> </w:t>
      </w:r>
    </w:p>
    <w:tbl>
      <w:tblPr>
        <w:tblStyle w:val="7"/>
        <w:tblW w:w="0" w:type="auto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0"/>
        <w:gridCol w:w="2069"/>
        <w:gridCol w:w="2140"/>
        <w:gridCol w:w="3093"/>
      </w:tblGrid>
      <w:tr w14:paraId="4BD960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2020" w:type="dxa"/>
            <w:shd w:val="clear" w:color="auto" w:fill="auto"/>
          </w:tcPr>
          <w:p w14:paraId="3301B8B7">
            <w:pPr>
              <w:pStyle w:val="15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Language</w:t>
            </w:r>
          </w:p>
        </w:tc>
        <w:tc>
          <w:tcPr>
            <w:tcW w:w="2069" w:type="dxa"/>
            <w:shd w:val="clear" w:color="auto" w:fill="auto"/>
          </w:tcPr>
          <w:p w14:paraId="3321973E">
            <w:pPr>
              <w:jc w:val="center"/>
              <w:rPr>
                <w:b/>
                <w:i/>
                <w:lang w:val="en-GB" w:eastAsia="fr-FR"/>
              </w:rPr>
            </w:pPr>
            <w:r>
              <w:rPr>
                <w:i/>
                <w:lang w:val="en-GB"/>
              </w:rPr>
              <w:t>Reading</w:t>
            </w:r>
          </w:p>
        </w:tc>
        <w:tc>
          <w:tcPr>
            <w:tcW w:w="2140" w:type="dxa"/>
            <w:shd w:val="clear" w:color="auto" w:fill="auto"/>
          </w:tcPr>
          <w:p w14:paraId="4A4EFFC6">
            <w:pPr>
              <w:jc w:val="center"/>
              <w:rPr>
                <w:b/>
                <w:i/>
                <w:lang w:val="en-GB" w:eastAsia="fr-FR"/>
              </w:rPr>
            </w:pPr>
            <w:r>
              <w:rPr>
                <w:i/>
                <w:lang w:val="en-GB"/>
              </w:rPr>
              <w:t>Speaking</w:t>
            </w:r>
          </w:p>
        </w:tc>
        <w:tc>
          <w:tcPr>
            <w:tcW w:w="3093" w:type="dxa"/>
            <w:shd w:val="clear" w:color="auto" w:fill="auto"/>
          </w:tcPr>
          <w:p w14:paraId="1EC0E3D8">
            <w:pPr>
              <w:jc w:val="center"/>
              <w:rPr>
                <w:b/>
                <w:i/>
                <w:lang w:val="en-GB" w:eastAsia="fr-FR"/>
              </w:rPr>
            </w:pPr>
            <w:r>
              <w:rPr>
                <w:i/>
                <w:lang w:val="en-GB"/>
              </w:rPr>
              <w:t>Writing</w:t>
            </w:r>
          </w:p>
        </w:tc>
      </w:tr>
      <w:tr w14:paraId="23DD7F8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2020" w:type="dxa"/>
            <w:shd w:val="clear" w:color="auto" w:fill="auto"/>
          </w:tcPr>
          <w:p w14:paraId="01B773A3">
            <w:pPr>
              <w:jc w:val="both"/>
              <w:rPr>
                <w:b/>
                <w:lang w:val="en-GB" w:eastAsia="fr-FR"/>
              </w:rPr>
            </w:pPr>
            <w:r>
              <w:rPr>
                <w:lang w:val="en-GB" w:eastAsia="fr-FR"/>
              </w:rPr>
              <w:t>Russian</w:t>
            </w:r>
          </w:p>
        </w:tc>
        <w:tc>
          <w:tcPr>
            <w:tcW w:w="2069" w:type="dxa"/>
            <w:shd w:val="clear" w:color="auto" w:fill="auto"/>
          </w:tcPr>
          <w:p w14:paraId="155FFB1E">
            <w:pPr>
              <w:jc w:val="center"/>
              <w:rPr>
                <w:b/>
                <w:lang w:val="en-GB" w:eastAsia="fr-FR"/>
              </w:rPr>
            </w:pPr>
            <w:r>
              <w:rPr>
                <w:lang w:val="en-GB" w:eastAsia="fr-FR"/>
              </w:rPr>
              <w:t>C2</w:t>
            </w:r>
          </w:p>
        </w:tc>
        <w:tc>
          <w:tcPr>
            <w:tcW w:w="2140" w:type="dxa"/>
            <w:shd w:val="clear" w:color="auto" w:fill="auto"/>
          </w:tcPr>
          <w:p w14:paraId="72403097">
            <w:pPr>
              <w:jc w:val="center"/>
              <w:rPr>
                <w:b/>
                <w:lang w:val="en-GB" w:eastAsia="fr-FR"/>
              </w:rPr>
            </w:pPr>
            <w:r>
              <w:rPr>
                <w:lang w:val="en-GB" w:eastAsia="fr-FR"/>
              </w:rPr>
              <w:t>C2</w:t>
            </w:r>
          </w:p>
        </w:tc>
        <w:tc>
          <w:tcPr>
            <w:tcW w:w="3093" w:type="dxa"/>
            <w:shd w:val="clear" w:color="auto" w:fill="auto"/>
          </w:tcPr>
          <w:p w14:paraId="547E0547">
            <w:pPr>
              <w:jc w:val="center"/>
              <w:rPr>
                <w:b/>
                <w:lang w:val="en-GB" w:eastAsia="fr-FR"/>
              </w:rPr>
            </w:pPr>
            <w:r>
              <w:rPr>
                <w:lang w:val="en-GB" w:eastAsia="fr-FR"/>
              </w:rPr>
              <w:t>C2</w:t>
            </w:r>
          </w:p>
        </w:tc>
      </w:tr>
      <w:tr w14:paraId="4D7FDD9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2020" w:type="dxa"/>
            <w:shd w:val="clear" w:color="auto" w:fill="auto"/>
          </w:tcPr>
          <w:p w14:paraId="539DEC17">
            <w:pPr>
              <w:jc w:val="both"/>
              <w:rPr>
                <w:b/>
                <w:lang w:val="en-GB" w:eastAsia="fr-FR"/>
              </w:rPr>
            </w:pPr>
            <w:r>
              <w:rPr>
                <w:lang w:val="en-GB" w:eastAsia="fr-FR"/>
              </w:rPr>
              <w:t>French</w:t>
            </w:r>
          </w:p>
        </w:tc>
        <w:tc>
          <w:tcPr>
            <w:tcW w:w="2069" w:type="dxa"/>
            <w:shd w:val="clear" w:color="auto" w:fill="auto"/>
          </w:tcPr>
          <w:p w14:paraId="7E8AED4A">
            <w:pPr>
              <w:jc w:val="center"/>
              <w:rPr>
                <w:lang w:val="en-GB" w:eastAsia="fr-FR"/>
              </w:rPr>
            </w:pPr>
            <w:r>
              <w:rPr>
                <w:lang w:val="en-GB" w:eastAsia="fr-FR"/>
              </w:rPr>
              <w:t>B1</w:t>
            </w:r>
          </w:p>
        </w:tc>
        <w:tc>
          <w:tcPr>
            <w:tcW w:w="2140" w:type="dxa"/>
            <w:shd w:val="clear" w:color="auto" w:fill="auto"/>
          </w:tcPr>
          <w:p w14:paraId="034B2E72">
            <w:pPr>
              <w:jc w:val="center"/>
              <w:rPr>
                <w:lang w:val="en-GB" w:eastAsia="fr-FR"/>
              </w:rPr>
            </w:pPr>
            <w:r>
              <w:rPr>
                <w:lang w:val="en-GB" w:eastAsia="fr-FR"/>
              </w:rPr>
              <w:t>B1</w:t>
            </w:r>
          </w:p>
        </w:tc>
        <w:tc>
          <w:tcPr>
            <w:tcW w:w="3093" w:type="dxa"/>
            <w:shd w:val="clear" w:color="auto" w:fill="auto"/>
          </w:tcPr>
          <w:p w14:paraId="126EBDE5">
            <w:pPr>
              <w:jc w:val="center"/>
              <w:rPr>
                <w:lang w:val="en-GB" w:eastAsia="fr-FR"/>
              </w:rPr>
            </w:pPr>
            <w:r>
              <w:rPr>
                <w:lang w:val="en-GB" w:eastAsia="fr-FR"/>
              </w:rPr>
              <w:t>B1</w:t>
            </w:r>
          </w:p>
        </w:tc>
      </w:tr>
      <w:tr w14:paraId="5D4B4EB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2020" w:type="dxa"/>
            <w:shd w:val="clear" w:color="auto" w:fill="auto"/>
          </w:tcPr>
          <w:p w14:paraId="5BBCA463">
            <w:pPr>
              <w:jc w:val="both"/>
              <w:rPr>
                <w:b/>
                <w:lang w:val="en-GB" w:eastAsia="fr-FR"/>
              </w:rPr>
            </w:pPr>
            <w:r>
              <w:rPr>
                <w:lang w:val="en-GB" w:eastAsia="fr-FR"/>
              </w:rPr>
              <w:t>English</w:t>
            </w:r>
          </w:p>
        </w:tc>
        <w:tc>
          <w:tcPr>
            <w:tcW w:w="2069" w:type="dxa"/>
            <w:shd w:val="clear" w:color="auto" w:fill="auto"/>
          </w:tcPr>
          <w:p w14:paraId="60EF13E4">
            <w:pPr>
              <w:jc w:val="center"/>
              <w:rPr>
                <w:lang w:val="en-GB" w:eastAsia="fr-FR"/>
              </w:rPr>
            </w:pPr>
            <w:r>
              <w:rPr>
                <w:lang w:val="en-GB" w:eastAsia="fr-FR"/>
              </w:rPr>
              <w:t>B1</w:t>
            </w:r>
          </w:p>
        </w:tc>
        <w:tc>
          <w:tcPr>
            <w:tcW w:w="2140" w:type="dxa"/>
            <w:shd w:val="clear" w:color="auto" w:fill="auto"/>
          </w:tcPr>
          <w:p w14:paraId="12A35BBE">
            <w:pPr>
              <w:jc w:val="center"/>
              <w:rPr>
                <w:lang w:val="en-GB" w:eastAsia="fr-FR"/>
              </w:rPr>
            </w:pPr>
            <w:r>
              <w:rPr>
                <w:lang w:val="en-GB" w:eastAsia="fr-FR"/>
              </w:rPr>
              <w:t>B1</w:t>
            </w:r>
          </w:p>
        </w:tc>
        <w:tc>
          <w:tcPr>
            <w:tcW w:w="3093" w:type="dxa"/>
            <w:shd w:val="clear" w:color="auto" w:fill="auto"/>
          </w:tcPr>
          <w:p w14:paraId="22160F76">
            <w:pPr>
              <w:jc w:val="center"/>
              <w:rPr>
                <w:lang w:val="en-GB" w:eastAsia="fr-FR"/>
              </w:rPr>
            </w:pPr>
            <w:r>
              <w:rPr>
                <w:lang w:val="en-GB" w:eastAsia="fr-FR"/>
              </w:rPr>
              <w:t>B1</w:t>
            </w:r>
          </w:p>
        </w:tc>
      </w:tr>
    </w:tbl>
    <w:p w14:paraId="478276C9">
      <w:pPr>
        <w:pStyle w:val="15"/>
        <w:rPr>
          <w:rFonts w:ascii="Times New Roman" w:hAnsi="Times New Roman"/>
          <w:sz w:val="24"/>
        </w:rPr>
      </w:pPr>
    </w:p>
    <w:p w14:paraId="6D8F7273">
      <w:pPr>
        <w:pStyle w:val="15"/>
        <w:rPr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  <w:lang w:val="en-US"/>
        </w:rPr>
        <w:t>7. MEMBERSHIP OF PROFESSIONAL BODIES:</w:t>
      </w:r>
    </w:p>
    <w:p w14:paraId="588FC053">
      <w:pPr>
        <w:pStyle w:val="15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4"/>
          <w:lang w:val="en-US"/>
        </w:rPr>
        <w:t xml:space="preserve">2019-present, </w:t>
      </w:r>
      <w:r>
        <w:rPr>
          <w:rFonts w:ascii="Times New Roman" w:hAnsi="Times New Roman"/>
          <w:sz w:val="22"/>
          <w:szCs w:val="22"/>
          <w:lang w:val="en-US"/>
        </w:rPr>
        <w:t>President,</w:t>
      </w:r>
      <w:r>
        <w:rPr>
          <w:lang w:val="en-US"/>
        </w:rPr>
        <w:t xml:space="preserve"> </w:t>
      </w:r>
      <w:r>
        <w:rPr>
          <w:rFonts w:ascii="Times New Roman" w:hAnsi="Times New Roman"/>
          <w:sz w:val="22"/>
          <w:szCs w:val="22"/>
          <w:lang w:val="en-US"/>
        </w:rPr>
        <w:t>Women Foresters Association of the Republic of Moldova</w:t>
      </w:r>
    </w:p>
    <w:p w14:paraId="42FB6225">
      <w:pPr>
        <w:pStyle w:val="15"/>
        <w:rPr>
          <w:rFonts w:ascii="Times New Roman" w:hAnsi="Times New Roman"/>
          <w:sz w:val="24"/>
          <w:lang w:val="en-US"/>
        </w:rPr>
      </w:pPr>
    </w:p>
    <w:p w14:paraId="73340F72">
      <w:pPr>
        <w:pStyle w:val="15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4"/>
          <w:lang w:val="en-US"/>
        </w:rPr>
        <w:t>8</w:t>
      </w:r>
      <w:r>
        <w:rPr>
          <w:rFonts w:ascii="Times New Roman" w:hAnsi="Times New Roman"/>
          <w:bCs/>
          <w:sz w:val="24"/>
          <w:lang w:val="en-US"/>
        </w:rPr>
        <w:t xml:space="preserve">. </w:t>
      </w:r>
      <w:r>
        <w:rPr>
          <w:rFonts w:ascii="Times New Roman" w:hAnsi="Times New Roman"/>
          <w:caps/>
          <w:sz w:val="24"/>
          <w:lang w:val="en-US"/>
        </w:rPr>
        <w:t>Digital skills</w:t>
      </w:r>
      <w:r>
        <w:rPr>
          <w:rFonts w:ascii="Times New Roman" w:hAnsi="Times New Roman"/>
          <w:caps/>
          <w:sz w:val="22"/>
          <w:szCs w:val="22"/>
          <w:lang w:val="en-US"/>
        </w:rPr>
        <w:t xml:space="preserve">: </w:t>
      </w:r>
      <w:r>
        <w:rPr>
          <w:rFonts w:ascii="Times New Roman" w:hAnsi="Times New Roman"/>
          <w:sz w:val="22"/>
          <w:szCs w:val="22"/>
          <w:lang w:val="en-US"/>
        </w:rPr>
        <w:t>PC, Scanner, MS Office, Internet</w:t>
      </w:r>
    </w:p>
    <w:p w14:paraId="71E532C4">
      <w:pPr>
        <w:pStyle w:val="15"/>
        <w:rPr>
          <w:rFonts w:ascii="Times New Roman" w:hAnsi="Times New Roman"/>
          <w:sz w:val="22"/>
          <w:szCs w:val="22"/>
          <w:lang w:val="en-US"/>
        </w:rPr>
      </w:pPr>
    </w:p>
    <w:p w14:paraId="2BB44CD9">
      <w:pPr>
        <w:tabs>
          <w:tab w:val="left" w:pos="2745"/>
        </w:tabs>
        <w:jc w:val="both"/>
        <w:rPr>
          <w:caps/>
          <w:lang w:val="en-GB" w:eastAsia="fr-FR"/>
        </w:rPr>
      </w:pPr>
      <w:r>
        <w:rPr>
          <w:caps/>
          <w:lang w:val="en-GB" w:eastAsia="fr-FR"/>
        </w:rPr>
        <w:t xml:space="preserve">9.Present position: </w:t>
      </w:r>
      <w:r>
        <w:rPr>
          <w:sz w:val="22"/>
          <w:szCs w:val="22"/>
          <w:lang w:val="en-US"/>
        </w:rPr>
        <w:t>Project manager,</w:t>
      </w:r>
      <w:r>
        <w:rPr>
          <w:bCs/>
          <w:sz w:val="22"/>
          <w:szCs w:val="22"/>
          <w:lang w:val="en-GB"/>
        </w:rPr>
        <w:t xml:space="preserve"> project PNUD-GEF - Conservation and sustainable management of wetlands with focus on high-nature value areas in the Prut River basin.</w:t>
      </w:r>
    </w:p>
    <w:p w14:paraId="45683100">
      <w:pPr>
        <w:tabs>
          <w:tab w:val="left" w:pos="2745"/>
        </w:tabs>
        <w:rPr>
          <w:caps/>
          <w:lang w:val="en-GB" w:eastAsia="fr-FR"/>
        </w:rPr>
      </w:pPr>
    </w:p>
    <w:p w14:paraId="5F015962">
      <w:pPr>
        <w:tabs>
          <w:tab w:val="left" w:pos="2745"/>
        </w:tabs>
        <w:rPr>
          <w:caps/>
          <w:lang w:val="en-GB" w:eastAsia="fr-FR"/>
        </w:rPr>
      </w:pPr>
      <w:r>
        <w:rPr>
          <w:caps/>
          <w:lang w:val="en-GB" w:eastAsia="fr-FR"/>
        </w:rPr>
        <w:t>10. Key qualifications:</w:t>
      </w:r>
    </w:p>
    <w:p w14:paraId="11047802">
      <w:pPr>
        <w:tabs>
          <w:tab w:val="left" w:pos="2745"/>
        </w:tabs>
        <w:rPr>
          <w:b/>
          <w:caps/>
          <w:sz w:val="22"/>
          <w:szCs w:val="22"/>
          <w:lang w:val="en-US" w:eastAsia="fr-FR"/>
        </w:rPr>
      </w:pPr>
      <w:r>
        <w:rPr>
          <w:sz w:val="22"/>
          <w:szCs w:val="22"/>
          <w:lang w:val="en-US"/>
        </w:rPr>
        <w:t xml:space="preserve">Expert in </w:t>
      </w:r>
      <w:r>
        <w:rPr>
          <w:rStyle w:val="16"/>
          <w:b w:val="0"/>
          <w:sz w:val="22"/>
          <w:szCs w:val="22"/>
          <w:lang w:val="en-US"/>
        </w:rPr>
        <w:t>forestry management</w:t>
      </w:r>
      <w:r>
        <w:rPr>
          <w:b/>
          <w:sz w:val="22"/>
          <w:szCs w:val="22"/>
          <w:lang w:val="en-US"/>
        </w:rPr>
        <w:t xml:space="preserve">, </w:t>
      </w:r>
      <w:r>
        <w:rPr>
          <w:rStyle w:val="16"/>
          <w:b w:val="0"/>
          <w:sz w:val="22"/>
          <w:szCs w:val="22"/>
          <w:lang w:val="en-US"/>
        </w:rPr>
        <w:t>biodiversity</w:t>
      </w:r>
      <w:r>
        <w:rPr>
          <w:sz w:val="22"/>
          <w:szCs w:val="22"/>
          <w:lang w:val="en-US"/>
        </w:rPr>
        <w:t>, and</w:t>
      </w:r>
      <w:r>
        <w:rPr>
          <w:b/>
          <w:sz w:val="22"/>
          <w:szCs w:val="22"/>
          <w:lang w:val="en-US"/>
        </w:rPr>
        <w:t xml:space="preserve"> </w:t>
      </w:r>
      <w:r>
        <w:rPr>
          <w:rStyle w:val="16"/>
          <w:b w:val="0"/>
          <w:sz w:val="22"/>
          <w:szCs w:val="22"/>
          <w:lang w:val="en-US"/>
        </w:rPr>
        <w:t>protected areas</w:t>
      </w:r>
      <w:r>
        <w:rPr>
          <w:b/>
          <w:sz w:val="22"/>
          <w:szCs w:val="22"/>
          <w:lang w:val="en-US"/>
        </w:rPr>
        <w:t>.</w:t>
      </w:r>
    </w:p>
    <w:p w14:paraId="39B9C84C">
      <w:pPr>
        <w:tabs>
          <w:tab w:val="left" w:pos="2745"/>
        </w:tabs>
        <w:rPr>
          <w:caps/>
          <w:lang w:val="en-GB" w:eastAsia="fr-FR"/>
        </w:rPr>
      </w:pPr>
    </w:p>
    <w:p w14:paraId="54271EF7">
      <w:pPr>
        <w:pStyle w:val="15"/>
        <w:rPr>
          <w:rFonts w:ascii="Times New Roman" w:hAnsi="Times New Roman"/>
          <w:caps/>
          <w:sz w:val="24"/>
          <w:lang w:val="en-US"/>
        </w:rPr>
      </w:pPr>
      <w:r>
        <w:rPr>
          <w:rFonts w:ascii="Times New Roman" w:hAnsi="Times New Roman"/>
          <w:caps/>
          <w:sz w:val="24"/>
          <w:lang w:val="en-US"/>
        </w:rPr>
        <w:t>11. Professional experience:</w:t>
      </w:r>
    </w:p>
    <w:p w14:paraId="1CABE2BF">
      <w:pPr>
        <w:pStyle w:val="15"/>
        <w:rPr>
          <w:rFonts w:ascii="Times New Roman" w:hAnsi="Times New Roman"/>
          <w:caps/>
          <w:sz w:val="24"/>
          <w:lang w:val="en-US"/>
        </w:rPr>
      </w:pPr>
    </w:p>
    <w:tbl>
      <w:tblPr>
        <w:tblStyle w:val="7"/>
        <w:tblW w:w="9605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134"/>
        <w:gridCol w:w="1701"/>
        <w:gridCol w:w="1559"/>
        <w:gridCol w:w="3827"/>
      </w:tblGrid>
      <w:tr w14:paraId="1B2C11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auto"/>
          </w:tcPr>
          <w:p w14:paraId="35E7CFDA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Date from – Date to</w:t>
            </w:r>
          </w:p>
        </w:tc>
        <w:tc>
          <w:tcPr>
            <w:tcW w:w="1134" w:type="dxa"/>
            <w:shd w:val="clear" w:color="auto" w:fill="auto"/>
          </w:tcPr>
          <w:p w14:paraId="2C78FF75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Location</w:t>
            </w:r>
          </w:p>
        </w:tc>
        <w:tc>
          <w:tcPr>
            <w:tcW w:w="1701" w:type="dxa"/>
            <w:shd w:val="clear" w:color="auto" w:fill="auto"/>
          </w:tcPr>
          <w:p w14:paraId="46D21B5C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Company</w:t>
            </w:r>
          </w:p>
        </w:tc>
        <w:tc>
          <w:tcPr>
            <w:tcW w:w="1559" w:type="dxa"/>
            <w:shd w:val="clear" w:color="auto" w:fill="auto"/>
          </w:tcPr>
          <w:p w14:paraId="78D45128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Posit</w:t>
            </w:r>
            <w:r>
              <w:rPr>
                <w:rFonts w:ascii="Times New Roman" w:hAnsi="Times New Roman"/>
                <w:sz w:val="22"/>
                <w:szCs w:val="22"/>
              </w:rPr>
              <w:t>ions</w:t>
            </w:r>
          </w:p>
        </w:tc>
        <w:tc>
          <w:tcPr>
            <w:tcW w:w="3827" w:type="dxa"/>
            <w:shd w:val="clear" w:color="auto" w:fill="auto"/>
          </w:tcPr>
          <w:p w14:paraId="5504BA13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Description</w:t>
            </w:r>
          </w:p>
        </w:tc>
      </w:tr>
      <w:tr w14:paraId="7ADDE02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384" w:type="dxa"/>
            <w:shd w:val="clear" w:color="auto" w:fill="auto"/>
          </w:tcPr>
          <w:p w14:paraId="5EE3A5EE">
            <w:pPr>
              <w:pStyle w:val="15"/>
              <w:rPr>
                <w:rFonts w:ascii="Times New Roman" w:hAnsi="Times New Roman"/>
                <w:sz w:val="22"/>
                <w:szCs w:val="22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April </w:t>
            </w:r>
            <w:r>
              <w:rPr>
                <w:rFonts w:ascii="Times New Roman" w:hAnsi="Times New Roman"/>
                <w:sz w:val="22"/>
                <w:szCs w:val="22"/>
              </w:rPr>
              <w:t>2024-present</w:t>
            </w:r>
          </w:p>
        </w:tc>
        <w:tc>
          <w:tcPr>
            <w:tcW w:w="1134" w:type="dxa"/>
            <w:shd w:val="clear" w:color="auto" w:fill="auto"/>
          </w:tcPr>
          <w:p w14:paraId="331B2ED4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Chisinau</w:t>
            </w:r>
          </w:p>
        </w:tc>
        <w:tc>
          <w:tcPr>
            <w:tcW w:w="1701" w:type="dxa"/>
            <w:shd w:val="clear" w:color="auto" w:fill="auto"/>
          </w:tcPr>
          <w:p w14:paraId="1B24707C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  <w:t>IP NOIEP,</w:t>
            </w:r>
          </w:p>
          <w:p w14:paraId="0DB6F446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  <w:t>Ministry of Environment</w:t>
            </w:r>
          </w:p>
        </w:tc>
        <w:tc>
          <w:tcPr>
            <w:tcW w:w="1559" w:type="dxa"/>
            <w:shd w:val="clear" w:color="auto" w:fill="auto"/>
          </w:tcPr>
          <w:p w14:paraId="6EBA8E82">
            <w:pPr>
              <w:pStyle w:val="15"/>
              <w:jc w:val="center"/>
              <w:rPr>
                <w:rFonts w:ascii="Times New Roman" w:hAnsi="Times New Roman"/>
                <w:bCs/>
                <w:sz w:val="22"/>
                <w:szCs w:val="22"/>
                <w:lang w:val="en-GB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Project manager,</w:t>
            </w:r>
            <w:r>
              <w:rPr>
                <w:bCs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  <w:lang w:val="en-GB"/>
              </w:rPr>
              <w:t>project - PNUD-GEF Conservation and sustainable management of wetlands with focus on high-nature value areas in the Prut River basin.</w:t>
            </w:r>
          </w:p>
          <w:p w14:paraId="507EAD83">
            <w:pPr>
              <w:pStyle w:val="15"/>
              <w:jc w:val="center"/>
              <w:rPr>
                <w:rFonts w:ascii="Times New Roman" w:hAnsi="Times New Roman"/>
                <w:bCs/>
                <w:sz w:val="22"/>
                <w:szCs w:val="22"/>
                <w:lang w:val="en-GB"/>
              </w:rPr>
            </w:pPr>
          </w:p>
          <w:p w14:paraId="665E2509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shd w:val="clear" w:color="auto" w:fill="auto"/>
          </w:tcPr>
          <w:p w14:paraId="48985254">
            <w:pPr>
              <w:pStyle w:val="14"/>
              <w:numPr>
                <w:ilvl w:val="0"/>
                <w:numId w:val="1"/>
              </w:numPr>
              <w:jc w:val="both"/>
              <w:rPr>
                <w:lang w:val="en-US"/>
              </w:rPr>
            </w:pPr>
            <w:r>
              <w:rPr>
                <w:rStyle w:val="16"/>
                <w:b w:val="0"/>
                <w:lang w:val="en-US"/>
              </w:rPr>
              <w:t>Strategic Planning and Objective Setting</w:t>
            </w:r>
          </w:p>
          <w:p w14:paraId="74B6B879">
            <w:pPr>
              <w:pStyle w:val="14"/>
              <w:numPr>
                <w:ilvl w:val="0"/>
                <w:numId w:val="1"/>
              </w:numPr>
              <w:jc w:val="both"/>
              <w:rPr>
                <w:lang w:val="en-US"/>
              </w:rPr>
            </w:pPr>
            <w:r>
              <w:rPr>
                <w:rStyle w:val="16"/>
                <w:b w:val="0"/>
                <w:lang w:val="en-US"/>
              </w:rPr>
              <w:t>Team Organization and Coordination</w:t>
            </w:r>
          </w:p>
          <w:p w14:paraId="6DB6679E">
            <w:pPr>
              <w:pStyle w:val="14"/>
              <w:numPr>
                <w:ilvl w:val="0"/>
                <w:numId w:val="1"/>
              </w:numPr>
              <w:jc w:val="both"/>
              <w:rPr>
                <w:lang w:val="en-US"/>
              </w:rPr>
            </w:pPr>
            <w:r>
              <w:rPr>
                <w:rStyle w:val="16"/>
                <w:b w:val="0"/>
                <w:lang w:val="en-US"/>
              </w:rPr>
              <w:t>Resource Management</w:t>
            </w:r>
          </w:p>
          <w:p w14:paraId="3A50BFBF">
            <w:pPr>
              <w:pStyle w:val="14"/>
              <w:numPr>
                <w:ilvl w:val="0"/>
                <w:numId w:val="1"/>
              </w:numPr>
              <w:jc w:val="both"/>
              <w:rPr>
                <w:lang w:val="en-US"/>
              </w:rPr>
            </w:pPr>
            <w:r>
              <w:rPr>
                <w:rStyle w:val="16"/>
                <w:b w:val="0"/>
                <w:lang w:val="en-US"/>
              </w:rPr>
              <w:t>Monitoring and Control</w:t>
            </w:r>
          </w:p>
          <w:p w14:paraId="2312E8F2">
            <w:pPr>
              <w:pStyle w:val="14"/>
              <w:numPr>
                <w:ilvl w:val="0"/>
                <w:numId w:val="1"/>
              </w:numPr>
              <w:jc w:val="both"/>
              <w:rPr>
                <w:lang w:val="en-US"/>
              </w:rPr>
            </w:pPr>
            <w:r>
              <w:rPr>
                <w:rStyle w:val="16"/>
                <w:b w:val="0"/>
                <w:lang w:val="en-US"/>
              </w:rPr>
              <w:t>Communication and Reporting</w:t>
            </w:r>
          </w:p>
          <w:p w14:paraId="49BD8A97">
            <w:pPr>
              <w:pStyle w:val="14"/>
              <w:numPr>
                <w:ilvl w:val="0"/>
                <w:numId w:val="1"/>
              </w:numPr>
              <w:jc w:val="both"/>
            </w:pPr>
            <w:r>
              <w:rPr>
                <w:rStyle w:val="16"/>
                <w:b w:val="0"/>
              </w:rPr>
              <w:t>Compliance Assurance</w:t>
            </w:r>
          </w:p>
          <w:p w14:paraId="6805418C">
            <w:pPr>
              <w:jc w:val="both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14:paraId="6221C97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auto"/>
          </w:tcPr>
          <w:p w14:paraId="2A9DF234">
            <w:pPr>
              <w:pStyle w:val="15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May </w:t>
            </w:r>
            <w:r>
              <w:rPr>
                <w:rFonts w:ascii="Times New Roman" w:hAnsi="Times New Roman"/>
                <w:sz w:val="22"/>
                <w:szCs w:val="22"/>
              </w:rPr>
              <w:t>2023-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April </w:t>
            </w:r>
            <w:r>
              <w:rPr>
                <w:rFonts w:ascii="Times New Roman" w:hAnsi="Times New Roman"/>
                <w:sz w:val="22"/>
                <w:szCs w:val="22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6DC46A14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Chisinau</w:t>
            </w:r>
          </w:p>
        </w:tc>
        <w:tc>
          <w:tcPr>
            <w:tcW w:w="1701" w:type="dxa"/>
            <w:shd w:val="clear" w:color="auto" w:fill="auto"/>
          </w:tcPr>
          <w:p w14:paraId="51C64F7E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IP NOIEP,</w:t>
            </w:r>
          </w:p>
          <w:p w14:paraId="0894CA37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Ministry of Environment</w:t>
            </w:r>
          </w:p>
        </w:tc>
        <w:tc>
          <w:tcPr>
            <w:tcW w:w="1559" w:type="dxa"/>
            <w:shd w:val="clear" w:color="auto" w:fill="auto"/>
          </w:tcPr>
          <w:p w14:paraId="57ACD1EA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Assistant Manager</w:t>
            </w:r>
          </w:p>
          <w:p w14:paraId="4048E83D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en-GB"/>
              </w:rPr>
              <w:t>project</w:t>
            </w:r>
            <w:r>
              <w:rPr>
                <w:bCs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Times New Roman" w:hAnsi="Times New Roman"/>
                <w:bCs/>
                <w:sz w:val="22"/>
                <w:szCs w:val="22"/>
                <w:lang w:val="en-GB"/>
              </w:rPr>
              <w:t>- PNUD-GEF Conservation and sustainable management of wetlands with focus on high-nature value areas in the Prut River basin.</w:t>
            </w:r>
          </w:p>
        </w:tc>
        <w:tc>
          <w:tcPr>
            <w:tcW w:w="3827" w:type="dxa"/>
            <w:shd w:val="clear" w:color="auto" w:fill="auto"/>
          </w:tcPr>
          <w:p w14:paraId="52CA9E9D">
            <w:pPr>
              <w:pStyle w:val="25"/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bCs/>
                <w:lang w:val="en-US"/>
              </w:rPr>
              <w:t>Activity Planning and Tracking</w:t>
            </w:r>
          </w:p>
          <w:p w14:paraId="0C6392F4">
            <w:pPr>
              <w:pStyle w:val="25"/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bCs/>
                <w:lang w:val="en-US"/>
              </w:rPr>
              <w:t>Communication and Coordination</w:t>
            </w:r>
          </w:p>
          <w:p w14:paraId="2D89734F">
            <w:pPr>
              <w:pStyle w:val="25"/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bCs/>
                <w:lang w:val="en-US"/>
              </w:rPr>
              <w:t>Reporting and Monitoring</w:t>
            </w:r>
          </w:p>
          <w:p w14:paraId="0C9E9972">
            <w:pPr>
              <w:pStyle w:val="25"/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  <w:lang w:val="en-US"/>
              </w:rPr>
            </w:pPr>
            <w:r>
              <w:rPr>
                <w:rFonts w:eastAsia="Times New Roman"/>
                <w:bCs/>
                <w:lang w:val="en-US"/>
              </w:rPr>
              <w:t>Resource Management</w:t>
            </w:r>
            <w:r>
              <w:rPr>
                <w:rFonts w:eastAsia="Times New Roman"/>
                <w:lang w:val="en-US"/>
              </w:rPr>
              <w:t>.</w:t>
            </w:r>
          </w:p>
          <w:p w14:paraId="1D641689">
            <w:pPr>
              <w:pStyle w:val="25"/>
              <w:numPr>
                <w:ilvl w:val="0"/>
                <w:numId w:val="2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  <w:bCs/>
              </w:rPr>
              <w:t>Logistical Support</w:t>
            </w:r>
          </w:p>
          <w:p w14:paraId="3D27F1E8">
            <w:pPr>
              <w:rPr>
                <w:rFonts w:eastAsiaTheme="minorHAnsi"/>
                <w:lang w:val="en-US"/>
              </w:rPr>
            </w:pPr>
          </w:p>
          <w:p w14:paraId="25ADF11D">
            <w:pPr>
              <w:jc w:val="both"/>
              <w:rPr>
                <w:b/>
                <w:bCs/>
                <w:sz w:val="22"/>
                <w:szCs w:val="22"/>
                <w:lang w:val="en-GB"/>
              </w:rPr>
            </w:pPr>
          </w:p>
        </w:tc>
      </w:tr>
      <w:tr w14:paraId="1BCB050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3" w:hRule="atLeast"/>
        </w:trPr>
        <w:tc>
          <w:tcPr>
            <w:tcW w:w="1384" w:type="dxa"/>
            <w:shd w:val="clear" w:color="auto" w:fill="auto"/>
          </w:tcPr>
          <w:p w14:paraId="08DE3551">
            <w:pPr>
              <w:pStyle w:val="15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June </w:t>
            </w:r>
          </w:p>
          <w:p w14:paraId="7B1318AA">
            <w:pPr>
              <w:pStyle w:val="15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2022-</w:t>
            </w:r>
            <w:r>
              <w:t xml:space="preserve"> </w:t>
            </w:r>
            <w:r>
              <w:rPr>
                <w:rStyle w:val="16"/>
                <w:rFonts w:ascii="Times New Roman" w:hAnsi="Times New Roman"/>
                <w:b w:val="0"/>
                <w:sz w:val="22"/>
                <w:szCs w:val="22"/>
              </w:rPr>
              <w:t>January</w:t>
            </w:r>
            <w:r>
              <w:rPr>
                <w:rStyle w:val="16"/>
                <w:rFonts w:ascii="Times New Roman" w:hAnsi="Times New Roman"/>
                <w:b w:val="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541F64CC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Chisinau</w:t>
            </w:r>
          </w:p>
        </w:tc>
        <w:tc>
          <w:tcPr>
            <w:tcW w:w="1701" w:type="dxa"/>
            <w:shd w:val="clear" w:color="auto" w:fill="auto"/>
          </w:tcPr>
          <w:p w14:paraId="71779730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Municipal Enterprise “Association for Green Space Management”</w:t>
            </w:r>
          </w:p>
        </w:tc>
        <w:tc>
          <w:tcPr>
            <w:tcW w:w="1559" w:type="dxa"/>
            <w:shd w:val="clear" w:color="auto" w:fill="auto"/>
          </w:tcPr>
          <w:p w14:paraId="40611A9E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Interim Director</w:t>
            </w:r>
          </w:p>
        </w:tc>
        <w:tc>
          <w:tcPr>
            <w:tcW w:w="3827" w:type="dxa"/>
            <w:shd w:val="clear" w:color="auto" w:fill="auto"/>
          </w:tcPr>
          <w:p w14:paraId="60D86893">
            <w:pPr>
              <w:pStyle w:val="14"/>
              <w:spacing w:before="0" w:beforeAutospacing="0" w:after="0" w:afterAutospacing="0"/>
              <w:rPr>
                <w:b w:val="0"/>
                <w:sz w:val="22"/>
                <w:szCs w:val="22"/>
                <w:lang w:val="en-US"/>
              </w:rPr>
            </w:pPr>
            <w:r>
              <w:rPr>
                <w:b w:val="0"/>
                <w:sz w:val="22"/>
                <w:szCs w:val="22"/>
                <w:lang w:val="en-US"/>
              </w:rPr>
              <w:t>-Develops and implements the enterprise’s strategic plans for the maintenance, rehabilitation, and expansion of public green spaces within the municipality.</w:t>
            </w:r>
          </w:p>
          <w:p w14:paraId="1ABC050C">
            <w:pPr>
              <w:pStyle w:val="14"/>
              <w:spacing w:before="0" w:beforeAutospacing="0" w:after="0" w:afterAutospacing="0"/>
              <w:rPr>
                <w:b w:val="0"/>
                <w:sz w:val="22"/>
                <w:szCs w:val="22"/>
                <w:lang w:val="en-US"/>
              </w:rPr>
            </w:pPr>
            <w:r>
              <w:rPr>
                <w:b w:val="0"/>
                <w:sz w:val="22"/>
                <w:szCs w:val="22"/>
                <w:lang w:val="en-US"/>
              </w:rPr>
              <w:t>-Oversees the planning, execution, and monitoring of landscaping, afforestation, and seasonal planting programmes.</w:t>
            </w:r>
          </w:p>
          <w:p w14:paraId="31811585">
            <w:pPr>
              <w:pStyle w:val="14"/>
              <w:spacing w:before="0" w:beforeAutospacing="0" w:after="0" w:afterAutospacing="0"/>
              <w:rPr>
                <w:b w:val="0"/>
                <w:sz w:val="22"/>
                <w:szCs w:val="22"/>
                <w:lang w:val="en-US"/>
              </w:rPr>
            </w:pPr>
            <w:r>
              <w:rPr>
                <w:b w:val="0"/>
                <w:sz w:val="22"/>
                <w:szCs w:val="22"/>
                <w:lang w:val="en-US"/>
              </w:rPr>
              <w:t>-Manages financial, material, and human resources to ensure the efficient delivery of green space maintenance services.</w:t>
            </w:r>
          </w:p>
          <w:p w14:paraId="49F629A5">
            <w:pPr>
              <w:pStyle w:val="14"/>
              <w:spacing w:before="0" w:beforeAutospacing="0" w:after="0" w:afterAutospacing="0"/>
              <w:rPr>
                <w:b w:val="0"/>
                <w:sz w:val="22"/>
                <w:szCs w:val="22"/>
                <w:lang w:val="en-US"/>
              </w:rPr>
            </w:pPr>
            <w:r>
              <w:rPr>
                <w:b w:val="0"/>
                <w:sz w:val="22"/>
                <w:szCs w:val="22"/>
                <w:lang w:val="en-US"/>
              </w:rPr>
              <w:t>-Ensures the application of best practices in biodiversity conservation, urban forestry, and environmental sustainability.</w:t>
            </w:r>
          </w:p>
          <w:p w14:paraId="7A2D9A8E">
            <w:pPr>
              <w:pStyle w:val="14"/>
              <w:spacing w:before="0" w:beforeAutospacing="0" w:after="0" w:afterAutospacing="0"/>
              <w:rPr>
                <w:b w:val="0"/>
                <w:sz w:val="22"/>
                <w:szCs w:val="22"/>
                <w:lang w:val="en-US"/>
              </w:rPr>
            </w:pPr>
            <w:r>
              <w:rPr>
                <w:b w:val="0"/>
                <w:sz w:val="22"/>
                <w:szCs w:val="22"/>
                <w:lang w:val="en-US"/>
              </w:rPr>
              <w:t>-Coordinates the protection and rehabilitation of ornamental plant species, lawns, trees, and shrubs in public areas.</w:t>
            </w:r>
          </w:p>
          <w:p w14:paraId="5AA3B27F">
            <w:pPr>
              <w:pStyle w:val="14"/>
              <w:spacing w:before="0" w:beforeAutospacing="0" w:after="0" w:afterAutospacing="0"/>
              <w:rPr>
                <w:b w:val="0"/>
                <w:sz w:val="22"/>
                <w:szCs w:val="22"/>
                <w:lang w:val="en-US"/>
              </w:rPr>
            </w:pPr>
            <w:r>
              <w:rPr>
                <w:b w:val="0"/>
                <w:sz w:val="22"/>
                <w:szCs w:val="22"/>
                <w:lang w:val="en-US"/>
              </w:rPr>
              <w:t>-Maintains close collaboration with municipal authorities, urban planners, and environmental NGOs.</w:t>
            </w:r>
          </w:p>
          <w:p w14:paraId="6F41AAA4">
            <w:pPr>
              <w:pStyle w:val="14"/>
              <w:spacing w:before="0" w:beforeAutospacing="0" w:after="0" w:afterAutospacing="0"/>
              <w:rPr>
                <w:b w:val="0"/>
                <w:sz w:val="22"/>
                <w:szCs w:val="22"/>
                <w:lang w:val="en-US"/>
              </w:rPr>
            </w:pPr>
            <w:r>
              <w:rPr>
                <w:b w:val="0"/>
                <w:sz w:val="22"/>
                <w:szCs w:val="22"/>
                <w:lang w:val="en-US"/>
              </w:rPr>
              <w:t>-Monitors the performance of field teams and contractors, ensuring quality standards in maintenance works.</w:t>
            </w:r>
          </w:p>
        </w:tc>
      </w:tr>
      <w:tr w14:paraId="636988E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auto"/>
          </w:tcPr>
          <w:p w14:paraId="24387417">
            <w:pPr>
              <w:pStyle w:val="15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July </w:t>
            </w:r>
            <w:r>
              <w:rPr>
                <w:rFonts w:ascii="Times New Roman" w:hAnsi="Times New Roman"/>
                <w:sz w:val="22"/>
                <w:szCs w:val="22"/>
              </w:rPr>
              <w:t>2021-</w:t>
            </w:r>
          </w:p>
          <w:p w14:paraId="67957F4C">
            <w:pPr>
              <w:pStyle w:val="15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June </w:t>
            </w: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13FEEBE9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Chisinau</w:t>
            </w:r>
          </w:p>
        </w:tc>
        <w:tc>
          <w:tcPr>
            <w:tcW w:w="1701" w:type="dxa"/>
            <w:shd w:val="clear" w:color="auto" w:fill="auto"/>
          </w:tcPr>
          <w:p w14:paraId="751EEBA9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</w:pPr>
            <w:r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Agency "Moldsilva "</w:t>
            </w:r>
          </w:p>
        </w:tc>
        <w:tc>
          <w:tcPr>
            <w:tcW w:w="1559" w:type="dxa"/>
            <w:shd w:val="clear" w:color="auto" w:fill="auto"/>
          </w:tcPr>
          <w:p w14:paraId="32D677FF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Deputy Director</w:t>
            </w:r>
          </w:p>
        </w:tc>
        <w:tc>
          <w:tcPr>
            <w:tcW w:w="3827" w:type="dxa"/>
            <w:shd w:val="clear" w:color="auto" w:fill="auto"/>
          </w:tcPr>
          <w:p w14:paraId="6F64A660">
            <w:pPr>
              <w:pStyle w:val="14"/>
              <w:spacing w:before="0" w:beforeAutospacing="0" w:after="0" w:afterAutospacing="0"/>
              <w:jc w:val="both"/>
              <w:rPr>
                <w:b w:val="0"/>
                <w:lang w:val="en-US"/>
              </w:rPr>
            </w:pPr>
            <w:r>
              <w:rPr>
                <w:rFonts w:hAnsi="Symbol"/>
                <w:lang w:val="en-US"/>
              </w:rPr>
              <w:t>-</w:t>
            </w:r>
            <w:r>
              <w:rPr>
                <w:rStyle w:val="16"/>
                <w:b w:val="0"/>
                <w:lang w:val="en-US"/>
              </w:rPr>
              <w:t>Implementation of State Policy in Forestry and Game Management</w:t>
            </w:r>
          </w:p>
          <w:p w14:paraId="09CE8FAA">
            <w:pPr>
              <w:pStyle w:val="14"/>
              <w:spacing w:before="0" w:beforeAutospacing="0" w:after="0" w:afterAutospacing="0"/>
              <w:jc w:val="both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Ensures the application of national policies within the forestry and game management sector, contributing to the sustainable development of the forest industry.</w:t>
            </w:r>
          </w:p>
          <w:p w14:paraId="1DB2A07C">
            <w:pPr>
              <w:pStyle w:val="14"/>
              <w:spacing w:before="0" w:beforeAutospacing="0" w:after="0" w:afterAutospacing="0"/>
              <w:jc w:val="both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-Coordinates the substantiation and preparation of the overall budget for the forestry sector.</w:t>
            </w:r>
          </w:p>
          <w:p w14:paraId="19820950">
            <w:pPr>
              <w:pStyle w:val="14"/>
              <w:spacing w:before="0" w:beforeAutospacing="0" w:after="0" w:afterAutospacing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-Ensures the updating of the budget in accordance with deviations, changes in exploitation/production programmes, and monitors budget execution.</w:t>
            </w:r>
          </w:p>
          <w:p w14:paraId="1FD3444D">
            <w:pPr>
              <w:pStyle w:val="14"/>
              <w:spacing w:before="0" w:beforeAutospacing="0" w:after="0" w:afterAutospacing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-Coordinates the development, updating, and implementation of the pricing methodology for forest and non-wood forest products.</w:t>
            </w:r>
          </w:p>
          <w:p w14:paraId="43A29CFD">
            <w:pPr>
              <w:pStyle w:val="14"/>
              <w:spacing w:before="0" w:beforeAutospacing="0" w:after="0" w:afterAutospacing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-Coordinates and monitors the implementation of forest extension and rehabilitation programmes.</w:t>
            </w:r>
          </w:p>
          <w:p w14:paraId="07B4252E">
            <w:pPr>
              <w:pStyle w:val="14"/>
              <w:spacing w:before="0" w:beforeAutospacing="0" w:after="0" w:afterAutospacing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-Ensures legal and technical compliance of afforestation and reforestation works.</w:t>
            </w:r>
          </w:p>
          <w:p w14:paraId="4106CAFA">
            <w:pPr>
              <w:pStyle w:val="14"/>
              <w:spacing w:before="0" w:beforeAutospacing="0" w:after="0" w:afterAutospacing="0"/>
              <w:rPr>
                <w:b w:val="0"/>
                <w:lang w:val="en-US"/>
              </w:rPr>
            </w:pPr>
            <w:r>
              <w:rPr>
                <w:b w:val="0"/>
                <w:lang w:val="en-US"/>
              </w:rPr>
              <w:t>-Initiates legislative proposals and public policies aimed at conserving and ensuring the sustainable use of the national forest fund.</w:t>
            </w:r>
          </w:p>
        </w:tc>
      </w:tr>
      <w:tr w14:paraId="5EF2666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auto"/>
          </w:tcPr>
          <w:p w14:paraId="19601262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September </w:t>
            </w:r>
            <w:r>
              <w:rPr>
                <w:rFonts w:ascii="Times New Roman" w:hAnsi="Times New Roman"/>
                <w:sz w:val="22"/>
                <w:szCs w:val="22"/>
              </w:rPr>
              <w:t>2020-</w:t>
            </w:r>
          </w:p>
          <w:p w14:paraId="1BB4E149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July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2021</w:t>
            </w:r>
          </w:p>
        </w:tc>
        <w:tc>
          <w:tcPr>
            <w:tcW w:w="1134" w:type="dxa"/>
            <w:shd w:val="clear" w:color="auto" w:fill="auto"/>
          </w:tcPr>
          <w:p w14:paraId="0013485D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Chisinau</w:t>
            </w:r>
          </w:p>
        </w:tc>
        <w:tc>
          <w:tcPr>
            <w:tcW w:w="1701" w:type="dxa"/>
            <w:shd w:val="clear" w:color="auto" w:fill="auto"/>
          </w:tcPr>
          <w:p w14:paraId="66E0A23C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Agency "Moldsilva "</w:t>
            </w:r>
          </w:p>
        </w:tc>
        <w:tc>
          <w:tcPr>
            <w:tcW w:w="1559" w:type="dxa"/>
            <w:shd w:val="clear" w:color="auto" w:fill="auto"/>
          </w:tcPr>
          <w:p w14:paraId="312E14B3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Deputy head of the Directorate of forestry, protected areas, forest regeneration</w:t>
            </w:r>
          </w:p>
        </w:tc>
        <w:tc>
          <w:tcPr>
            <w:tcW w:w="3827" w:type="dxa"/>
            <w:shd w:val="clear" w:color="auto" w:fill="auto"/>
          </w:tcPr>
          <w:p w14:paraId="5F910714">
            <w:pPr>
              <w:tabs>
                <w:tab w:val="left" w:pos="-720"/>
              </w:tabs>
              <w:jc w:val="both"/>
              <w:rPr>
                <w:b/>
                <w:sz w:val="22"/>
                <w:szCs w:val="22"/>
                <w:lang w:val="en-GB" w:eastAsia="fr-FR"/>
              </w:rPr>
            </w:pPr>
            <w:r>
              <w:rPr>
                <w:sz w:val="22"/>
                <w:szCs w:val="22"/>
                <w:lang w:val="en-GB" w:eastAsia="fr-FR"/>
              </w:rPr>
              <w:t>Participation in the process of elaboration and promotion of policy documents in the field of protected natural areas, regeneration and forest extension;</w:t>
            </w:r>
          </w:p>
          <w:p w14:paraId="4B8028C8">
            <w:pPr>
              <w:tabs>
                <w:tab w:val="left" w:pos="-720"/>
              </w:tabs>
              <w:jc w:val="both"/>
              <w:rPr>
                <w:b/>
                <w:sz w:val="22"/>
                <w:szCs w:val="22"/>
                <w:lang w:val="en-GB" w:eastAsia="fr-FR"/>
              </w:rPr>
            </w:pPr>
            <w:r>
              <w:rPr>
                <w:sz w:val="22"/>
                <w:szCs w:val="22"/>
                <w:lang w:val="en-GB" w:eastAsia="fr-FR"/>
              </w:rPr>
              <w:t>- Monitoring the implementation of legislative and normative acts regarding the forest and hunting fund;</w:t>
            </w:r>
          </w:p>
          <w:p w14:paraId="1931F51F">
            <w:pPr>
              <w:tabs>
                <w:tab w:val="left" w:pos="-720"/>
              </w:tabs>
              <w:jc w:val="both"/>
              <w:rPr>
                <w:b/>
                <w:sz w:val="22"/>
                <w:szCs w:val="22"/>
                <w:lang w:val="en-GB" w:eastAsia="fr-FR"/>
              </w:rPr>
            </w:pPr>
            <w:r>
              <w:rPr>
                <w:sz w:val="22"/>
                <w:szCs w:val="22"/>
                <w:lang w:val="en-GB" w:eastAsia="fr-FR"/>
              </w:rPr>
              <w:t>- Monitoring the observance of the rules of rational use of forests, forestry works, fund administration subordinate forester;</w:t>
            </w:r>
          </w:p>
          <w:p w14:paraId="3F36A749">
            <w:pPr>
              <w:tabs>
                <w:tab w:val="left" w:pos="-720"/>
              </w:tabs>
              <w:jc w:val="both"/>
              <w:rPr>
                <w:b/>
                <w:sz w:val="22"/>
                <w:szCs w:val="22"/>
                <w:lang w:val="en-GB" w:eastAsia="fr-FR"/>
              </w:rPr>
            </w:pPr>
            <w:r>
              <w:rPr>
                <w:sz w:val="22"/>
                <w:szCs w:val="22"/>
                <w:lang w:val="en-GB" w:eastAsia="fr-FR"/>
              </w:rPr>
              <w:t>- Organizing the control over the rational capitalization of the wood products of the forest;</w:t>
            </w:r>
          </w:p>
          <w:p w14:paraId="5744943C">
            <w:pPr>
              <w:tabs>
                <w:tab w:val="left" w:pos="-720"/>
              </w:tabs>
              <w:jc w:val="both"/>
              <w:rPr>
                <w:b/>
                <w:sz w:val="22"/>
                <w:szCs w:val="22"/>
                <w:lang w:val="en-GB" w:eastAsia="fr-FR"/>
              </w:rPr>
            </w:pPr>
            <w:r>
              <w:rPr>
                <w:sz w:val="22"/>
                <w:szCs w:val="22"/>
                <w:lang w:val="en-GB" w:eastAsia="fr-FR"/>
              </w:rPr>
              <w:t>-Organizing the control over the execution of the regeneration works of the forest.</w:t>
            </w:r>
          </w:p>
        </w:tc>
      </w:tr>
      <w:tr w14:paraId="3F96384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auto"/>
          </w:tcPr>
          <w:p w14:paraId="270F3493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October </w:t>
            </w:r>
            <w:r>
              <w:rPr>
                <w:rFonts w:ascii="Times New Roman" w:hAnsi="Times New Roman"/>
                <w:sz w:val="22"/>
                <w:szCs w:val="22"/>
              </w:rPr>
              <w:t>2014-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September</w:t>
            </w:r>
          </w:p>
          <w:p w14:paraId="5B930F8C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1134" w:type="dxa"/>
            <w:shd w:val="clear" w:color="auto" w:fill="auto"/>
          </w:tcPr>
          <w:p w14:paraId="26520E88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Chisinau</w:t>
            </w:r>
          </w:p>
        </w:tc>
        <w:tc>
          <w:tcPr>
            <w:tcW w:w="1701" w:type="dxa"/>
            <w:shd w:val="clear" w:color="auto" w:fill="auto"/>
          </w:tcPr>
          <w:p w14:paraId="522D2863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Agency "Moldsilva"</w:t>
            </w:r>
          </w:p>
        </w:tc>
        <w:tc>
          <w:tcPr>
            <w:tcW w:w="1559" w:type="dxa"/>
            <w:shd w:val="clear" w:color="auto" w:fill="auto"/>
          </w:tcPr>
          <w:p w14:paraId="7A3C2E5B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rStyle w:val="16"/>
                <w:rFonts w:ascii="Times New Roman" w:hAnsi="Times New Roman"/>
                <w:b w:val="0"/>
                <w:sz w:val="22"/>
                <w:szCs w:val="22"/>
                <w:lang w:val="en-US"/>
              </w:rPr>
              <w:t>Lead Specialist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, of the Guard Service, Forest Protection and Game Management</w:t>
            </w:r>
          </w:p>
        </w:tc>
        <w:tc>
          <w:tcPr>
            <w:tcW w:w="3827" w:type="dxa"/>
            <w:shd w:val="clear" w:color="auto" w:fill="auto"/>
          </w:tcPr>
          <w:p w14:paraId="0C6F4832">
            <w:pPr>
              <w:numPr>
                <w:ilvl w:val="0"/>
                <w:numId w:val="3"/>
              </w:numPr>
              <w:tabs>
                <w:tab w:val="left" w:pos="-720"/>
              </w:tabs>
              <w:ind w:left="76" w:hanging="141"/>
              <w:jc w:val="both"/>
              <w:rPr>
                <w:b/>
                <w:sz w:val="22"/>
                <w:szCs w:val="22"/>
                <w:lang w:val="en-GB" w:eastAsia="fr-FR"/>
              </w:rPr>
            </w:pPr>
            <w:r>
              <w:rPr>
                <w:sz w:val="22"/>
                <w:szCs w:val="22"/>
                <w:lang w:val="en-GB" w:eastAsia="fr-FR"/>
              </w:rPr>
              <w:t>Leadership and organizing, coordinating and controlling, the guarding activities in the state forestry fund.</w:t>
            </w:r>
          </w:p>
          <w:p w14:paraId="57E235A2">
            <w:pPr>
              <w:numPr>
                <w:ilvl w:val="0"/>
                <w:numId w:val="3"/>
              </w:numPr>
              <w:tabs>
                <w:tab w:val="left" w:pos="-720"/>
              </w:tabs>
              <w:ind w:left="76" w:hanging="141"/>
              <w:jc w:val="both"/>
              <w:rPr>
                <w:b/>
                <w:sz w:val="22"/>
                <w:szCs w:val="22"/>
                <w:lang w:val="en-GB" w:eastAsia="fr-FR"/>
              </w:rPr>
            </w:pPr>
            <w:r>
              <w:rPr>
                <w:sz w:val="22"/>
                <w:szCs w:val="22"/>
                <w:lang w:val="en-GB" w:eastAsia="fr-FR"/>
              </w:rPr>
              <w:t>Provides support and consultancy in the elaboration of plans for the protection of the state forestry fund against fires, pests.</w:t>
            </w:r>
          </w:p>
        </w:tc>
      </w:tr>
      <w:tr w14:paraId="367DBA1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auto"/>
          </w:tcPr>
          <w:p w14:paraId="127AA4A1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January </w:t>
            </w:r>
            <w:r>
              <w:rPr>
                <w:rFonts w:ascii="Times New Roman" w:hAnsi="Times New Roman"/>
                <w:sz w:val="22"/>
                <w:szCs w:val="22"/>
              </w:rPr>
              <w:t>2012-</w:t>
            </w:r>
          </w:p>
          <w:p w14:paraId="79268D5C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Octomber </w:t>
            </w:r>
            <w:r>
              <w:rPr>
                <w:rFonts w:ascii="Times New Roman" w:hAnsi="Times New Roman"/>
                <w:sz w:val="22"/>
                <w:szCs w:val="22"/>
              </w:rPr>
              <w:t>2014</w:t>
            </w:r>
          </w:p>
        </w:tc>
        <w:tc>
          <w:tcPr>
            <w:tcW w:w="1134" w:type="dxa"/>
            <w:shd w:val="clear" w:color="auto" w:fill="auto"/>
          </w:tcPr>
          <w:p w14:paraId="4583393F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Chisinau</w:t>
            </w:r>
          </w:p>
        </w:tc>
        <w:tc>
          <w:tcPr>
            <w:tcW w:w="1701" w:type="dxa"/>
            <w:shd w:val="clear" w:color="auto" w:fill="auto"/>
          </w:tcPr>
          <w:p w14:paraId="30EFE46C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Governmental Agency  "Moldsilva"</w:t>
            </w:r>
          </w:p>
        </w:tc>
        <w:tc>
          <w:tcPr>
            <w:tcW w:w="1559" w:type="dxa"/>
            <w:shd w:val="clear" w:color="auto" w:fill="auto"/>
          </w:tcPr>
          <w:p w14:paraId="0F3E1080">
            <w:pPr>
              <w:pStyle w:val="15"/>
              <w:jc w:val="center"/>
              <w:rPr>
                <w:rFonts w:ascii="Times New Roman" w:hAnsi="Times New Roman"/>
                <w:bCs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  <w:t xml:space="preserve">Protected Area Consultant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br w:type="textWrapping"/>
            </w:r>
            <w:r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  <w:t xml:space="preserve">Division of Forestry, Protected Area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br w:type="textWrapping"/>
            </w:r>
            <w:r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  <w:t>and Game Management</w:t>
            </w:r>
          </w:p>
        </w:tc>
        <w:tc>
          <w:tcPr>
            <w:tcW w:w="3827" w:type="dxa"/>
            <w:shd w:val="clear" w:color="auto" w:fill="auto"/>
          </w:tcPr>
          <w:p w14:paraId="4779B087">
            <w:pPr>
              <w:numPr>
                <w:ilvl w:val="0"/>
                <w:numId w:val="3"/>
              </w:numPr>
              <w:tabs>
                <w:tab w:val="left" w:pos="-720"/>
              </w:tabs>
              <w:ind w:left="76" w:hanging="141"/>
              <w:jc w:val="both"/>
              <w:rPr>
                <w:b/>
                <w:sz w:val="22"/>
                <w:szCs w:val="22"/>
                <w:lang w:val="en-GB" w:eastAsia="fr-FR"/>
              </w:rPr>
            </w:pPr>
            <w:r>
              <w:rPr>
                <w:sz w:val="22"/>
                <w:szCs w:val="22"/>
                <w:lang w:val="en-GB" w:eastAsia="fr-FR"/>
              </w:rPr>
              <w:t>Control and monitoring status of protected areas;</w:t>
            </w:r>
          </w:p>
          <w:p w14:paraId="399154F9">
            <w:pPr>
              <w:numPr>
                <w:ilvl w:val="0"/>
                <w:numId w:val="3"/>
              </w:numPr>
              <w:tabs>
                <w:tab w:val="left" w:pos="-720"/>
              </w:tabs>
              <w:ind w:left="76" w:hanging="141"/>
              <w:jc w:val="both"/>
              <w:rPr>
                <w:b/>
                <w:sz w:val="22"/>
                <w:szCs w:val="22"/>
                <w:lang w:val="en-GB" w:eastAsia="fr-FR"/>
              </w:rPr>
            </w:pPr>
            <w:r>
              <w:rPr>
                <w:sz w:val="22"/>
                <w:szCs w:val="22"/>
                <w:lang w:val="en-GB" w:eastAsia="fr-FR"/>
              </w:rPr>
              <w:t>Develop legislative framework on protected areas;</w:t>
            </w:r>
          </w:p>
          <w:p w14:paraId="34BD3AD0">
            <w:pPr>
              <w:numPr>
                <w:ilvl w:val="0"/>
                <w:numId w:val="3"/>
              </w:numPr>
              <w:tabs>
                <w:tab w:val="left" w:pos="-720"/>
              </w:tabs>
              <w:ind w:left="76" w:hanging="141"/>
              <w:jc w:val="both"/>
              <w:rPr>
                <w:b/>
                <w:sz w:val="22"/>
                <w:szCs w:val="22"/>
                <w:lang w:val="en-GB" w:eastAsia="fr-FR"/>
              </w:rPr>
            </w:pPr>
            <w:r>
              <w:rPr>
                <w:sz w:val="22"/>
                <w:szCs w:val="22"/>
                <w:lang w:val="en-GB" w:eastAsia="fr-FR"/>
              </w:rPr>
              <w:t>Monitoring of compliance with the legislation in protected areas and biodiversity conservation</w:t>
            </w:r>
          </w:p>
          <w:p w14:paraId="3C60A249">
            <w:pPr>
              <w:numPr>
                <w:ilvl w:val="0"/>
                <w:numId w:val="3"/>
              </w:numPr>
              <w:tabs>
                <w:tab w:val="left" w:pos="-720"/>
              </w:tabs>
              <w:ind w:left="76" w:hanging="141"/>
              <w:jc w:val="both"/>
              <w:rPr>
                <w:b/>
                <w:sz w:val="22"/>
                <w:szCs w:val="22"/>
                <w:lang w:val="en-GB" w:eastAsia="fr-FR"/>
              </w:rPr>
            </w:pPr>
            <w:r>
              <w:rPr>
                <w:sz w:val="22"/>
                <w:szCs w:val="22"/>
                <w:lang w:val="en-GB" w:eastAsia="fr-FR"/>
              </w:rPr>
              <w:t>Organizational and methodological assistance in the drafting and approval of the scientific activity in protected areas</w:t>
            </w:r>
          </w:p>
        </w:tc>
      </w:tr>
      <w:bookmarkEnd w:id="0"/>
      <w:tr w14:paraId="1F2935F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auto"/>
          </w:tcPr>
          <w:p w14:paraId="012E39BE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March </w:t>
            </w:r>
            <w:r>
              <w:rPr>
                <w:rFonts w:ascii="Times New Roman" w:hAnsi="Times New Roman"/>
                <w:sz w:val="22"/>
                <w:szCs w:val="22"/>
              </w:rPr>
              <w:t>2009-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January </w:t>
            </w:r>
            <w:r>
              <w:rPr>
                <w:rFonts w:ascii="Times New Roman" w:hAnsi="Times New Roman"/>
                <w:sz w:val="22"/>
                <w:szCs w:val="22"/>
              </w:rPr>
              <w:t>2012</w:t>
            </w:r>
          </w:p>
        </w:tc>
        <w:tc>
          <w:tcPr>
            <w:tcW w:w="1134" w:type="dxa"/>
            <w:shd w:val="clear" w:color="auto" w:fill="auto"/>
          </w:tcPr>
          <w:p w14:paraId="778A7CDC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Chisinau</w:t>
            </w:r>
          </w:p>
        </w:tc>
        <w:tc>
          <w:tcPr>
            <w:tcW w:w="1701" w:type="dxa"/>
            <w:shd w:val="clear" w:color="auto" w:fill="auto"/>
          </w:tcPr>
          <w:p w14:paraId="7D6ABC4C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ULIM</w:t>
            </w:r>
          </w:p>
          <w:p w14:paraId="094C3CD9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(Free International University of Moldova)</w:t>
            </w:r>
          </w:p>
        </w:tc>
        <w:tc>
          <w:tcPr>
            <w:tcW w:w="1559" w:type="dxa"/>
            <w:shd w:val="clear" w:color="auto" w:fill="auto"/>
          </w:tcPr>
          <w:p w14:paraId="55355BAA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Head of department,</w:t>
            </w:r>
            <w:r>
              <w:rPr>
                <w:rFonts w:ascii="Times New Roman" w:hAnsi="Times New Roman"/>
                <w:b/>
                <w:bCs/>
                <w:color w:val="008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Forestry and Public Garden,</w:t>
            </w:r>
          </w:p>
          <w:p w14:paraId="36E0C770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Faculty of Biomedicine and Ecology</w:t>
            </w:r>
          </w:p>
        </w:tc>
        <w:tc>
          <w:tcPr>
            <w:tcW w:w="3827" w:type="dxa"/>
            <w:shd w:val="clear" w:color="auto" w:fill="auto"/>
          </w:tcPr>
          <w:p w14:paraId="25895741">
            <w:pPr>
              <w:numPr>
                <w:ilvl w:val="0"/>
                <w:numId w:val="3"/>
              </w:numPr>
              <w:tabs>
                <w:tab w:val="left" w:pos="-720"/>
              </w:tabs>
              <w:ind w:left="218" w:hanging="142"/>
              <w:rPr>
                <w:b/>
                <w:sz w:val="22"/>
                <w:szCs w:val="22"/>
                <w:lang w:val="en-GB" w:eastAsia="fr-FR"/>
              </w:rPr>
            </w:pPr>
            <w:r>
              <w:rPr>
                <w:sz w:val="22"/>
                <w:szCs w:val="22"/>
                <w:lang w:val="en-GB" w:eastAsia="fr-FR"/>
              </w:rPr>
              <w:t>Leadership and organizing of study programs;</w:t>
            </w:r>
          </w:p>
          <w:p w14:paraId="23F80AF2">
            <w:pPr>
              <w:numPr>
                <w:ilvl w:val="0"/>
                <w:numId w:val="3"/>
              </w:numPr>
              <w:tabs>
                <w:tab w:val="left" w:pos="-720"/>
              </w:tabs>
              <w:ind w:left="218" w:hanging="218"/>
              <w:rPr>
                <w:b/>
                <w:sz w:val="22"/>
                <w:szCs w:val="22"/>
                <w:lang w:val="en-GB" w:eastAsia="fr-FR"/>
              </w:rPr>
            </w:pPr>
            <w:r>
              <w:rPr>
                <w:sz w:val="22"/>
                <w:szCs w:val="22"/>
                <w:lang w:val="en-GB" w:eastAsia="fr-FR"/>
              </w:rPr>
              <w:t>Scientific activities</w:t>
            </w:r>
          </w:p>
        </w:tc>
      </w:tr>
      <w:tr w14:paraId="6F50C0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0" w:hRule="atLeast"/>
        </w:trPr>
        <w:tc>
          <w:tcPr>
            <w:tcW w:w="1384" w:type="dxa"/>
            <w:shd w:val="clear" w:color="auto" w:fill="auto"/>
          </w:tcPr>
          <w:p w14:paraId="6B3BBF9C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June </w:t>
            </w:r>
            <w:r>
              <w:rPr>
                <w:rFonts w:ascii="Times New Roman" w:hAnsi="Times New Roman"/>
                <w:sz w:val="22"/>
                <w:szCs w:val="22"/>
              </w:rPr>
              <w:t>2006-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March </w:t>
            </w:r>
            <w:r>
              <w:rPr>
                <w:rFonts w:ascii="Times New Roman" w:hAnsi="Times New Roman"/>
                <w:sz w:val="22"/>
                <w:szCs w:val="22"/>
              </w:rPr>
              <w:t>2009</w:t>
            </w:r>
          </w:p>
        </w:tc>
        <w:tc>
          <w:tcPr>
            <w:tcW w:w="1134" w:type="dxa"/>
            <w:shd w:val="clear" w:color="auto" w:fill="auto"/>
          </w:tcPr>
          <w:p w14:paraId="194398F6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Chisinau</w:t>
            </w:r>
          </w:p>
        </w:tc>
        <w:tc>
          <w:tcPr>
            <w:tcW w:w="1701" w:type="dxa"/>
            <w:shd w:val="clear" w:color="auto" w:fill="auto"/>
          </w:tcPr>
          <w:p w14:paraId="52032B85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Botanical Garden </w:t>
            </w:r>
          </w:p>
          <w:p w14:paraId="5827B4D5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(Institute) of the Academy of Science of Moldova,</w:t>
            </w:r>
          </w:p>
          <w:p w14:paraId="0B2CF71E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Research Laboratory of Silviculture and Geobotany</w:t>
            </w:r>
          </w:p>
        </w:tc>
        <w:tc>
          <w:tcPr>
            <w:tcW w:w="1559" w:type="dxa"/>
            <w:shd w:val="clear" w:color="auto" w:fill="auto"/>
          </w:tcPr>
          <w:p w14:paraId="33F51195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Scientific collaborator</w:t>
            </w:r>
          </w:p>
        </w:tc>
        <w:tc>
          <w:tcPr>
            <w:tcW w:w="3827" w:type="dxa"/>
            <w:shd w:val="clear" w:color="auto" w:fill="auto"/>
          </w:tcPr>
          <w:p w14:paraId="3F59D266">
            <w:pPr>
              <w:numPr>
                <w:ilvl w:val="0"/>
                <w:numId w:val="4"/>
              </w:numPr>
              <w:tabs>
                <w:tab w:val="left" w:pos="-720"/>
              </w:tabs>
              <w:ind w:left="98" w:hanging="142"/>
              <w:jc w:val="both"/>
              <w:rPr>
                <w:b/>
                <w:sz w:val="22"/>
                <w:szCs w:val="22"/>
                <w:lang w:val="en-US" w:eastAsia="fr-FR"/>
              </w:rPr>
            </w:pPr>
            <w:r>
              <w:rPr>
                <w:sz w:val="22"/>
                <w:szCs w:val="22"/>
                <w:lang w:val="en-US" w:eastAsia="fr-FR"/>
              </w:rPr>
              <w:t>Scientific research, information selection and analysis.</w:t>
            </w:r>
          </w:p>
          <w:p w14:paraId="1040B702">
            <w:pPr>
              <w:numPr>
                <w:ilvl w:val="0"/>
                <w:numId w:val="4"/>
              </w:numPr>
              <w:tabs>
                <w:tab w:val="left" w:pos="-720"/>
              </w:tabs>
              <w:ind w:left="98" w:hanging="142"/>
              <w:jc w:val="both"/>
              <w:rPr>
                <w:b/>
                <w:sz w:val="22"/>
                <w:szCs w:val="22"/>
                <w:lang w:val="en-US" w:eastAsia="fr-FR"/>
              </w:rPr>
            </w:pPr>
            <w:r>
              <w:rPr>
                <w:sz w:val="22"/>
                <w:szCs w:val="22"/>
                <w:lang w:val="en-US"/>
              </w:rPr>
              <w:t xml:space="preserve">Studying </w:t>
            </w:r>
            <w:r>
              <w:rPr>
                <w:sz w:val="22"/>
                <w:szCs w:val="22"/>
                <w:lang w:val="ro-RO"/>
              </w:rPr>
              <w:t>the floristic, phytosociology and forest stand diversity of protected areas.</w:t>
            </w:r>
          </w:p>
          <w:p w14:paraId="056B7F8C">
            <w:pPr>
              <w:jc w:val="both"/>
              <w:rPr>
                <w:b/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- Development of recommendations for</w:t>
            </w:r>
          </w:p>
          <w:p w14:paraId="57AFDDBD">
            <w:pPr>
              <w:jc w:val="both"/>
              <w:rPr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GB"/>
              </w:rPr>
              <w:t>management plans of protected areas</w:t>
            </w:r>
          </w:p>
          <w:p w14:paraId="17B16948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 w:eastAsia="fr-FR"/>
              </w:rPr>
            </w:pPr>
          </w:p>
        </w:tc>
      </w:tr>
      <w:tr w14:paraId="381A251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auto"/>
          </w:tcPr>
          <w:p w14:paraId="02722BA2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February </w:t>
            </w:r>
            <w:r>
              <w:rPr>
                <w:rFonts w:ascii="Times New Roman" w:hAnsi="Times New Roman"/>
                <w:sz w:val="22"/>
                <w:szCs w:val="22"/>
              </w:rPr>
              <w:t>2004-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</w:p>
          <w:p w14:paraId="3F29F8B1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June </w:t>
            </w:r>
            <w:r>
              <w:rPr>
                <w:rFonts w:ascii="Times New Roman" w:hAnsi="Times New Roman"/>
                <w:sz w:val="22"/>
                <w:szCs w:val="22"/>
              </w:rPr>
              <w:t>2006</w:t>
            </w:r>
          </w:p>
        </w:tc>
        <w:tc>
          <w:tcPr>
            <w:tcW w:w="1134" w:type="dxa"/>
            <w:shd w:val="clear" w:color="auto" w:fill="auto"/>
          </w:tcPr>
          <w:p w14:paraId="18822E50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Glodeni</w:t>
            </w:r>
          </w:p>
        </w:tc>
        <w:tc>
          <w:tcPr>
            <w:tcW w:w="1701" w:type="dxa"/>
            <w:shd w:val="clear" w:color="auto" w:fill="auto"/>
          </w:tcPr>
          <w:p w14:paraId="60CC56AF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Scientific Reserve "Pădurea Domnească"</w:t>
            </w:r>
          </w:p>
        </w:tc>
        <w:tc>
          <w:tcPr>
            <w:tcW w:w="1559" w:type="dxa"/>
            <w:shd w:val="clear" w:color="auto" w:fill="auto"/>
          </w:tcPr>
          <w:p w14:paraId="5B2912AB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Vice director, science</w:t>
            </w:r>
          </w:p>
        </w:tc>
        <w:tc>
          <w:tcPr>
            <w:tcW w:w="3827" w:type="dxa"/>
            <w:shd w:val="clear" w:color="auto" w:fill="auto"/>
          </w:tcPr>
          <w:p w14:paraId="077B9E37">
            <w:pPr>
              <w:tabs>
                <w:tab w:val="left" w:pos="1560"/>
                <w:tab w:val="left" w:pos="1985"/>
              </w:tabs>
              <w:jc w:val="both"/>
              <w:rPr>
                <w:b/>
                <w:sz w:val="22"/>
                <w:szCs w:val="22"/>
                <w:lang w:val="en-GB" w:eastAsia="fr-FR"/>
              </w:rPr>
            </w:pPr>
            <w:r>
              <w:rPr>
                <w:sz w:val="22"/>
                <w:szCs w:val="22"/>
                <w:lang w:val="en-GB" w:eastAsia="fr-FR"/>
              </w:rPr>
              <w:t>-Leadership and organizing of scientific activities in protected areas.</w:t>
            </w:r>
          </w:p>
        </w:tc>
      </w:tr>
      <w:tr w14:paraId="713763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  <w:shd w:val="clear" w:color="auto" w:fill="auto"/>
          </w:tcPr>
          <w:p w14:paraId="2E084882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Octomber </w:t>
            </w:r>
            <w:r>
              <w:rPr>
                <w:rFonts w:ascii="Times New Roman" w:hAnsi="Times New Roman"/>
                <w:sz w:val="22"/>
                <w:szCs w:val="22"/>
              </w:rPr>
              <w:t>2002-</w:t>
            </w:r>
          </w:p>
          <w:p w14:paraId="1C3A3AC4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February</w:t>
            </w:r>
          </w:p>
          <w:p w14:paraId="4A794C89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</w:t>
            </w:r>
          </w:p>
        </w:tc>
        <w:tc>
          <w:tcPr>
            <w:tcW w:w="1134" w:type="dxa"/>
            <w:shd w:val="clear" w:color="auto" w:fill="auto"/>
          </w:tcPr>
          <w:p w14:paraId="4A3A794E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Glodeni</w:t>
            </w:r>
          </w:p>
        </w:tc>
        <w:tc>
          <w:tcPr>
            <w:tcW w:w="1701" w:type="dxa"/>
            <w:shd w:val="clear" w:color="auto" w:fill="auto"/>
          </w:tcPr>
          <w:p w14:paraId="41BD801F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Scientific Reserve "Pădurea Domnească"</w:t>
            </w:r>
          </w:p>
        </w:tc>
        <w:tc>
          <w:tcPr>
            <w:tcW w:w="1559" w:type="dxa"/>
            <w:shd w:val="clear" w:color="auto" w:fill="auto"/>
          </w:tcPr>
          <w:p w14:paraId="79EDDEB6">
            <w:pPr>
              <w:pStyle w:val="15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Scientific collaborator</w:t>
            </w:r>
          </w:p>
        </w:tc>
        <w:tc>
          <w:tcPr>
            <w:tcW w:w="3827" w:type="dxa"/>
            <w:shd w:val="clear" w:color="auto" w:fill="auto"/>
          </w:tcPr>
          <w:p w14:paraId="1FE3BBFE">
            <w:pPr>
              <w:tabs>
                <w:tab w:val="left" w:pos="1560"/>
                <w:tab w:val="left" w:pos="1985"/>
              </w:tabs>
              <w:jc w:val="both"/>
              <w:rPr>
                <w:b/>
                <w:sz w:val="22"/>
                <w:szCs w:val="22"/>
                <w:lang w:val="en-GB" w:eastAsia="fr-FR"/>
              </w:rPr>
            </w:pPr>
            <w:r>
              <w:rPr>
                <w:sz w:val="22"/>
                <w:szCs w:val="22"/>
                <w:lang w:val="en-GB"/>
              </w:rPr>
              <w:t xml:space="preserve">- </w:t>
            </w:r>
            <w:r>
              <w:rPr>
                <w:sz w:val="22"/>
                <w:szCs w:val="22"/>
                <w:lang w:val="en-GB" w:eastAsia="fr-FR"/>
              </w:rPr>
              <w:t>Scientific research,</w:t>
            </w:r>
          </w:p>
          <w:p w14:paraId="7939B76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GB" w:eastAsia="en-US"/>
              </w:rPr>
            </w:pPr>
            <w:r>
              <w:rPr>
                <w:sz w:val="22"/>
                <w:szCs w:val="22"/>
                <w:lang w:val="en-GB" w:eastAsia="fr-FR"/>
              </w:rPr>
              <w:t>- Analysis of the experiments</w:t>
            </w:r>
            <w:r>
              <w:rPr>
                <w:bCs/>
                <w:sz w:val="22"/>
                <w:szCs w:val="22"/>
                <w:lang w:val="en-GB" w:eastAsia="fr-FR"/>
              </w:rPr>
              <w:t>,</w:t>
            </w:r>
            <w:r>
              <w:rPr>
                <w:sz w:val="22"/>
                <w:szCs w:val="22"/>
                <w:lang w:val="en-GB" w:eastAsia="fr-FR"/>
              </w:rPr>
              <w:t xml:space="preserve"> in protected area.</w:t>
            </w:r>
          </w:p>
        </w:tc>
      </w:tr>
    </w:tbl>
    <w:p w14:paraId="5F319A67">
      <w:pPr>
        <w:jc w:val="both"/>
        <w:rPr>
          <w:b/>
          <w:caps/>
          <w:lang w:val="ro-RO"/>
        </w:rPr>
      </w:pPr>
    </w:p>
    <w:p w14:paraId="1163CB7A">
      <w:pPr>
        <w:jc w:val="both"/>
        <w:rPr>
          <w:b/>
          <w:caps/>
          <w:lang w:val="en-US"/>
        </w:rPr>
      </w:pPr>
      <w:r>
        <w:rPr>
          <w:caps/>
          <w:lang w:val="ro-RO"/>
        </w:rPr>
        <w:t xml:space="preserve">12. </w:t>
      </w:r>
      <w:r>
        <w:rPr>
          <w:caps/>
          <w:lang w:val="en-US"/>
        </w:rPr>
        <w:t>OTHER RELEVANT INFORMATION:</w:t>
      </w:r>
    </w:p>
    <w:p w14:paraId="7F07E1BD">
      <w:pPr>
        <w:jc w:val="both"/>
        <w:rPr>
          <w:b/>
          <w:lang w:val="en-US"/>
        </w:rPr>
      </w:pPr>
      <w:r>
        <w:rPr>
          <w:caps/>
          <w:lang w:val="en-US"/>
        </w:rPr>
        <w:t xml:space="preserve"> </w:t>
      </w:r>
      <w:r>
        <w:rPr>
          <w:i/>
          <w:lang w:val="en-US"/>
        </w:rPr>
        <w:t>Projects</w:t>
      </w:r>
      <w:r>
        <w:rPr>
          <w:lang w:val="en-US"/>
        </w:rPr>
        <w:t>:</w:t>
      </w:r>
    </w:p>
    <w:p w14:paraId="2EBCA47E">
      <w:pPr>
        <w:jc w:val="both"/>
        <w:rPr>
          <w:lang w:val="en-US"/>
        </w:rPr>
      </w:pPr>
      <w:r>
        <w:rPr>
          <w:lang w:val="en-US"/>
        </w:rPr>
        <w:t>-2024-2025</w:t>
      </w:r>
      <w:r>
        <w:rPr>
          <w:bCs/>
          <w:lang w:val="en-US"/>
        </w:rPr>
        <w:t>:</w:t>
      </w:r>
      <w:r>
        <w:rPr>
          <w:lang w:val="en-US"/>
        </w:rPr>
        <w:t xml:space="preserve"> SLOVAK AID, </w:t>
      </w:r>
      <w:r>
        <w:rPr>
          <w:lang w:val="en-US" w:eastAsia="sk-SK"/>
        </w:rPr>
        <w:t>"Promotion of Sustainable Forest Management in Moldova through Innovative Methods in Afforestation"</w:t>
      </w:r>
      <w:r>
        <w:rPr>
          <w:lang w:val="en-US"/>
        </w:rPr>
        <w:t>, AO WFRM, IFRM, National Forestry Center from Zvolen, Slovakia, expert in Biodiversity and Forest Management.</w:t>
      </w:r>
    </w:p>
    <w:p w14:paraId="0B9DB545">
      <w:pPr>
        <w:rPr>
          <w:lang w:val="en-US"/>
        </w:rPr>
      </w:pPr>
      <w:r>
        <w:rPr>
          <w:lang w:val="en-US"/>
        </w:rPr>
        <w:t>-2024-2025: USDA FOREST SERVICE, Moldova Native Seedling Pilot Program, expert in Forest Management</w:t>
      </w:r>
      <w:r>
        <w:rPr>
          <w:bCs/>
          <w:lang w:val="en-US"/>
        </w:rPr>
        <w:t>.</w:t>
      </w:r>
    </w:p>
    <w:p w14:paraId="3C8FE26E">
      <w:pPr>
        <w:jc w:val="both"/>
        <w:rPr>
          <w:bCs/>
          <w:lang w:val="en-US"/>
        </w:rPr>
      </w:pPr>
      <w:r>
        <w:rPr>
          <w:lang w:val="en-US"/>
        </w:rPr>
        <w:t xml:space="preserve">-2023-2024: GEF-UNEP, </w:t>
      </w:r>
      <w:r>
        <w:rPr>
          <w:bCs/>
          <w:lang w:val="en-US"/>
        </w:rPr>
        <w:t>Global Biodiversity Framework – Early Action Support Project</w:t>
      </w:r>
      <w:r>
        <w:rPr>
          <w:lang w:val="en-US"/>
        </w:rPr>
        <w:t xml:space="preserve">, </w:t>
      </w:r>
      <w:r>
        <w:rPr>
          <w:bCs/>
          <w:lang w:val="en-US"/>
        </w:rPr>
        <w:t xml:space="preserve">national </w:t>
      </w:r>
      <w:r>
        <w:rPr>
          <w:lang w:val="en-US"/>
        </w:rPr>
        <w:t>expert in Biodiversity and Forest Management</w:t>
      </w:r>
      <w:r>
        <w:rPr>
          <w:bCs/>
          <w:lang w:val="en-US"/>
        </w:rPr>
        <w:t>.</w:t>
      </w:r>
    </w:p>
    <w:p w14:paraId="0BEDD366">
      <w:pPr>
        <w:jc w:val="both"/>
        <w:rPr>
          <w:lang w:val="en-US"/>
        </w:rPr>
      </w:pPr>
      <w:r>
        <w:rPr>
          <w:lang w:val="en-US"/>
        </w:rPr>
        <w:t>-2022-2024: SLOVAK AID, "Forestry knowledge transfer and awareness raising regarding the sustainable use of natural resources", AO WFRM, "Moldsilva" Agency, National Forestry Center from Zvolen, Slovakia, biodiversity expert.</w:t>
      </w:r>
    </w:p>
    <w:p w14:paraId="48C24088">
      <w:pPr>
        <w:jc w:val="both"/>
        <w:rPr>
          <w:b/>
          <w:lang w:val="en-US"/>
        </w:rPr>
      </w:pPr>
      <w:r>
        <w:rPr>
          <w:lang w:val="en-US"/>
        </w:rPr>
        <w:t>-2010-2013: GEF / UNDP, Improving Coverage and Management Effectiveness of the Protected Area System,National expert in biodiversity (plants);</w:t>
      </w:r>
    </w:p>
    <w:p w14:paraId="2F413559">
      <w:pPr>
        <w:ind w:left="360"/>
        <w:jc w:val="both"/>
        <w:rPr>
          <w:b/>
          <w:lang w:val="en-US"/>
        </w:rPr>
      </w:pPr>
    </w:p>
    <w:p w14:paraId="3426B90B">
      <w:pPr>
        <w:rPr>
          <w:b/>
          <w:lang w:val="en-US"/>
        </w:rPr>
      </w:pPr>
      <w:r>
        <w:rPr>
          <w:lang w:val="en-US"/>
        </w:rPr>
        <w:t xml:space="preserve"> </w:t>
      </w:r>
      <w:r>
        <w:rPr>
          <w:i/>
          <w:lang w:val="en-US"/>
        </w:rPr>
        <w:t>Workshops</w:t>
      </w:r>
      <w:r>
        <w:rPr>
          <w:lang w:val="en-US"/>
        </w:rPr>
        <w:t>:</w:t>
      </w:r>
    </w:p>
    <w:p w14:paraId="76BE165F">
      <w:pPr>
        <w:numPr>
          <w:ilvl w:val="0"/>
          <w:numId w:val="4"/>
        </w:numPr>
        <w:jc w:val="both"/>
        <w:rPr>
          <w:b/>
          <w:lang w:val="en-US" w:eastAsia="fr-FR"/>
        </w:rPr>
      </w:pPr>
      <w:r>
        <w:rPr>
          <w:lang w:val="en-US" w:eastAsia="fr-FR"/>
        </w:rPr>
        <w:t>International Seminars on Protected Area Management,</w:t>
      </w:r>
      <w:r>
        <w:rPr>
          <w:rFonts w:ascii="Arial" w:hAnsi="Arial" w:cs="Arial"/>
          <w:color w:val="222222"/>
          <w:shd w:val="clear" w:color="auto" w:fill="FFFFFF"/>
          <w:lang w:val="en-US"/>
        </w:rPr>
        <w:t xml:space="preserve"> </w:t>
      </w:r>
      <w:r>
        <w:rPr>
          <w:color w:val="222222"/>
          <w:shd w:val="clear" w:color="auto" w:fill="FFFFFF"/>
          <w:lang w:val="en-US"/>
        </w:rPr>
        <w:t>July 6-26, 2015, US Forest Service</w:t>
      </w:r>
      <w:r>
        <w:rPr>
          <w:color w:val="222222"/>
          <w:shd w:val="clear" w:color="auto" w:fill="FFFFFF"/>
          <w:lang w:val="ro-RO"/>
        </w:rPr>
        <w:t xml:space="preserve">, </w:t>
      </w:r>
      <w:r>
        <w:rPr>
          <w:color w:val="222222"/>
          <w:shd w:val="clear" w:color="auto" w:fill="FFFFFF"/>
          <w:lang w:val="en-US"/>
        </w:rPr>
        <w:t>University of Montana, US</w:t>
      </w:r>
      <w:r>
        <w:rPr>
          <w:lang w:val="en-US" w:eastAsia="fr-FR"/>
        </w:rPr>
        <w:t>A.</w:t>
      </w:r>
    </w:p>
    <w:p w14:paraId="7D55A01C">
      <w:pPr>
        <w:numPr>
          <w:ilvl w:val="0"/>
          <w:numId w:val="4"/>
        </w:numPr>
        <w:rPr>
          <w:lang w:val="en-US"/>
        </w:rPr>
      </w:pPr>
      <w:r>
        <w:rPr>
          <w:lang w:val="en-US"/>
        </w:rPr>
        <w:t>"The development of the Regional Plan to increase the Management capacity of protected areas in Romania and the Republic of Moldova", Brașov, Romania, 23-25 July 2014.</w:t>
      </w:r>
    </w:p>
    <w:p w14:paraId="5D3B5BC0">
      <w:pPr>
        <w:numPr>
          <w:ilvl w:val="0"/>
          <w:numId w:val="4"/>
        </w:numPr>
        <w:rPr>
          <w:b/>
          <w:lang w:val="en-US"/>
        </w:rPr>
      </w:pPr>
      <w:r>
        <w:rPr>
          <w:lang w:val="en-US"/>
        </w:rPr>
        <w:t xml:space="preserve">"Governance of Protected Areas in Eastern Europe - case studies on different governance types and lessons learned" - Isle of Vilm, </w:t>
      </w:r>
      <w:r>
        <w:rPr>
          <w:color w:val="222222"/>
          <w:shd w:val="clear" w:color="auto" w:fill="FFFFFF"/>
          <w:lang w:val="en-US"/>
        </w:rPr>
        <w:t xml:space="preserve">Germany, </w:t>
      </w:r>
      <w:r>
        <w:rPr>
          <w:lang w:val="en-US"/>
        </w:rPr>
        <w:t>2-5 December 2012;</w:t>
      </w:r>
    </w:p>
    <w:p w14:paraId="081765E4">
      <w:pPr>
        <w:ind w:left="360"/>
        <w:rPr>
          <w:b/>
          <w:lang w:val="en-US"/>
        </w:rPr>
      </w:pPr>
    </w:p>
    <w:p w14:paraId="5A019D6F">
      <w:pPr>
        <w:jc w:val="both"/>
        <w:rPr>
          <w:b/>
          <w:lang w:val="en-US"/>
        </w:rPr>
      </w:pPr>
      <w:r>
        <w:rPr>
          <w:i/>
          <w:lang w:val="en-GB"/>
        </w:rPr>
        <w:t>Publications</w:t>
      </w:r>
      <w:r>
        <w:rPr>
          <w:lang w:val="en-GB"/>
        </w:rPr>
        <w:t>:</w:t>
      </w:r>
      <w:r>
        <w:rPr>
          <w:sz w:val="28"/>
          <w:szCs w:val="28"/>
          <w:lang w:val="en-US"/>
        </w:rPr>
        <w:t xml:space="preserve"> </w:t>
      </w:r>
      <w:r>
        <w:rPr>
          <w:lang w:val="en-US"/>
        </w:rPr>
        <w:t>Author of 45 scientific articles.</w:t>
      </w:r>
    </w:p>
    <w:p w14:paraId="7B09EBFE">
      <w:pPr>
        <w:ind w:left="1416"/>
        <w:jc w:val="both"/>
        <w:rPr>
          <w:b/>
          <w:lang w:val="en-US"/>
        </w:rPr>
      </w:pPr>
      <w:r>
        <w:rPr>
          <w:lang w:val="en-US"/>
        </w:rPr>
        <w:t>-PhD in Biology thesis. " Phytocoenotical biodiversity of forest protected areas of the Middle Prut valley". For the first time, within the investigated protected areas,</w:t>
      </w:r>
    </w:p>
    <w:p w14:paraId="1FD14DAB">
      <w:pPr>
        <w:ind w:left="1416"/>
        <w:jc w:val="both"/>
        <w:rPr>
          <w:b/>
          <w:lang w:val="en-US"/>
        </w:rPr>
      </w:pPr>
      <w:r>
        <w:rPr>
          <w:lang w:val="en-US"/>
        </w:rPr>
        <w:t xml:space="preserve">the phytocoenotical composition has been evidenced and established the                                    </w:t>
      </w:r>
      <w:r>
        <w:t>с</w:t>
      </w:r>
      <w:r>
        <w:rPr>
          <w:lang w:val="en-US"/>
        </w:rPr>
        <w:t>oenotaxonomical epitomes according to the Central European School of Phytocoenology methods.</w:t>
      </w:r>
    </w:p>
    <w:p w14:paraId="3969ABD1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     </w:t>
      </w:r>
    </w:p>
    <w:p w14:paraId="30A6A032">
      <w:pPr>
        <w:spacing w:line="360" w:lineRule="auto"/>
        <w:jc w:val="both"/>
        <w:rPr>
          <w:b/>
          <w:lang w:val="en-US"/>
        </w:rPr>
      </w:pPr>
      <w:r>
        <w:rPr>
          <w:b/>
          <w:lang w:val="en-US"/>
        </w:rPr>
        <w:t xml:space="preserve">    Covali Victoria</w:t>
      </w:r>
    </w:p>
    <w:sectPr>
      <w:pgSz w:w="11906" w:h="16838"/>
      <w:pgMar w:top="1134" w:right="849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ani">
    <w:altName w:val="Segoe UI Symbol"/>
    <w:panose1 w:val="020B0502040204020203"/>
    <w:charset w:val="00"/>
    <w:family w:val="swiss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570C46"/>
    <w:multiLevelType w:val="multilevel"/>
    <w:tmpl w:val="26570C46"/>
    <w:lvl w:ilvl="0" w:tentative="0">
      <w:start w:val="1"/>
      <w:numFmt w:val="bullet"/>
      <w:lvlText w:val="-"/>
      <w:lvlJc w:val="left"/>
      <w:pPr>
        <w:ind w:left="360" w:hanging="360"/>
      </w:pPr>
      <w:rPr>
        <w:rFonts w:hint="default" w:ascii="Vani" w:hAnsi="Vani"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800"/>
        </w:tabs>
        <w:ind w:left="1800" w:hanging="360"/>
      </w:pPr>
    </w:lvl>
    <w:lvl w:ilvl="3" w:tentative="0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entative="0">
      <w:start w:val="1"/>
      <w:numFmt w:val="decimal"/>
      <w:lvlText w:val="%5."/>
      <w:lvlJc w:val="left"/>
      <w:pPr>
        <w:tabs>
          <w:tab w:val="left" w:pos="3240"/>
        </w:tabs>
        <w:ind w:left="3240" w:hanging="360"/>
      </w:pPr>
    </w:lvl>
    <w:lvl w:ilvl="5" w:tentative="0">
      <w:start w:val="1"/>
      <w:numFmt w:val="decimal"/>
      <w:lvlText w:val="%6."/>
      <w:lvlJc w:val="left"/>
      <w:pPr>
        <w:tabs>
          <w:tab w:val="left" w:pos="3960"/>
        </w:tabs>
        <w:ind w:left="3960" w:hanging="360"/>
      </w:pPr>
    </w:lvl>
    <w:lvl w:ilvl="6" w:tentative="0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entative="0">
      <w:start w:val="1"/>
      <w:numFmt w:val="decimal"/>
      <w:lvlText w:val="%8."/>
      <w:lvlJc w:val="left"/>
      <w:pPr>
        <w:tabs>
          <w:tab w:val="left" w:pos="5400"/>
        </w:tabs>
        <w:ind w:left="5400" w:hanging="360"/>
      </w:pPr>
    </w:lvl>
    <w:lvl w:ilvl="8" w:tentative="0">
      <w:start w:val="1"/>
      <w:numFmt w:val="decimal"/>
      <w:lvlText w:val="%9."/>
      <w:lvlJc w:val="left"/>
      <w:pPr>
        <w:tabs>
          <w:tab w:val="left" w:pos="6120"/>
        </w:tabs>
        <w:ind w:left="6120" w:hanging="360"/>
      </w:pPr>
    </w:lvl>
  </w:abstractNum>
  <w:abstractNum w:abstractNumId="1">
    <w:nsid w:val="296B1BC3"/>
    <w:multiLevelType w:val="multilevel"/>
    <w:tmpl w:val="296B1BC3"/>
    <w:lvl w:ilvl="0" w:tentative="0">
      <w:start w:val="2011"/>
      <w:numFmt w:val="bullet"/>
      <w:lvlText w:val="-"/>
      <w:lvlJc w:val="left"/>
      <w:pPr>
        <w:ind w:left="36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>
    <w:nsid w:val="535D6D00"/>
    <w:multiLevelType w:val="multilevel"/>
    <w:tmpl w:val="535D6D00"/>
    <w:lvl w:ilvl="0" w:tentative="0">
      <w:start w:val="1"/>
      <w:numFmt w:val="bullet"/>
      <w:lvlText w:val="-"/>
      <w:lvlJc w:val="left"/>
      <w:pPr>
        <w:tabs>
          <w:tab w:val="left" w:pos="360"/>
        </w:tabs>
        <w:ind w:left="360" w:hanging="360"/>
      </w:pPr>
      <w:rPr>
        <w:rFonts w:hint="default" w:ascii="Vani" w:hAnsi="Vani" w:cs="Times New Roman"/>
        <w:sz w:val="20"/>
      </w:r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800"/>
        </w:tabs>
        <w:ind w:left="1800" w:hanging="360"/>
      </w:pPr>
    </w:lvl>
    <w:lvl w:ilvl="3" w:tentative="0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entative="0">
      <w:start w:val="1"/>
      <w:numFmt w:val="decimal"/>
      <w:lvlText w:val="%5."/>
      <w:lvlJc w:val="left"/>
      <w:pPr>
        <w:tabs>
          <w:tab w:val="left" w:pos="3240"/>
        </w:tabs>
        <w:ind w:left="3240" w:hanging="360"/>
      </w:pPr>
    </w:lvl>
    <w:lvl w:ilvl="5" w:tentative="0">
      <w:start w:val="1"/>
      <w:numFmt w:val="decimal"/>
      <w:lvlText w:val="%6."/>
      <w:lvlJc w:val="left"/>
      <w:pPr>
        <w:tabs>
          <w:tab w:val="left" w:pos="3960"/>
        </w:tabs>
        <w:ind w:left="3960" w:hanging="360"/>
      </w:pPr>
    </w:lvl>
    <w:lvl w:ilvl="6" w:tentative="0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entative="0">
      <w:start w:val="1"/>
      <w:numFmt w:val="decimal"/>
      <w:lvlText w:val="%8."/>
      <w:lvlJc w:val="left"/>
      <w:pPr>
        <w:tabs>
          <w:tab w:val="left" w:pos="5400"/>
        </w:tabs>
        <w:ind w:left="5400" w:hanging="360"/>
      </w:pPr>
    </w:lvl>
    <w:lvl w:ilvl="8" w:tentative="0">
      <w:start w:val="1"/>
      <w:numFmt w:val="decimal"/>
      <w:lvlText w:val="%9."/>
      <w:lvlJc w:val="left"/>
      <w:pPr>
        <w:tabs>
          <w:tab w:val="left" w:pos="6120"/>
        </w:tabs>
        <w:ind w:left="6120" w:hanging="360"/>
      </w:pPr>
    </w:lvl>
  </w:abstractNum>
  <w:abstractNum w:abstractNumId="3">
    <w:nsid w:val="72EB67DB"/>
    <w:multiLevelType w:val="multilevel"/>
    <w:tmpl w:val="72EB67DB"/>
    <w:lvl w:ilvl="0" w:tentative="0">
      <w:start w:val="2011"/>
      <w:numFmt w:val="bullet"/>
      <w:lvlText w:val="-"/>
      <w:lvlJc w:val="left"/>
      <w:pPr>
        <w:ind w:left="360" w:hanging="360"/>
      </w:pPr>
      <w:rPr>
        <w:rFonts w:hint="default" w:ascii="Times New Roman" w:hAnsi="Times New Roman" w:eastAsia="Times New Roman" w:cs="Times New Roman"/>
      </w:rPr>
    </w:lvl>
    <w:lvl w:ilvl="1" w:tentative="0">
      <w:start w:val="1"/>
      <w:numFmt w:val="bullet"/>
      <w:lvlText w:val="o"/>
      <w:lvlJc w:val="left"/>
      <w:pPr>
        <w:ind w:left="79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51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23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295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67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39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11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5836" w:hanging="360"/>
      </w:pPr>
      <w:rPr>
        <w:rFonts w:hint="default" w:ascii="Wingdings" w:hAnsi="Wingdings"/>
      </w:rPr>
    </w:lvl>
  </w:abstractNum>
  <w:num w:numId="1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E4A"/>
    <w:rsid w:val="000047F0"/>
    <w:rsid w:val="000276C5"/>
    <w:rsid w:val="0005067C"/>
    <w:rsid w:val="00053FD7"/>
    <w:rsid w:val="00067D2B"/>
    <w:rsid w:val="00081FB8"/>
    <w:rsid w:val="000A7820"/>
    <w:rsid w:val="000B7E43"/>
    <w:rsid w:val="000E22D2"/>
    <w:rsid w:val="00100592"/>
    <w:rsid w:val="00101B25"/>
    <w:rsid w:val="00116E2F"/>
    <w:rsid w:val="00146B79"/>
    <w:rsid w:val="00150987"/>
    <w:rsid w:val="00164CB9"/>
    <w:rsid w:val="0016519A"/>
    <w:rsid w:val="00170F21"/>
    <w:rsid w:val="0019781F"/>
    <w:rsid w:val="002169E8"/>
    <w:rsid w:val="0023165C"/>
    <w:rsid w:val="002459FE"/>
    <w:rsid w:val="00246E32"/>
    <w:rsid w:val="00265F3C"/>
    <w:rsid w:val="00290328"/>
    <w:rsid w:val="002A091C"/>
    <w:rsid w:val="002E566C"/>
    <w:rsid w:val="002F3A30"/>
    <w:rsid w:val="003155CD"/>
    <w:rsid w:val="00340091"/>
    <w:rsid w:val="003C4DF5"/>
    <w:rsid w:val="003E4AC4"/>
    <w:rsid w:val="003E5667"/>
    <w:rsid w:val="00422A45"/>
    <w:rsid w:val="004640DC"/>
    <w:rsid w:val="00465142"/>
    <w:rsid w:val="00473939"/>
    <w:rsid w:val="00497446"/>
    <w:rsid w:val="004F5922"/>
    <w:rsid w:val="00500990"/>
    <w:rsid w:val="00515AD0"/>
    <w:rsid w:val="00554C43"/>
    <w:rsid w:val="005714CA"/>
    <w:rsid w:val="00575E4A"/>
    <w:rsid w:val="005B0D74"/>
    <w:rsid w:val="005B4EEB"/>
    <w:rsid w:val="005B7D94"/>
    <w:rsid w:val="005D5279"/>
    <w:rsid w:val="005E2D44"/>
    <w:rsid w:val="0064497F"/>
    <w:rsid w:val="006532DC"/>
    <w:rsid w:val="0068290B"/>
    <w:rsid w:val="006925CF"/>
    <w:rsid w:val="00694047"/>
    <w:rsid w:val="006B001D"/>
    <w:rsid w:val="006C1315"/>
    <w:rsid w:val="006E351A"/>
    <w:rsid w:val="006E458E"/>
    <w:rsid w:val="00722742"/>
    <w:rsid w:val="00760822"/>
    <w:rsid w:val="007829B0"/>
    <w:rsid w:val="00793193"/>
    <w:rsid w:val="007A1B4B"/>
    <w:rsid w:val="007C3B5E"/>
    <w:rsid w:val="00824B16"/>
    <w:rsid w:val="00826076"/>
    <w:rsid w:val="00835A76"/>
    <w:rsid w:val="00862549"/>
    <w:rsid w:val="008655CB"/>
    <w:rsid w:val="0088449D"/>
    <w:rsid w:val="008B0689"/>
    <w:rsid w:val="008D3663"/>
    <w:rsid w:val="00914A51"/>
    <w:rsid w:val="0094002E"/>
    <w:rsid w:val="00965F52"/>
    <w:rsid w:val="00987569"/>
    <w:rsid w:val="009C43A3"/>
    <w:rsid w:val="00A4171C"/>
    <w:rsid w:val="00A47753"/>
    <w:rsid w:val="00A766AE"/>
    <w:rsid w:val="00A87030"/>
    <w:rsid w:val="00AA61E3"/>
    <w:rsid w:val="00AB1C15"/>
    <w:rsid w:val="00AB39C0"/>
    <w:rsid w:val="00AC484E"/>
    <w:rsid w:val="00AD4451"/>
    <w:rsid w:val="00B26DD1"/>
    <w:rsid w:val="00B51EA2"/>
    <w:rsid w:val="00BA057E"/>
    <w:rsid w:val="00BA6158"/>
    <w:rsid w:val="00BD23EC"/>
    <w:rsid w:val="00C2366F"/>
    <w:rsid w:val="00C56CF7"/>
    <w:rsid w:val="00C67BFE"/>
    <w:rsid w:val="00C831F3"/>
    <w:rsid w:val="00C86BBA"/>
    <w:rsid w:val="00C87205"/>
    <w:rsid w:val="00C96856"/>
    <w:rsid w:val="00CA4A82"/>
    <w:rsid w:val="00CA7331"/>
    <w:rsid w:val="00CE7BC3"/>
    <w:rsid w:val="00D61A9C"/>
    <w:rsid w:val="00D61FAA"/>
    <w:rsid w:val="00D96EDC"/>
    <w:rsid w:val="00DB4427"/>
    <w:rsid w:val="00DB6A9B"/>
    <w:rsid w:val="00DD7FEC"/>
    <w:rsid w:val="00DE717B"/>
    <w:rsid w:val="00DF0DDC"/>
    <w:rsid w:val="00DF2BAF"/>
    <w:rsid w:val="00DF33FD"/>
    <w:rsid w:val="00E26016"/>
    <w:rsid w:val="00E27930"/>
    <w:rsid w:val="00E526A0"/>
    <w:rsid w:val="00E61B42"/>
    <w:rsid w:val="00E912B2"/>
    <w:rsid w:val="00E9354E"/>
    <w:rsid w:val="00EC7CD0"/>
    <w:rsid w:val="00ED78C8"/>
    <w:rsid w:val="00EE379E"/>
    <w:rsid w:val="00F037D3"/>
    <w:rsid w:val="00F14FB0"/>
    <w:rsid w:val="00F72F4F"/>
    <w:rsid w:val="00F77E8E"/>
    <w:rsid w:val="00F83BDF"/>
    <w:rsid w:val="00FA1C7D"/>
    <w:rsid w:val="00FB2A1C"/>
    <w:rsid w:val="00FC0DA7"/>
    <w:rsid w:val="00FC1937"/>
    <w:rsid w:val="00FC23BA"/>
    <w:rsid w:val="00FE611B"/>
    <w:rsid w:val="00FF55F3"/>
    <w:rsid w:val="30AA3266"/>
    <w:rsid w:val="5E9D3A56"/>
    <w:rsid w:val="707E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nhideWhenUsed="0" w:uiPriority="0" w:semiHidden="0" w:name="endnote text"/>
    <w:lsdException w:uiPriority="0" w:name="table of authorities"/>
    <w:lsdException w:uiPriority="0" w:name="macro"/>
    <w:lsdException w:unhideWhenUsed="0" w:uiPriority="0" w:semiHidden="0" w:name="toa heading"/>
    <w:lsdException w:unhideWhenUsed="0" w:uiPriority="0" w:semiHidden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iPriority="0" w:name="List Continue 5"/>
    <w:lsdException w:uiPriority="0" w:name="Message Header"/>
    <w:lsdException w:qFormat="1" w:unhideWhenUsed="0" w:uiPriority="5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qFormat="1" w:unhideWhenUsed="0" w:uiPriority="0" w:semiHidden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qFormat="1" w:uiPriority="99" w:semiHidden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qFormat="1" w:unhideWhenUsed="0" w:uiPriority="0" w:semiHidden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3">
    <w:name w:val="heading 2"/>
    <w:basedOn w:val="1"/>
    <w:next w:val="1"/>
    <w:qFormat/>
    <w:uiPriority w:val="0"/>
    <w:pPr>
      <w:keepNext/>
      <w:spacing w:before="240" w:after="60"/>
      <w:outlineLvl w:val="1"/>
    </w:pPr>
    <w:rPr>
      <w:rFonts w:ascii="Arial" w:hAnsi="Arial" w:cs="Arial"/>
      <w:bCs/>
      <w:i/>
      <w:iCs/>
      <w:sz w:val="28"/>
      <w:szCs w:val="28"/>
    </w:rPr>
  </w:style>
  <w:style w:type="paragraph" w:styleId="4">
    <w:name w:val="heading 3"/>
    <w:basedOn w:val="1"/>
    <w:next w:val="1"/>
    <w:qFormat/>
    <w:uiPriority w:val="0"/>
    <w:pPr>
      <w:keepNext/>
      <w:jc w:val="both"/>
      <w:outlineLvl w:val="2"/>
    </w:pPr>
    <w:rPr>
      <w:rFonts w:ascii="Arial" w:hAnsi="Arial"/>
      <w:sz w:val="22"/>
      <w:lang w:eastAsia="fr-FR"/>
    </w:rPr>
  </w:style>
  <w:style w:type="paragraph" w:styleId="5">
    <w:name w:val="heading 4"/>
    <w:basedOn w:val="1"/>
    <w:next w:val="1"/>
    <w:qFormat/>
    <w:uiPriority w:val="0"/>
    <w:pPr>
      <w:keepNext/>
      <w:outlineLvl w:val="3"/>
    </w:pPr>
    <w:rPr>
      <w:rFonts w:ascii="Arial" w:hAnsi="Arial" w:cs="Arial"/>
      <w:lang w:eastAsia="fr-FR"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ody Text 2"/>
    <w:basedOn w:val="1"/>
    <w:qFormat/>
    <w:uiPriority w:val="0"/>
    <w:pPr>
      <w:spacing w:after="120" w:line="480" w:lineRule="auto"/>
    </w:pPr>
    <w:rPr>
      <w:rFonts w:ascii="Verdana" w:hAnsi="Verdana"/>
      <w:sz w:val="20"/>
      <w:lang w:eastAsia="fr-FR"/>
    </w:rPr>
  </w:style>
  <w:style w:type="character" w:styleId="9">
    <w:name w:val="FollowedHyperlink"/>
    <w:basedOn w:val="6"/>
    <w:semiHidden/>
    <w:unhideWhenUsed/>
    <w:qFormat/>
    <w:uiPriority w:val="0"/>
    <w:rPr>
      <w:color w:val="954F72" w:themeColor="followedHyperlink"/>
      <w:u w:val="single"/>
    </w:rPr>
  </w:style>
  <w:style w:type="paragraph" w:styleId="10">
    <w:name w:val="footer"/>
    <w:basedOn w:val="1"/>
    <w:qFormat/>
    <w:uiPriority w:val="0"/>
    <w:pPr>
      <w:tabs>
        <w:tab w:val="center" w:pos="4320"/>
        <w:tab w:val="right" w:pos="8640"/>
      </w:tabs>
    </w:pPr>
    <w:rPr>
      <w:rFonts w:ascii="Arial" w:hAnsi="Arial"/>
      <w:lang w:eastAsia="fr-FR"/>
    </w:rPr>
  </w:style>
  <w:style w:type="paragraph" w:styleId="11">
    <w:name w:val="header"/>
    <w:basedOn w:val="1"/>
    <w:qFormat/>
    <w:uiPriority w:val="0"/>
    <w:pPr>
      <w:tabs>
        <w:tab w:val="center" w:pos="4153"/>
        <w:tab w:val="right" w:pos="8306"/>
      </w:tabs>
    </w:pPr>
    <w:rPr>
      <w:rFonts w:ascii="Verdana" w:hAnsi="Verdana"/>
      <w:sz w:val="20"/>
      <w:lang w:eastAsia="fr-FR"/>
    </w:rPr>
  </w:style>
  <w:style w:type="paragraph" w:styleId="12">
    <w:name w:val="HTML Preformatted"/>
    <w:basedOn w:val="1"/>
    <w:link w:val="22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styleId="13">
    <w:name w:val="Hyperlink"/>
    <w:basedOn w:val="6"/>
    <w:qFormat/>
    <w:uiPriority w:val="0"/>
    <w:rPr>
      <w:color w:val="0000FF"/>
      <w:u w:val="single"/>
    </w:rPr>
  </w:style>
  <w:style w:type="paragraph" w:styleId="14">
    <w:name w:val="Normal (Web)"/>
    <w:basedOn w:val="1"/>
    <w:unhideWhenUsed/>
    <w:qFormat/>
    <w:uiPriority w:val="99"/>
    <w:pPr>
      <w:spacing w:before="100" w:beforeAutospacing="1" w:after="100" w:afterAutospacing="1"/>
    </w:pPr>
    <w:rPr>
      <w:b/>
    </w:rPr>
  </w:style>
  <w:style w:type="paragraph" w:styleId="15">
    <w:name w:val="Plain Text"/>
    <w:basedOn w:val="1"/>
    <w:link w:val="24"/>
    <w:qFormat/>
    <w:uiPriority w:val="0"/>
    <w:rPr>
      <w:rFonts w:ascii="Courier New" w:hAnsi="Courier New"/>
      <w:sz w:val="20"/>
      <w:lang w:eastAsia="fr-FR"/>
    </w:rPr>
  </w:style>
  <w:style w:type="character" w:styleId="16">
    <w:name w:val="Strong"/>
    <w:basedOn w:val="6"/>
    <w:qFormat/>
    <w:uiPriority w:val="22"/>
    <w:rPr>
      <w:b/>
      <w:bCs/>
    </w:rPr>
  </w:style>
  <w:style w:type="paragraph" w:styleId="17">
    <w:name w:val="Subtitle"/>
    <w:basedOn w:val="18"/>
    <w:next w:val="1"/>
    <w:link w:val="26"/>
    <w:qFormat/>
    <w:uiPriority w:val="5"/>
    <w:pPr>
      <w:widowControl w:val="0"/>
      <w:pBdr>
        <w:bottom w:val="none" w:color="auto" w:sz="0" w:space="0"/>
      </w:pBdr>
      <w:autoSpaceDE w:val="0"/>
      <w:autoSpaceDN w:val="0"/>
      <w:spacing w:before="80" w:after="360"/>
      <w:ind w:left="360"/>
      <w:contextualSpacing w:val="0"/>
      <w:jc w:val="center"/>
    </w:pPr>
    <w:rPr>
      <w:rFonts w:ascii="Arial" w:hAnsi="Arial" w:eastAsiaTheme="minorEastAsia" w:cstheme="minorBidi"/>
      <w:b/>
      <w:color w:val="ADADAD" w:themeColor="accent3" w:themeTint="E6"/>
      <w:spacing w:val="15"/>
      <w:kern w:val="0"/>
      <w:sz w:val="28"/>
      <w:szCs w:val="24"/>
      <w:lang w:val="en-US" w:eastAsia="en-US"/>
    </w:rPr>
  </w:style>
  <w:style w:type="paragraph" w:styleId="18">
    <w:name w:val="Title"/>
    <w:basedOn w:val="1"/>
    <w:next w:val="1"/>
    <w:link w:val="27"/>
    <w:qFormat/>
    <w:uiPriority w:val="0"/>
    <w:pPr>
      <w:pBdr>
        <w:bottom w:val="single" w:color="4472C4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323E4F" w:themeColor="text2" w:themeShade="BF"/>
      <w:spacing w:val="5"/>
      <w:kern w:val="28"/>
      <w:sz w:val="52"/>
      <w:szCs w:val="52"/>
    </w:rPr>
  </w:style>
  <w:style w:type="table" w:styleId="19">
    <w:name w:val="Table Professional"/>
    <w:basedOn w:val="7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paragraph" w:customStyle="1" w:styleId="20">
    <w:name w:val="OIC1 Body Text"/>
    <w:basedOn w:val="1"/>
    <w:qFormat/>
    <w:uiPriority w:val="0"/>
    <w:pPr>
      <w:overflowPunct w:val="0"/>
      <w:autoSpaceDE w:val="0"/>
      <w:autoSpaceDN w:val="0"/>
      <w:adjustRightInd w:val="0"/>
      <w:spacing w:after="120"/>
    </w:pPr>
    <w:rPr>
      <w:rFonts w:ascii="Arial" w:hAnsi="Arial"/>
      <w:smallCaps/>
      <w:sz w:val="20"/>
      <w:lang w:eastAsia="en-US"/>
    </w:rPr>
  </w:style>
  <w:style w:type="character" w:customStyle="1" w:styleId="21">
    <w:name w:val="apple-converted-space"/>
    <w:basedOn w:val="6"/>
    <w:qFormat/>
    <w:uiPriority w:val="0"/>
  </w:style>
  <w:style w:type="character" w:customStyle="1" w:styleId="22">
    <w:name w:val="Стандартный HTML Знак"/>
    <w:basedOn w:val="6"/>
    <w:link w:val="12"/>
    <w:qFormat/>
    <w:uiPriority w:val="99"/>
    <w:rPr>
      <w:rFonts w:ascii="Courier New" w:hAnsi="Courier New" w:cs="Courier New"/>
    </w:rPr>
  </w:style>
  <w:style w:type="paragraph" w:customStyle="1" w:styleId="23">
    <w:name w:val="_ECV_LeftDetails"/>
    <w:basedOn w:val="1"/>
    <w:qFormat/>
    <w:uiPriority w:val="0"/>
    <w:pPr>
      <w:widowControl w:val="0"/>
      <w:suppressLineNumbers/>
      <w:suppressAutoHyphens/>
      <w:spacing w:before="23"/>
      <w:ind w:right="283"/>
      <w:jc w:val="right"/>
    </w:pPr>
    <w:rPr>
      <w:rFonts w:ascii="Arial" w:hAnsi="Arial" w:eastAsia="SimSun" w:cs="Mangal"/>
      <w:color w:val="0E4194"/>
      <w:spacing w:val="-6"/>
      <w:kern w:val="1"/>
      <w:sz w:val="18"/>
      <w:lang w:eastAsia="hi-IN" w:bidi="hi-IN"/>
    </w:rPr>
  </w:style>
  <w:style w:type="character" w:customStyle="1" w:styleId="24">
    <w:name w:val="Текст Знак"/>
    <w:basedOn w:val="6"/>
    <w:link w:val="15"/>
    <w:qFormat/>
    <w:uiPriority w:val="0"/>
    <w:rPr>
      <w:rFonts w:ascii="Courier New" w:hAnsi="Courier New"/>
      <w:lang w:eastAsia="fr-FR"/>
    </w:rPr>
  </w:style>
  <w:style w:type="paragraph" w:styleId="25">
    <w:name w:val="List Paragraph"/>
    <w:basedOn w:val="1"/>
    <w:qFormat/>
    <w:uiPriority w:val="34"/>
    <w:pPr>
      <w:ind w:left="720"/>
      <w:contextualSpacing/>
    </w:pPr>
    <w:rPr>
      <w:rFonts w:eastAsiaTheme="minorHAnsi"/>
    </w:rPr>
  </w:style>
  <w:style w:type="character" w:customStyle="1" w:styleId="26">
    <w:name w:val="Подзаголовок Знак"/>
    <w:basedOn w:val="6"/>
    <w:link w:val="17"/>
    <w:qFormat/>
    <w:uiPriority w:val="5"/>
    <w:rPr>
      <w:rFonts w:ascii="Arial" w:hAnsi="Arial" w:eastAsiaTheme="minorEastAsia" w:cstheme="minorBidi"/>
      <w:b/>
      <w:color w:val="ADADAD" w:themeColor="accent3" w:themeTint="E6"/>
      <w:spacing w:val="15"/>
      <w:sz w:val="28"/>
      <w:szCs w:val="24"/>
      <w:lang w:val="en-US" w:eastAsia="en-US"/>
    </w:rPr>
  </w:style>
  <w:style w:type="character" w:customStyle="1" w:styleId="27">
    <w:name w:val="Название Знак"/>
    <w:basedOn w:val="6"/>
    <w:link w:val="18"/>
    <w:qFormat/>
    <w:uiPriority w:val="0"/>
    <w:rPr>
      <w:rFonts w:asciiTheme="majorHAnsi" w:hAnsiTheme="majorHAnsi" w:eastAsiaTheme="majorEastAsia" w:cstheme="majorBidi"/>
      <w:color w:val="323E4F" w:themeColor="text2" w:themeShade="BF"/>
      <w:spacing w:val="5"/>
      <w:kern w:val="28"/>
      <w:sz w:val="52"/>
      <w:szCs w:val="52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1212</Words>
  <Characters>6914</Characters>
  <Lines>57</Lines>
  <Paragraphs>16</Paragraphs>
  <TotalTime>9</TotalTime>
  <ScaleCrop>false</ScaleCrop>
  <LinksUpToDate>false</LinksUpToDate>
  <CharactersWithSpaces>8110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2025-08-25T11:13:00Z</dcterms:created>
  <dc:creator>Admin</dc:creator>
  <cp:lastModifiedBy>Olesea Vulpe</cp:lastModifiedBy>
  <cp:lastPrinted>2024-04-20T07:19:00Z</cp:lastPrinted>
  <dcterms:modified xsi:type="dcterms:W3CDTF">2026-02-12T00:28:55Z</dcterms:modified>
  <dc:title>CURRICULUM VITAE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D8A17058D36948F686B2BD77FCB1A686_13</vt:lpwstr>
  </property>
</Properties>
</file>