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mentenanță a convertizoarelor de frecvență, inclusiv instruirea personalului implicat în exploatarea lor</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196"/>
        <w:gridCol w:w="3197"/>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rPr>
              <w:t xml:space="preserve">Lotul nr. 1. </w:t>
            </w:r>
            <w:r>
              <w:rPr>
                <w:rFonts w:hint="default" w:ascii="Times New Roman" w:hAnsi="Times New Roman"/>
                <w:b/>
                <w:bCs/>
                <w:sz w:val="20"/>
                <w:szCs w:val="20"/>
                <w:vertAlign w:val="baseline"/>
              </w:rPr>
              <w:t>Mentenanță preventivă și diagnostică tehnică a convertizoarelor de frecvență „VACON”, inclusiv pregătirea personalului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ru-RU"/>
              </w:rPr>
              <w:t>Mentenanța preventivă a convertizoarelor de frecvență „VACON”</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Mentenanța preventivă a convertizoarelor de frecvență „VACON 0100-3L-0750-7-ED-FLOW+SEBH+IP54+FL04+DLRU+CAPU+CAPD+CIFD+POCM+CAMH+GNUL” - conform structurii (spectrului) și volumului de lucrări stipulate în Caietul de sarcini cu nr. de înregistrare 414-04/0</w:t>
            </w:r>
            <w:r>
              <w:rPr>
                <w:rFonts w:hint="default" w:ascii="Times New Roman" w:hAnsi="Times New Roman"/>
                <w:i w:val="0"/>
                <w:iCs w:val="0"/>
                <w:sz w:val="20"/>
                <w:szCs w:val="20"/>
                <w:lang w:eastAsia="ro-RO"/>
              </w:rPr>
              <w:t>316</w:t>
            </w:r>
            <w:r>
              <w:rPr>
                <w:rFonts w:hint="default" w:ascii="Times New Roman" w:hAnsi="Times New Roman"/>
                <w:i w:val="0"/>
                <w:iCs w:val="0"/>
                <w:sz w:val="20"/>
                <w:szCs w:val="20"/>
                <w:lang w:eastAsia="ro-RO"/>
              </w:rPr>
              <w:t xml:space="preserve"> din </w:t>
            </w:r>
            <w:r>
              <w:rPr>
                <w:rFonts w:hint="default" w:ascii="Times New Roman" w:hAnsi="Times New Roman"/>
                <w:i w:val="0"/>
                <w:iCs w:val="0"/>
                <w:sz w:val="20"/>
                <w:szCs w:val="20"/>
                <w:lang w:eastAsia="ro-RO"/>
              </w:rPr>
              <w:t>20</w:t>
            </w:r>
            <w:r>
              <w:rPr>
                <w:rFonts w:hint="default" w:ascii="Times New Roman" w:hAnsi="Times New Roman"/>
                <w:i w:val="0"/>
                <w:iCs w:val="0"/>
                <w:sz w:val="20"/>
                <w:szCs w:val="20"/>
                <w:lang w:eastAsia="ro-RO"/>
              </w:rPr>
              <w:t>.0</w:t>
            </w:r>
            <w:r>
              <w:rPr>
                <w:rFonts w:hint="default" w:ascii="Times New Roman" w:hAnsi="Times New Roman"/>
                <w:i w:val="0"/>
                <w:iCs w:val="0"/>
                <w:sz w:val="20"/>
                <w:szCs w:val="20"/>
                <w:lang w:eastAsia="ro-RO"/>
              </w:rPr>
              <w:t>3</w:t>
            </w:r>
            <w:r>
              <w:rPr>
                <w:rFonts w:hint="default" w:ascii="Times New Roman" w:hAnsi="Times New Roman"/>
                <w:i w:val="0"/>
                <w:iCs w:val="0"/>
                <w:sz w:val="20"/>
                <w:szCs w:val="20"/>
                <w:lang w:eastAsia="ro-RO"/>
              </w:rPr>
              <w:t>.202</w:t>
            </w:r>
            <w:r>
              <w:rPr>
                <w:rFonts w:hint="default" w:ascii="Times New Roman" w:hAnsi="Times New Roman"/>
                <w:i w:val="0"/>
                <w:iCs w:val="0"/>
                <w:sz w:val="20"/>
                <w:szCs w:val="20"/>
                <w:lang w:eastAsia="ro-RO"/>
              </w:rPr>
              <w:t>6</w:t>
            </w:r>
            <w:r>
              <w:rPr>
                <w:rFonts w:hint="default" w:ascii="Times New Roman" w:hAnsi="Times New Roman"/>
                <w:i w:val="0"/>
                <w:iCs w:val="0"/>
                <w:sz w:val="20"/>
                <w:szCs w:val="20"/>
                <w:lang w:eastAsia="ro-RO"/>
              </w:rPr>
              <w: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Trainingul personalului</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ru-RU"/>
              </w:rPr>
            </w:pPr>
            <w:r>
              <w:rPr>
                <w:rFonts w:hint="default" w:ascii="Times New Roman" w:hAnsi="Times New Roman"/>
                <w:i w:val="0"/>
                <w:iCs w:val="0"/>
                <w:sz w:val="20"/>
                <w:szCs w:val="20"/>
                <w:lang w:eastAsia="ro-RO"/>
              </w:rPr>
              <w:t>Pregătirea personalului în ceea ce privește mentenanța convertizoarelor de frecvență „VACON”. Se va face pe baza manualului de operare și a instrucțiunilor de lucru, cu efectuarea testelor practice de verificare a cunoștințelor și consemnat într-un proces-verbal.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ru-RU"/>
              </w:rPr>
              <w:t>Diagnostica tehnică a convertizoarelor de frecvență „VACON”</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o-RO"/>
              </w:rPr>
              <w:t>Diagnostica tehnică a convertizoarelor de frecvență „VACON”. Prevede diagnosticul tehnic complet al convertizoarelor de frecvență, în scopul evaluării stării lor actuale de funcționare, identificării eventualelor defecțiuni sau abateri de la parametrii nominali, precum și formulării recomandărilor pentru remedierea acestora.</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vertAlign w:val="baseline"/>
              </w:rPr>
            </w:pPr>
            <w:r>
              <w:rPr>
                <w:rFonts w:hint="default" w:ascii="Times New Roman" w:hAnsi="Times New Roman" w:cs="Times New Roman"/>
                <w:b/>
                <w:bCs/>
                <w:sz w:val="20"/>
                <w:szCs w:val="20"/>
                <w:vertAlign w:val="baseline"/>
              </w:rPr>
              <w:t xml:space="preserve">Lotul nr. 2. </w:t>
            </w:r>
            <w:r>
              <w:rPr>
                <w:rFonts w:hint="default" w:ascii="Times New Roman" w:hAnsi="Times New Roman"/>
                <w:b/>
                <w:bCs/>
                <w:sz w:val="20"/>
                <w:szCs w:val="20"/>
                <w:vertAlign w:val="baseline"/>
              </w:rPr>
              <w:t>Mentenanță preventivă și diagnostică tehnică a convertizoarelor de frecvență „ABB”, inclusiv pregătirea personalului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Mentenanța preventivă a convertizoarelor de frecvență „ABB”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o-RO"/>
              </w:rPr>
              <w:t>Mentenanța preventivă a convertizoarelor de frecvență „ABB ACS880-07-0363A-3”, „ABB ACS580-01-039А-4”, „ABB ACS 550-01-038А+В055”, „ABB ACS 550-01-059А+В055”, „ABB ACS 880-01-145A-3+B056+E200” și „ABB ACS 880-01-430A-3+B056+E200” - conform structurii (spectrului) și volumului de lucrări stipulate în Caietul de sarcini cu nr. de înregistrare 414-04/0316 din 20.03.2026.</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Trainingul personalului</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o-RO"/>
              </w:rPr>
              <w:t>Pregătirea personalului în ceea ce privește mentenanța convertizoarelor de frecvență „ABB”. Se va face pe baza manualului de operare și a instrucțiunilor de lucru, cu efectuarea testelor practice de verificare a cunoștințelor și consemnat într-un proces-verbal.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en-US" w:eastAsia="en-US"/>
              </w:rPr>
            </w:pPr>
            <w:r>
              <w:rPr>
                <w:rFonts w:hint="default" w:ascii="Times New Roman" w:hAnsi="Times New Roman"/>
                <w:i w:val="0"/>
                <w:iCs w:val="0"/>
                <w:sz w:val="20"/>
                <w:szCs w:val="20"/>
                <w:lang w:val="zh-CN" w:eastAsia="ru-RU"/>
              </w:rPr>
              <w:t>Diagnostica tehnică a convertizoarelor de frecvență „ABB”</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o-RO"/>
              </w:rPr>
              <w:t>Diagnostica tehnică a convertizoarelor de frecvență „ABB”. Prevede diagnosticul tehnic complet al convertizoarelor de frecvență, în scopul evaluării stării lor actuale de funcționare, identificării eventualelor defecțiuni sau abateri de la parametrii nominali, precum și formulării recomandărilor pentru remedierea acestora.</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vertAlign w:val="baseline"/>
                <w:lang w:val="en-US" w:eastAsia="zh-CN" w:bidi="ar-SA"/>
              </w:rPr>
            </w:pPr>
            <w:r>
              <w:rPr>
                <w:rFonts w:hint="default" w:ascii="Times New Roman" w:hAnsi="Times New Roman" w:cs="Times New Roman"/>
                <w:b/>
                <w:bCs/>
                <w:sz w:val="20"/>
                <w:szCs w:val="20"/>
                <w:vertAlign w:val="baseline"/>
              </w:rPr>
              <w:t xml:space="preserve">Lotul nr. 3. </w:t>
            </w:r>
            <w:r>
              <w:rPr>
                <w:rFonts w:hint="default" w:ascii="Times New Roman" w:hAnsi="Times New Roman"/>
                <w:b/>
                <w:bCs/>
                <w:sz w:val="20"/>
                <w:szCs w:val="20"/>
                <w:vertAlign w:val="baseline"/>
              </w:rPr>
              <w:t>Mentenanță preventivă și diagnostică tehnică a convertizoarelor de frecvență „POWTRAN” și „SCHNEIDER ELECTRIC”, inclusiv pregătirea personalului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Mentenanța preventivă a convertizoarelor de frecvență „POWTRAN” și „SCHNEIDER ELECTRIC”</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ru-RU" w:eastAsia="en-US"/>
              </w:rPr>
            </w:pPr>
            <w:r>
              <w:rPr>
                <w:rFonts w:hint="default" w:ascii="Times New Roman" w:hAnsi="Times New Roman"/>
                <w:i w:val="0"/>
                <w:iCs w:val="0"/>
                <w:sz w:val="20"/>
                <w:szCs w:val="20"/>
                <w:lang w:eastAsia="ro-RO"/>
              </w:rPr>
              <w:t>Mentenanța preventivă a convertizoarelor de frecvență „POWTRAN PI500 5R5G3”, „POWTRAN PI500015G3”, „POWTRAN PI9130А 7R5G3”, „POWTRAN PI500045G3” și „Schneider Electric Altivar ATV320U15N4C” - conform structurii (spectrului) și volumului de lucrări stipulate în Caietul de sarcini cu nr. de înregistrare 414-04/0316 din 20.03.2026</w:t>
            </w:r>
            <w:bookmarkStart w:id="0" w:name="_GoBack"/>
            <w:bookmarkEnd w:id="0"/>
            <w:r>
              <w:rPr>
                <w:rFonts w:hint="default" w:ascii="Times New Roman" w:hAnsi="Times New Roman"/>
                <w:i w:val="0"/>
                <w:iCs w:val="0"/>
                <w:sz w:val="20"/>
                <w:szCs w:val="20"/>
                <w:lang w:eastAsia="ro-RO"/>
              </w:rPr>
              <w: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ru-RU"/>
              </w:rPr>
              <w:t>Trainingul personalului</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o-RO"/>
              </w:rPr>
              <w:t>Pregătirea personalului în ceea ce privește mentenanța convertizoarelor de frecvență „POWTRAN” și „SCHNEIDER ELECTRIC”. Se va face pe baza manualului de operare și a instrucțiunilor de lucru, cu efectuarea testelor practice de verificare a cunoștințelor și consemnat într-un proces-verbal.</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val="zh-CN" w:eastAsia="ru-RU"/>
              </w:rPr>
              <w:t>Diagnostica tehnică a convertizoarelor de frecvență „POWTRAN” și „SCHNEIDER ELECTRIC”</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val="zh-CN" w:eastAsia="en-US"/>
              </w:rPr>
            </w:pPr>
            <w:r>
              <w:rPr>
                <w:rFonts w:hint="default" w:ascii="Times New Roman" w:hAnsi="Times New Roman"/>
                <w:i w:val="0"/>
                <w:iCs w:val="0"/>
                <w:sz w:val="20"/>
                <w:szCs w:val="20"/>
                <w:lang w:eastAsia="ro-RO"/>
              </w:rPr>
              <w:t>Diagnostica tehnică a convertizoarelor de frecvență „POWTRAN” și „SCHNEIDER ELECTRIC”. Prevede diagnosticul tehnic complet al convertizoarelor de frecvență, în scopul evaluării stării lor actuale de funcționare, identificării eventualelor defecțiuni sau abateri de la parametrii nominali, precum și formulării recomandărilor pentru remedierea acestora.</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bl>
    <w:p>
      <w:pPr>
        <w:keepNext w:val="0"/>
        <w:keepLines w:val="0"/>
        <w:pageBreakBefore w:val="0"/>
        <w:widowControl/>
        <w:kinsoku/>
        <w:wordWrap/>
        <w:overflowPunct/>
        <w:topLinePunct w:val="0"/>
        <w:autoSpaceDE/>
        <w:autoSpaceDN/>
        <w:bidi w:val="0"/>
        <w:adjustRightInd/>
        <w:snapToGrid/>
        <w:spacing w:before="181" w:beforeLines="50" w:line="360" w:lineRule="auto"/>
        <w:textAlignment w:val="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rPr>
          <w:rFonts w:hint="default" w:ascii="Times New Roman" w:hAnsi="Times New Roman" w:cs="Times New Roman"/>
          <w:u w:val="single"/>
        </w:rPr>
      </w:pP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mentenanță a convertizoarelor de frecvență, inclusiv instruirea personalului implicat în exploatarea lor</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54"/>
        <w:gridCol w:w="2631"/>
        <w:gridCol w:w="1059"/>
        <w:gridCol w:w="998"/>
        <w:gridCol w:w="1265"/>
        <w:gridCol w:w="1391"/>
        <w:gridCol w:w="1391"/>
        <w:gridCol w:w="1394"/>
        <w:gridCol w:w="1850"/>
        <w:gridCol w:w="1214"/>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Nr. lot</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color w:val="000000" w:themeColor="text1"/>
                <w:sz w:val="20"/>
                <w:szCs w:val="24"/>
                <w:u w:val="none"/>
                <w:lang w:eastAsia="en-US"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Cod CPV</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Denumirea bunurilor/serviciilor</w:t>
            </w:r>
          </w:p>
        </w:tc>
        <w:tc>
          <w:tcPr>
            <w:tcW w:w="105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Unitatea de măsură</w:t>
            </w:r>
          </w:p>
        </w:tc>
        <w:tc>
          <w:tcPr>
            <w:tcW w:w="9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tatea</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Preţ unitar (fără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Preţ unitar (cu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fără TVA</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cu TVA</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szCs w:val="28"/>
                <w:u w:val="none"/>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livrare/prestare</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szCs w:val="28"/>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Clasificație bugetară (IBAN)</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szCs w:val="28"/>
                <w:u w:val="none"/>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szCs w:val="28"/>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0</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2</w:t>
            </w:r>
          </w:p>
        </w:tc>
        <w:tc>
          <w:tcPr>
            <w:tcW w:w="105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3</w:t>
            </w:r>
          </w:p>
        </w:tc>
        <w:tc>
          <w:tcPr>
            <w:tcW w:w="9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4</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5</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6</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7</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8</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9</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10</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color w:val="000000" w:themeColor="text1"/>
                <w:u w:val="none"/>
                <w:vertAlign w:val="baseline"/>
                <w14:textFill>
                  <w14:solidFill>
                    <w14:schemeClr w14:val="tx1"/>
                  </w14:solidFill>
                </w14:textFill>
              </w:rPr>
            </w:pPr>
            <w:r>
              <w:rPr>
                <w:rFonts w:hint="default" w:ascii="Times New Roman" w:hAnsi="Times New Roman"/>
                <w:b/>
                <w:bCs/>
                <w:color w:val="000000" w:themeColor="text1"/>
                <w:vertAlign w:val="baseline"/>
                <w14:textFill>
                  <w14:solidFill>
                    <w14:schemeClr w14:val="tx1"/>
                  </w14:solidFill>
                </w14:textFill>
              </w:rPr>
              <w:t>Lotul nr. 1. Mentenanță preventivă și diagnostică tehnică a convertizoarelor de frecvență „VACON”, inclusiv pregătirea personalului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o-RO"/>
                <w14:textFill>
                  <w14:solidFill>
                    <w14:schemeClr w14:val="tx1"/>
                  </w14:solidFill>
                </w14:textFill>
              </w:rPr>
            </w:pPr>
            <w:r>
              <w:rPr>
                <w:rFonts w:hint="default" w:ascii="Times New Roman" w:hAnsi="Times New Roman"/>
                <w:i w:val="0"/>
                <w:iCs w:val="0"/>
                <w:color w:val="000000" w:themeColor="text1"/>
                <w:sz w:val="20"/>
                <w:szCs w:val="20"/>
                <w:lang w:val="zh-CN" w:eastAsia="en-US"/>
                <w14:textFill>
                  <w14:solidFill>
                    <w14:schemeClr w14:val="tx1"/>
                  </w14:solidFill>
                </w14:textFill>
              </w:rPr>
              <w:t>Mentenanța preventivă a convertizoarelor de frecvență „VACON”</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en-US" w:eastAsia="en-US"/>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3,0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8"/>
                <w:szCs w:val="18"/>
                <w:u w:val="none"/>
                <w:vertAlign w:val="baseline"/>
                <w:lang w:eastAsia="zh-CN" w:bidi="ar-SA"/>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u-RU"/>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Trainingul personalului</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ru-RU"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ru-RU" w:eastAsia="ro-RO"/>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olor w:val="000000" w:themeColor="text1"/>
                <w:sz w:val="18"/>
                <w:szCs w:val="18"/>
                <w:u w:val="none"/>
                <w:vertAlign w:val="baseline"/>
                <w:lang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en-US"/>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Diagnostica tehnică a convertizoarelor de frecvență „VACON”</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en-US" w:eastAsia="en-US"/>
                <w14:textFill>
                  <w14:solidFill>
                    <w14:schemeClr w14:val="tx1"/>
                  </w14:solidFill>
                </w14:textFill>
              </w:rPr>
            </w:pPr>
            <w:r>
              <w:rPr>
                <w:rFonts w:hint="default" w:ascii="Times New Roman" w:hAnsi="Times New Roman" w:cs="Times New Roman"/>
                <w:color w:val="000000" w:themeColor="text1"/>
                <w:sz w:val="20"/>
                <w:lang w:eastAsia="ru-RU"/>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8"/>
                <w:szCs w:val="18"/>
                <w:u w:val="none"/>
                <w:vertAlign w:val="baseline"/>
                <w:lang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color w:val="000000" w:themeColor="text1"/>
                <w:sz w:val="20"/>
                <w:szCs w:val="20"/>
                <w:lang w:eastAsia="ru-RU" w:bidi="ar-SA"/>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 lot 1</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color w:val="000000" w:themeColor="text1"/>
                <w:u w:val="none"/>
                <w:vertAlign w:val="baseline"/>
                <w14:textFill>
                  <w14:solidFill>
                    <w14:schemeClr w14:val="tx1"/>
                  </w14:solidFill>
                </w14:textFill>
              </w:rPr>
            </w:pPr>
            <w:r>
              <w:rPr>
                <w:rFonts w:hint="default" w:ascii="Times New Roman" w:hAnsi="Times New Roman"/>
                <w:b/>
                <w:bCs/>
                <w:color w:val="000000" w:themeColor="text1"/>
                <w:vertAlign w:val="baseline"/>
                <w14:textFill>
                  <w14:solidFill>
                    <w14:schemeClr w14:val="tx1"/>
                  </w14:solidFill>
                </w14:textFill>
              </w:rPr>
              <w:t>Lotul nr. 2. Mentenanță preventivă și diagnostică tehnică a convertizoarelor de frecvență „ABB”, inclusiv pregătirea personalului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u-RU"/>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Mentenanța preventivă a convertizoarelor de frecvență „ABB”</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22,0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8"/>
                <w:szCs w:val="18"/>
                <w:u w:val="none"/>
                <w:vertAlign w:val="baseline"/>
                <w:lang w:val="en-US" w:eastAsia="zh-CN" w:bidi="ar-SA"/>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u-RU"/>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Trainingul personalului</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u w:val="none"/>
                <w:vertAlign w:val="baseline"/>
                <w:lang w:val="en-US" w:eastAsia="zh-CN" w:bidi="ar-SA"/>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en-US" w:eastAsia="en-US"/>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Diagnostica tehnică a convertizoarelor de frecvență „ABB”</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en-US" w:bidi="ar-SA"/>
                <w14:textFill>
                  <w14:solidFill>
                    <w14:schemeClr w14:val="tx1"/>
                  </w14:solidFill>
                </w14:textFill>
              </w:rPr>
            </w:pPr>
            <w:r>
              <w:rPr>
                <w:rFonts w:hint="default" w:ascii="Times New Roman" w:hAnsi="Times New Roman" w:cs="Times New Roman"/>
                <w:color w:val="000000" w:themeColor="text1"/>
                <w:sz w:val="20"/>
                <w:lang w:eastAsia="ru-RU"/>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8"/>
                <w:szCs w:val="18"/>
                <w:u w:val="none"/>
                <w:vertAlign w:val="baseline"/>
                <w:lang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color w:val="000000" w:themeColor="text1"/>
                <w:sz w:val="20"/>
                <w:szCs w:val="20"/>
                <w:lang w:eastAsia="ru-RU" w:bidi="ar-SA"/>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 lot 2</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color w:val="000000" w:themeColor="text1"/>
                <w:u w:val="none"/>
                <w:vertAlign w:val="baseline"/>
                <w14:textFill>
                  <w14:solidFill>
                    <w14:schemeClr w14:val="tx1"/>
                  </w14:solidFill>
                </w14:textFill>
              </w:rPr>
            </w:pPr>
            <w:r>
              <w:rPr>
                <w:rFonts w:hint="default" w:ascii="Times New Roman" w:hAnsi="Times New Roman"/>
                <w:b/>
                <w:bCs/>
                <w:color w:val="000000" w:themeColor="text1"/>
                <w:vertAlign w:val="baseline"/>
                <w14:textFill>
                  <w14:solidFill>
                    <w14:schemeClr w14:val="tx1"/>
                  </w14:solidFill>
                </w14:textFill>
              </w:rPr>
              <w:t>Lotul nr. 3. Mentenanță preventivă și diagnostică tehnică a convertizoarelor de frecvență „POWTRAN” și „SCHNEIDER ELECTRIC”, inclusiv pregătirea personalului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u-RU"/>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Mentenanța preventivă a convertizoarelor de frecvență „POWTRAN” și „SCHNEIDER ELECTRIC”</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5,0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en-US"/>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Trainingul personalului</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en-US"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8"/>
                <w:szCs w:val="18"/>
                <w:u w:val="none"/>
                <w:vertAlign w:val="baseline"/>
                <w:lang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6"/>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50532000-3</w:t>
            </w:r>
          </w:p>
        </w:tc>
        <w:tc>
          <w:tcPr>
            <w:tcW w:w="263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en-US"/>
                <w14:textFill>
                  <w14:solidFill>
                    <w14:schemeClr w14:val="tx1"/>
                  </w14:solidFill>
                </w14:textFill>
              </w:rPr>
            </w:pPr>
            <w:r>
              <w:rPr>
                <w:rFonts w:hint="default" w:ascii="Times New Roman" w:hAnsi="Times New Roman"/>
                <w:i w:val="0"/>
                <w:iCs w:val="0"/>
                <w:color w:val="000000" w:themeColor="text1"/>
                <w:sz w:val="20"/>
                <w:szCs w:val="20"/>
                <w:lang w:val="zh-CN" w:eastAsia="ru-RU"/>
                <w14:textFill>
                  <w14:solidFill>
                    <w14:schemeClr w14:val="tx1"/>
                  </w14:solidFill>
                </w14:textFill>
              </w:rPr>
              <w:t>Diagnostica tehnică a convertizoarelor de frecvență „POWTRAN” și „SCHNEIDER ELECTRIC”</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serv.</w:t>
            </w:r>
          </w:p>
        </w:tc>
        <w:tc>
          <w:tcPr>
            <w:tcW w:w="99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en-US" w:bidi="ar-SA"/>
                <w14:textFill>
                  <w14:solidFill>
                    <w14:schemeClr w14:val="tx1"/>
                  </w14:solidFill>
                </w14:textFill>
              </w:rPr>
            </w:pPr>
            <w:r>
              <w:rPr>
                <w:rFonts w:hint="default" w:ascii="Times New Roman" w:hAnsi="Times New Roman" w:cs="Times New Roman"/>
                <w:color w:val="000000" w:themeColor="text1"/>
                <w:sz w:val="20"/>
                <w:lang w:eastAsia="ru-RU"/>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8"/>
                <w:szCs w:val="18"/>
                <w:u w:val="none"/>
                <w:vertAlign w:val="baseline"/>
                <w:lang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Conform graficului agreat de către Părți (până la 01.10.2025)</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color w:val="000000" w:themeColor="text1"/>
                <w:sz w:val="20"/>
                <w:szCs w:val="20"/>
                <w:lang w:eastAsia="ru-RU" w:bidi="ar-SA"/>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 lot 3</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en-US" w:eastAsia="ru-RU" w:bidi="ar-SA"/>
                <w14:textFill>
                  <w14:solidFill>
                    <w14:schemeClr w14:val="tx1"/>
                  </w14:solidFill>
                </w14:textFill>
              </w:rPr>
            </w:pP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val="en-US" w:eastAsia="ro-RO"/>
                <w14:textFill>
                  <w14:solidFill>
                    <w14:schemeClr w14:val="tx1"/>
                  </w14:solidFill>
                </w14:textFill>
              </w:rPr>
            </w:pP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eastAsiaTheme="minorEastAsia"/>
                <w:color w:val="000000" w:themeColor="text1"/>
                <w:u w:val="none"/>
                <w:vertAlign w:val="baseline"/>
                <w:lang w:val="en-US" w:eastAsia="zh-CN"/>
                <w14:textFill>
                  <w14:solidFill>
                    <w14:schemeClr w14:val="tx1"/>
                  </w14:solidFill>
                </w14:textFill>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eastAsia="en-US"/>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F3DA209C"/>
    <w:multiLevelType w:val="singleLevel"/>
    <w:tmpl w:val="F3DA209C"/>
    <w:lvl w:ilvl="0" w:tentative="0">
      <w:start w:val="1"/>
      <w:numFmt w:val="decimal"/>
      <w:lvlText w:val="%1."/>
      <w:lvlJc w:val="left"/>
      <w:pPr>
        <w:tabs>
          <w:tab w:val="left" w:pos="425"/>
        </w:tabs>
        <w:ind w:left="425" w:leftChars="0" w:hanging="425" w:firstLineChars="0"/>
      </w:pPr>
      <w:rPr>
        <w:rFonts w:hint="default"/>
      </w:rPr>
    </w:lvl>
  </w:abstractNum>
  <w:abstractNum w:abstractNumId="2">
    <w:nsid w:val="17B8F905"/>
    <w:multiLevelType w:val="singleLevel"/>
    <w:tmpl w:val="17B8F905"/>
    <w:lvl w:ilvl="0" w:tentative="0">
      <w:start w:val="1"/>
      <w:numFmt w:val="decimal"/>
      <w:lvlText w:val="%1."/>
      <w:lvlJc w:val="left"/>
      <w:pPr>
        <w:tabs>
          <w:tab w:val="left" w:pos="425"/>
        </w:tabs>
        <w:ind w:left="425" w:leftChars="0" w:hanging="425" w:firstLineChars="0"/>
      </w:pPr>
      <w:rPr>
        <w:rFonts w:hint="default"/>
      </w:rPr>
    </w:lvl>
  </w:abstractNum>
  <w:abstractNum w:abstractNumId="3">
    <w:nsid w:val="42B3DE26"/>
    <w:multiLevelType w:val="singleLevel"/>
    <w:tmpl w:val="42B3DE26"/>
    <w:lvl w:ilvl="0" w:tentative="0">
      <w:start w:val="1"/>
      <w:numFmt w:val="decimal"/>
      <w:lvlText w:val="%1."/>
      <w:lvlJc w:val="left"/>
      <w:pPr>
        <w:tabs>
          <w:tab w:val="left" w:pos="425"/>
        </w:tabs>
        <w:ind w:left="425" w:leftChars="0" w:hanging="425" w:firstLineChars="0"/>
      </w:pPr>
      <w:rPr>
        <w:rFonts w:hint="default"/>
      </w:rPr>
    </w:lvl>
  </w:abstractNum>
  <w:abstractNum w:abstractNumId="4">
    <w:nsid w:val="567548F6"/>
    <w:multiLevelType w:val="singleLevel"/>
    <w:tmpl w:val="567548F6"/>
    <w:lvl w:ilvl="0" w:tentative="0">
      <w:start w:val="1"/>
      <w:numFmt w:val="decimal"/>
      <w:lvlText w:val="%1."/>
      <w:lvlJc w:val="left"/>
      <w:pPr>
        <w:tabs>
          <w:tab w:val="left" w:pos="425"/>
        </w:tabs>
        <w:ind w:left="425" w:leftChars="0" w:hanging="425" w:firstLineChars="0"/>
      </w:pPr>
      <w:rPr>
        <w:rFonts w:hint="default"/>
      </w:rPr>
    </w:lvl>
  </w:abstractNum>
  <w:abstractNum w:abstractNumId="5">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2C23"/>
    <w:rsid w:val="008A3100"/>
    <w:rsid w:val="00F213D0"/>
    <w:rsid w:val="00F73E22"/>
    <w:rsid w:val="01341857"/>
    <w:rsid w:val="0160637B"/>
    <w:rsid w:val="02462A4F"/>
    <w:rsid w:val="03057D24"/>
    <w:rsid w:val="03962305"/>
    <w:rsid w:val="04B03BBE"/>
    <w:rsid w:val="04B32944"/>
    <w:rsid w:val="04FA0515"/>
    <w:rsid w:val="052F6783"/>
    <w:rsid w:val="06A30084"/>
    <w:rsid w:val="06C16E21"/>
    <w:rsid w:val="075B04E7"/>
    <w:rsid w:val="079D450C"/>
    <w:rsid w:val="0856189A"/>
    <w:rsid w:val="08B253D3"/>
    <w:rsid w:val="08E32BEA"/>
    <w:rsid w:val="095835E2"/>
    <w:rsid w:val="09781919"/>
    <w:rsid w:val="0A064A00"/>
    <w:rsid w:val="0A1F41F1"/>
    <w:rsid w:val="0AEC39F9"/>
    <w:rsid w:val="0B1A6AC6"/>
    <w:rsid w:val="0BAA5EE2"/>
    <w:rsid w:val="0C722C9C"/>
    <w:rsid w:val="0D26085E"/>
    <w:rsid w:val="0D34791F"/>
    <w:rsid w:val="0D7F51EF"/>
    <w:rsid w:val="0D976E5A"/>
    <w:rsid w:val="0DE66214"/>
    <w:rsid w:val="0DFA0062"/>
    <w:rsid w:val="0F845381"/>
    <w:rsid w:val="0F96366E"/>
    <w:rsid w:val="0FE963AA"/>
    <w:rsid w:val="10204305"/>
    <w:rsid w:val="103764A9"/>
    <w:rsid w:val="10425480"/>
    <w:rsid w:val="10962649"/>
    <w:rsid w:val="10E36DA6"/>
    <w:rsid w:val="119028A6"/>
    <w:rsid w:val="11A256FB"/>
    <w:rsid w:val="11C71B03"/>
    <w:rsid w:val="11CF269B"/>
    <w:rsid w:val="124A57A9"/>
    <w:rsid w:val="12B44C98"/>
    <w:rsid w:val="12FC2E9E"/>
    <w:rsid w:val="136F4921"/>
    <w:rsid w:val="137A533A"/>
    <w:rsid w:val="13AA13D0"/>
    <w:rsid w:val="13AE706D"/>
    <w:rsid w:val="13CB50AE"/>
    <w:rsid w:val="140A5C07"/>
    <w:rsid w:val="142C4DA5"/>
    <w:rsid w:val="145E6879"/>
    <w:rsid w:val="14714E0B"/>
    <w:rsid w:val="148C1946"/>
    <w:rsid w:val="149C2A0B"/>
    <w:rsid w:val="14C31A74"/>
    <w:rsid w:val="15433EAE"/>
    <w:rsid w:val="15684784"/>
    <w:rsid w:val="15690030"/>
    <w:rsid w:val="15CF515F"/>
    <w:rsid w:val="16176152"/>
    <w:rsid w:val="16690ECB"/>
    <w:rsid w:val="16B71ED0"/>
    <w:rsid w:val="16E8230B"/>
    <w:rsid w:val="17566556"/>
    <w:rsid w:val="18294330"/>
    <w:rsid w:val="19050E57"/>
    <w:rsid w:val="192C06DB"/>
    <w:rsid w:val="19D246EC"/>
    <w:rsid w:val="1A235F91"/>
    <w:rsid w:val="1AEB276C"/>
    <w:rsid w:val="1B0A44F5"/>
    <w:rsid w:val="1B717BA4"/>
    <w:rsid w:val="1BB90D09"/>
    <w:rsid w:val="1BCF2EAD"/>
    <w:rsid w:val="1BD23C9F"/>
    <w:rsid w:val="1BD54DB6"/>
    <w:rsid w:val="1BF974FC"/>
    <w:rsid w:val="1C095956"/>
    <w:rsid w:val="1C1C6023"/>
    <w:rsid w:val="1C7162B9"/>
    <w:rsid w:val="1C8708F3"/>
    <w:rsid w:val="1CAF2C3E"/>
    <w:rsid w:val="1CD96BE2"/>
    <w:rsid w:val="1D1F7306"/>
    <w:rsid w:val="1DB03E28"/>
    <w:rsid w:val="1E2A35E1"/>
    <w:rsid w:val="1E475809"/>
    <w:rsid w:val="1E83119C"/>
    <w:rsid w:val="1ED12D01"/>
    <w:rsid w:val="1EEC7A8C"/>
    <w:rsid w:val="1F062428"/>
    <w:rsid w:val="1F807DBA"/>
    <w:rsid w:val="20181907"/>
    <w:rsid w:val="213D1395"/>
    <w:rsid w:val="21A621B6"/>
    <w:rsid w:val="21AD61D1"/>
    <w:rsid w:val="21BC67F2"/>
    <w:rsid w:val="22126529"/>
    <w:rsid w:val="22575BBF"/>
    <w:rsid w:val="22BE600E"/>
    <w:rsid w:val="22F351E3"/>
    <w:rsid w:val="233D0DFF"/>
    <w:rsid w:val="235F5B97"/>
    <w:rsid w:val="238734D8"/>
    <w:rsid w:val="243A32CF"/>
    <w:rsid w:val="244417EA"/>
    <w:rsid w:val="24CC4FDE"/>
    <w:rsid w:val="250D45D9"/>
    <w:rsid w:val="25917193"/>
    <w:rsid w:val="259D1413"/>
    <w:rsid w:val="26665E8F"/>
    <w:rsid w:val="26957341"/>
    <w:rsid w:val="26D364C3"/>
    <w:rsid w:val="274043A6"/>
    <w:rsid w:val="277D7855"/>
    <w:rsid w:val="27FE6EAA"/>
    <w:rsid w:val="28921BC8"/>
    <w:rsid w:val="28D72411"/>
    <w:rsid w:val="28DE416E"/>
    <w:rsid w:val="28F306BC"/>
    <w:rsid w:val="28F43F3F"/>
    <w:rsid w:val="295419DA"/>
    <w:rsid w:val="299E0B55"/>
    <w:rsid w:val="2A41096D"/>
    <w:rsid w:val="2A9B7773"/>
    <w:rsid w:val="2AD51ED6"/>
    <w:rsid w:val="2B010DE5"/>
    <w:rsid w:val="2B8A559C"/>
    <w:rsid w:val="2BA128A4"/>
    <w:rsid w:val="2BEC169E"/>
    <w:rsid w:val="2C133ADC"/>
    <w:rsid w:val="2C1D34E2"/>
    <w:rsid w:val="2CDC6DA8"/>
    <w:rsid w:val="2CF2314A"/>
    <w:rsid w:val="2D566D3D"/>
    <w:rsid w:val="2D8B7E46"/>
    <w:rsid w:val="2DCC08AF"/>
    <w:rsid w:val="2E79424B"/>
    <w:rsid w:val="2E7C753E"/>
    <w:rsid w:val="2EE338FA"/>
    <w:rsid w:val="2EFB296D"/>
    <w:rsid w:val="2F7964B4"/>
    <w:rsid w:val="2FAB6462"/>
    <w:rsid w:val="2FB51617"/>
    <w:rsid w:val="30976DA2"/>
    <w:rsid w:val="3098299F"/>
    <w:rsid w:val="30DF4C88"/>
    <w:rsid w:val="30F139DA"/>
    <w:rsid w:val="31044BF9"/>
    <w:rsid w:val="319934B1"/>
    <w:rsid w:val="32117518"/>
    <w:rsid w:val="32691F42"/>
    <w:rsid w:val="32A40826"/>
    <w:rsid w:val="32DB0B8E"/>
    <w:rsid w:val="3380750C"/>
    <w:rsid w:val="33DF2DA8"/>
    <w:rsid w:val="34386CBA"/>
    <w:rsid w:val="3453761A"/>
    <w:rsid w:val="34C57BA3"/>
    <w:rsid w:val="34D058C0"/>
    <w:rsid w:val="34D348B8"/>
    <w:rsid w:val="35635123"/>
    <w:rsid w:val="35B4714A"/>
    <w:rsid w:val="36202A8B"/>
    <w:rsid w:val="367A5F70"/>
    <w:rsid w:val="371C5779"/>
    <w:rsid w:val="374239A8"/>
    <w:rsid w:val="37AC3D63"/>
    <w:rsid w:val="37BA3F2B"/>
    <w:rsid w:val="38286CC9"/>
    <w:rsid w:val="38627659"/>
    <w:rsid w:val="38874FCD"/>
    <w:rsid w:val="388B33D1"/>
    <w:rsid w:val="38A21BCA"/>
    <w:rsid w:val="38EF5674"/>
    <w:rsid w:val="3908401F"/>
    <w:rsid w:val="3957406F"/>
    <w:rsid w:val="39902C7F"/>
    <w:rsid w:val="3998008B"/>
    <w:rsid w:val="39AB195F"/>
    <w:rsid w:val="39E9692C"/>
    <w:rsid w:val="3A227FEF"/>
    <w:rsid w:val="3A2E45A5"/>
    <w:rsid w:val="3A564669"/>
    <w:rsid w:val="3ACD651F"/>
    <w:rsid w:val="3B2C03F0"/>
    <w:rsid w:val="3B314929"/>
    <w:rsid w:val="3C7030B7"/>
    <w:rsid w:val="3CD15AA7"/>
    <w:rsid w:val="3CEE333F"/>
    <w:rsid w:val="3D440A32"/>
    <w:rsid w:val="3D7F5473"/>
    <w:rsid w:val="3D98229D"/>
    <w:rsid w:val="3DF53D49"/>
    <w:rsid w:val="3DFA4DBC"/>
    <w:rsid w:val="3DFD24EF"/>
    <w:rsid w:val="3DFF4976"/>
    <w:rsid w:val="3E274987"/>
    <w:rsid w:val="3EDF5891"/>
    <w:rsid w:val="3EEF3E6C"/>
    <w:rsid w:val="3F281FAB"/>
    <w:rsid w:val="3F9D79EB"/>
    <w:rsid w:val="3FA937FE"/>
    <w:rsid w:val="40655236"/>
    <w:rsid w:val="406903B9"/>
    <w:rsid w:val="40DF6FE1"/>
    <w:rsid w:val="41610951"/>
    <w:rsid w:val="422E6A20"/>
    <w:rsid w:val="42D6206C"/>
    <w:rsid w:val="42F22356"/>
    <w:rsid w:val="430B6522"/>
    <w:rsid w:val="432230E1"/>
    <w:rsid w:val="433C115C"/>
    <w:rsid w:val="43EC32A0"/>
    <w:rsid w:val="442B4CA6"/>
    <w:rsid w:val="446A7138"/>
    <w:rsid w:val="448F2A7E"/>
    <w:rsid w:val="44D212C3"/>
    <w:rsid w:val="458B32BF"/>
    <w:rsid w:val="45A72013"/>
    <w:rsid w:val="45ED64C7"/>
    <w:rsid w:val="460B5A77"/>
    <w:rsid w:val="460C79DA"/>
    <w:rsid w:val="46341E7B"/>
    <w:rsid w:val="4669356C"/>
    <w:rsid w:val="469D2B56"/>
    <w:rsid w:val="46C95B1B"/>
    <w:rsid w:val="48686BDB"/>
    <w:rsid w:val="48927A1F"/>
    <w:rsid w:val="48D3628A"/>
    <w:rsid w:val="49057076"/>
    <w:rsid w:val="493C0430"/>
    <w:rsid w:val="49991CBB"/>
    <w:rsid w:val="4A3459A1"/>
    <w:rsid w:val="4A383A56"/>
    <w:rsid w:val="4A7B35D0"/>
    <w:rsid w:val="4AB873A4"/>
    <w:rsid w:val="4B2B3590"/>
    <w:rsid w:val="4B8F7878"/>
    <w:rsid w:val="4B924B09"/>
    <w:rsid w:val="4C205671"/>
    <w:rsid w:val="4C6C31D0"/>
    <w:rsid w:val="4CF220F9"/>
    <w:rsid w:val="4D06246C"/>
    <w:rsid w:val="4D4E2860"/>
    <w:rsid w:val="4E1B06BB"/>
    <w:rsid w:val="4E4A6F22"/>
    <w:rsid w:val="4F6D14D3"/>
    <w:rsid w:val="50146E1C"/>
    <w:rsid w:val="502C5217"/>
    <w:rsid w:val="503179CC"/>
    <w:rsid w:val="506121EE"/>
    <w:rsid w:val="511427DA"/>
    <w:rsid w:val="51276734"/>
    <w:rsid w:val="515D3A2F"/>
    <w:rsid w:val="51816D85"/>
    <w:rsid w:val="51FD0610"/>
    <w:rsid w:val="52272A53"/>
    <w:rsid w:val="5314398B"/>
    <w:rsid w:val="53380017"/>
    <w:rsid w:val="533D68E5"/>
    <w:rsid w:val="537E6888"/>
    <w:rsid w:val="538A03E0"/>
    <w:rsid w:val="539058A9"/>
    <w:rsid w:val="539865BA"/>
    <w:rsid w:val="539F323A"/>
    <w:rsid w:val="540839FD"/>
    <w:rsid w:val="542D135B"/>
    <w:rsid w:val="544F4A67"/>
    <w:rsid w:val="54DF2FCC"/>
    <w:rsid w:val="55280E42"/>
    <w:rsid w:val="554C7D7D"/>
    <w:rsid w:val="555A7093"/>
    <w:rsid w:val="558939DC"/>
    <w:rsid w:val="56FA0D19"/>
    <w:rsid w:val="56FE6A8B"/>
    <w:rsid w:val="57500440"/>
    <w:rsid w:val="577F10CA"/>
    <w:rsid w:val="578F06BB"/>
    <w:rsid w:val="579F77F4"/>
    <w:rsid w:val="57AC65E2"/>
    <w:rsid w:val="57C60ABC"/>
    <w:rsid w:val="58510B4E"/>
    <w:rsid w:val="58BE2FA8"/>
    <w:rsid w:val="58D6288E"/>
    <w:rsid w:val="59051627"/>
    <w:rsid w:val="5AC72C37"/>
    <w:rsid w:val="5AE51DB9"/>
    <w:rsid w:val="5B0E1573"/>
    <w:rsid w:val="5B5176DD"/>
    <w:rsid w:val="5B8816A9"/>
    <w:rsid w:val="5BD42B40"/>
    <w:rsid w:val="5BEC315F"/>
    <w:rsid w:val="5C341831"/>
    <w:rsid w:val="5CF43F2D"/>
    <w:rsid w:val="5CF71093"/>
    <w:rsid w:val="5D04560C"/>
    <w:rsid w:val="5D5B5499"/>
    <w:rsid w:val="5D782062"/>
    <w:rsid w:val="5D9670B3"/>
    <w:rsid w:val="5E0A47E0"/>
    <w:rsid w:val="5E1636E9"/>
    <w:rsid w:val="5E4E14BA"/>
    <w:rsid w:val="5E940365"/>
    <w:rsid w:val="5EDD34B2"/>
    <w:rsid w:val="5F060DF3"/>
    <w:rsid w:val="5F107B83"/>
    <w:rsid w:val="5F291A68"/>
    <w:rsid w:val="5FCE083C"/>
    <w:rsid w:val="606618CE"/>
    <w:rsid w:val="6091637B"/>
    <w:rsid w:val="60BA7FC0"/>
    <w:rsid w:val="610A2A1F"/>
    <w:rsid w:val="615F7CCE"/>
    <w:rsid w:val="61D80EC5"/>
    <w:rsid w:val="61F3273F"/>
    <w:rsid w:val="62E27E4A"/>
    <w:rsid w:val="630F7A14"/>
    <w:rsid w:val="63A16619"/>
    <w:rsid w:val="63F91D0A"/>
    <w:rsid w:val="64A123A9"/>
    <w:rsid w:val="655E1B91"/>
    <w:rsid w:val="656776D4"/>
    <w:rsid w:val="657E520F"/>
    <w:rsid w:val="659F31C5"/>
    <w:rsid w:val="65A45331"/>
    <w:rsid w:val="67F81C99"/>
    <w:rsid w:val="681B32D5"/>
    <w:rsid w:val="688E4077"/>
    <w:rsid w:val="68976726"/>
    <w:rsid w:val="68E57E27"/>
    <w:rsid w:val="6920240C"/>
    <w:rsid w:val="693365A4"/>
    <w:rsid w:val="69AC0C58"/>
    <w:rsid w:val="6AF75CE4"/>
    <w:rsid w:val="6B0B538D"/>
    <w:rsid w:val="6B52785D"/>
    <w:rsid w:val="6B5C31D4"/>
    <w:rsid w:val="6B67048D"/>
    <w:rsid w:val="6B89226B"/>
    <w:rsid w:val="6C3413BA"/>
    <w:rsid w:val="6CE60925"/>
    <w:rsid w:val="6DE34AE4"/>
    <w:rsid w:val="6E3C219F"/>
    <w:rsid w:val="6ECC6BD6"/>
    <w:rsid w:val="6EE51CFE"/>
    <w:rsid w:val="6F4938C2"/>
    <w:rsid w:val="6F6C0CDE"/>
    <w:rsid w:val="6F935C45"/>
    <w:rsid w:val="6FD3369D"/>
    <w:rsid w:val="70022762"/>
    <w:rsid w:val="70515D4C"/>
    <w:rsid w:val="709829C9"/>
    <w:rsid w:val="709D6E51"/>
    <w:rsid w:val="70FE5BF1"/>
    <w:rsid w:val="71076500"/>
    <w:rsid w:val="71D21478"/>
    <w:rsid w:val="71D4494F"/>
    <w:rsid w:val="71F22B08"/>
    <w:rsid w:val="72417502"/>
    <w:rsid w:val="72632F3A"/>
    <w:rsid w:val="727B22EE"/>
    <w:rsid w:val="72AC1CC9"/>
    <w:rsid w:val="72E36382"/>
    <w:rsid w:val="73100AD4"/>
    <w:rsid w:val="733D60BC"/>
    <w:rsid w:val="739E1612"/>
    <w:rsid w:val="73AC7C2D"/>
    <w:rsid w:val="73DD005B"/>
    <w:rsid w:val="743608B6"/>
    <w:rsid w:val="7477213F"/>
    <w:rsid w:val="74BD341A"/>
    <w:rsid w:val="74CB2F3E"/>
    <w:rsid w:val="74D74BBC"/>
    <w:rsid w:val="751F5C9C"/>
    <w:rsid w:val="752949C6"/>
    <w:rsid w:val="75660FA8"/>
    <w:rsid w:val="75662603"/>
    <w:rsid w:val="756D0933"/>
    <w:rsid w:val="75CD2DB2"/>
    <w:rsid w:val="75E33D48"/>
    <w:rsid w:val="768F6393"/>
    <w:rsid w:val="77207080"/>
    <w:rsid w:val="780D04DE"/>
    <w:rsid w:val="78667397"/>
    <w:rsid w:val="78F86B66"/>
    <w:rsid w:val="78FF20E3"/>
    <w:rsid w:val="79252C4D"/>
    <w:rsid w:val="79CE426D"/>
    <w:rsid w:val="7AE377C7"/>
    <w:rsid w:val="7B0B2BDE"/>
    <w:rsid w:val="7B5909EE"/>
    <w:rsid w:val="7B6B5529"/>
    <w:rsid w:val="7B974C50"/>
    <w:rsid w:val="7BF628C7"/>
    <w:rsid w:val="7C250887"/>
    <w:rsid w:val="7C39225B"/>
    <w:rsid w:val="7C4F1F14"/>
    <w:rsid w:val="7CE76266"/>
    <w:rsid w:val="7E0807F4"/>
    <w:rsid w:val="7E7365A2"/>
    <w:rsid w:val="7E806AE6"/>
    <w:rsid w:val="7FAE7080"/>
    <w:rsid w:val="7FF9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A_Bulat</cp:lastModifiedBy>
  <dcterms:modified xsi:type="dcterms:W3CDTF">2026-03-26T14:43:09Z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937674BB07F2438AABECF06612E9DF79_13</vt:lpwstr>
  </property>
</Properties>
</file>