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17022EE4" w14:textId="7FFCC07A" w:rsidR="000258A4" w:rsidRPr="00C60D06" w:rsidRDefault="000258A4" w:rsidP="00DE51DE">
            <w:pPr>
              <w:spacing w:line="360" w:lineRule="auto"/>
              <w:jc w:val="both"/>
              <w:rPr>
                <w:sz w:val="32"/>
                <w:szCs w:val="32"/>
              </w:rPr>
            </w:pPr>
            <w:r w:rsidRPr="00C60D06">
              <w:rPr>
                <w:sz w:val="32"/>
                <w:szCs w:val="32"/>
              </w:rPr>
              <w:t>Obiectul achiziţiei:</w:t>
            </w:r>
            <w:r w:rsidRPr="00C60D06">
              <w:rPr>
                <w:b/>
                <w:sz w:val="32"/>
                <w:szCs w:val="32"/>
              </w:rPr>
              <w:t xml:space="preserve"> </w:t>
            </w:r>
            <w:r w:rsidR="00AB17F3">
              <w:rPr>
                <w:b/>
                <w:sz w:val="32"/>
                <w:szCs w:val="32"/>
              </w:rPr>
              <w:t>Achiziționarea serviciilor</w:t>
            </w:r>
            <w:r w:rsidR="00A64A7A">
              <w:rPr>
                <w:b/>
                <w:sz w:val="32"/>
                <w:szCs w:val="32"/>
              </w:rPr>
              <w:t xml:space="preserve"> de deservire tehnică și întreținer</w:t>
            </w:r>
            <w:r w:rsidR="00313B1C">
              <w:rPr>
                <w:b/>
                <w:sz w:val="32"/>
                <w:szCs w:val="32"/>
              </w:rPr>
              <w:t>e a ascensoarelor pentru an.2022</w:t>
            </w:r>
          </w:p>
          <w:p w14:paraId="49CD8E3C" w14:textId="7E79FABF"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14:paraId="6DD6707B" w14:textId="19071100"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p>
          <w:p w14:paraId="56A612F9" w14:textId="6AC6F9E4"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00A64A7A">
              <w:rPr>
                <w:b/>
                <w:sz w:val="32"/>
                <w:szCs w:val="32"/>
              </w:rPr>
              <w:t>50750000-7</w:t>
            </w:r>
          </w:p>
          <w:p w14:paraId="3C32B0B3" w14:textId="77777777" w:rsidR="000258A4" w:rsidRPr="00C60D06" w:rsidRDefault="000258A4" w:rsidP="00DE51DE">
            <w:pPr>
              <w:spacing w:line="360" w:lineRule="auto"/>
              <w:jc w:val="both"/>
              <w:rPr>
                <w:sz w:val="32"/>
                <w:szCs w:val="32"/>
              </w:rPr>
            </w:pPr>
          </w:p>
          <w:p w14:paraId="7FB19F7C" w14:textId="5661AB6D" w:rsidR="000258A4" w:rsidRPr="00C60D06" w:rsidRDefault="000258A4" w:rsidP="00DE51DE">
            <w:pPr>
              <w:spacing w:line="360" w:lineRule="auto"/>
              <w:jc w:val="both"/>
              <w:rPr>
                <w:sz w:val="32"/>
                <w:szCs w:val="32"/>
              </w:rPr>
            </w:pPr>
            <w:r w:rsidRPr="00C60D06">
              <w:rPr>
                <w:sz w:val="32"/>
                <w:szCs w:val="32"/>
              </w:rPr>
              <w:t>Autoritarea Contractantă:</w:t>
            </w:r>
            <w:r w:rsidR="00A64A7A">
              <w:rPr>
                <w:sz w:val="32"/>
                <w:szCs w:val="32"/>
              </w:rPr>
              <w:t xml:space="preserve"> </w:t>
            </w:r>
            <w:r w:rsidR="00A64A7A" w:rsidRPr="00A64A7A">
              <w:rPr>
                <w:b/>
                <w:bCs/>
                <w:i/>
                <w:iCs/>
                <w:sz w:val="32"/>
                <w:szCs w:val="32"/>
              </w:rPr>
              <w:t>IMSP SCM Sfănta Treime</w:t>
            </w:r>
          </w:p>
          <w:p w14:paraId="5C405DCB" w14:textId="6D866E86" w:rsidR="000258A4" w:rsidRPr="00C60D06" w:rsidRDefault="000258A4" w:rsidP="00DE51DE">
            <w:pPr>
              <w:spacing w:line="360" w:lineRule="auto"/>
              <w:jc w:val="both"/>
              <w:rPr>
                <w:sz w:val="32"/>
                <w:szCs w:val="32"/>
              </w:rPr>
            </w:pPr>
            <w:r w:rsidRPr="00C60D06">
              <w:rPr>
                <w:sz w:val="32"/>
                <w:szCs w:val="32"/>
              </w:rPr>
              <w:t>Procedura achiziţiei:</w:t>
            </w:r>
            <w:r w:rsidR="00A64A7A">
              <w:rPr>
                <w:sz w:val="32"/>
                <w:szCs w:val="32"/>
              </w:rPr>
              <w:t xml:space="preserve"> </w:t>
            </w:r>
            <w:r w:rsidR="00A64A7A" w:rsidRPr="00A64A7A">
              <w:rPr>
                <w:b/>
                <w:bCs/>
                <w:i/>
                <w:iCs/>
                <w:sz w:val="32"/>
                <w:szCs w:val="32"/>
              </w:rPr>
              <w:t>Licitație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9747"/>
      </w:tblGrid>
      <w:tr w:rsidR="000258A4" w:rsidRPr="00C60D06" w14:paraId="07B373EC" w14:textId="77777777" w:rsidTr="005B5134">
        <w:trPr>
          <w:trHeight w:val="850"/>
        </w:trPr>
        <w:tc>
          <w:tcPr>
            <w:tcW w:w="9747" w:type="dxa"/>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10741" w:type="dxa"/>
              <w:tblLayout w:type="fixed"/>
              <w:tblLook w:val="04A0" w:firstRow="1" w:lastRow="0" w:firstColumn="1" w:lastColumn="0" w:noHBand="0" w:noVBand="1"/>
            </w:tblPr>
            <w:tblGrid>
              <w:gridCol w:w="674"/>
              <w:gridCol w:w="4254"/>
              <w:gridCol w:w="3316"/>
              <w:gridCol w:w="2497"/>
            </w:tblGrid>
            <w:tr w:rsidR="000258A4" w:rsidRPr="00C60D06"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D0C9E4" w14:textId="5944196A" w:rsidR="000258A4" w:rsidRPr="00C60D06" w:rsidRDefault="000258A4" w:rsidP="005B5134">
                  <w:pPr>
                    <w:pStyle w:val="a7"/>
                    <w:rPr>
                      <w:b/>
                      <w:i/>
                      <w:szCs w:val="22"/>
                    </w:rPr>
                  </w:pPr>
                  <w:r w:rsidRPr="00C60D06">
                    <w:rPr>
                      <w:b/>
                      <w:i/>
                      <w:sz w:val="22"/>
                      <w:szCs w:val="22"/>
                    </w:rPr>
                    <w:t>[se indică denumirea completă a autorității contractante și IDNO]</w:t>
                  </w:r>
                  <w:r w:rsidR="00A64A7A">
                    <w:rPr>
                      <w:b/>
                      <w:i/>
                      <w:sz w:val="22"/>
                      <w:szCs w:val="22"/>
                    </w:rPr>
                    <w:t xml:space="preserve"> 1003600152592</w:t>
                  </w:r>
                </w:p>
              </w:tc>
            </w:tr>
            <w:tr w:rsidR="000258A4" w:rsidRPr="00C60D06"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EC064B2" w14:textId="77777777" w:rsidR="000258A4" w:rsidRDefault="00A64A7A" w:rsidP="005B5134">
                  <w:pPr>
                    <w:pStyle w:val="a7"/>
                    <w:rPr>
                      <w:b/>
                      <w:i/>
                      <w:sz w:val="22"/>
                      <w:szCs w:val="22"/>
                    </w:rPr>
                  </w:pPr>
                  <w:r>
                    <w:rPr>
                      <w:b/>
                      <w:i/>
                      <w:sz w:val="22"/>
                      <w:szCs w:val="22"/>
                    </w:rPr>
                    <w:t xml:space="preserve">Achiziționarea serviciilor de deservire tehnică și </w:t>
                  </w:r>
                </w:p>
                <w:p w14:paraId="3D8A7182" w14:textId="25550F7C" w:rsidR="00A64A7A" w:rsidRPr="00C60D06" w:rsidRDefault="00A477C0" w:rsidP="005B5134">
                  <w:pPr>
                    <w:pStyle w:val="a7"/>
                    <w:rPr>
                      <w:b/>
                      <w:i/>
                      <w:szCs w:val="22"/>
                    </w:rPr>
                  </w:pPr>
                  <w:r>
                    <w:rPr>
                      <w:b/>
                      <w:i/>
                      <w:sz w:val="22"/>
                      <w:szCs w:val="22"/>
                    </w:rPr>
                    <w:t>î</w:t>
                  </w:r>
                  <w:r w:rsidR="00A64A7A">
                    <w:rPr>
                      <w:b/>
                      <w:i/>
                      <w:sz w:val="22"/>
                      <w:szCs w:val="22"/>
                    </w:rPr>
                    <w:t>ntreținere a ascensoarelor</w:t>
                  </w:r>
                  <w:r>
                    <w:rPr>
                      <w:b/>
                      <w:i/>
                      <w:sz w:val="22"/>
                      <w:szCs w:val="22"/>
                    </w:rPr>
                    <w:t xml:space="preserve"> pe peroada</w:t>
                  </w:r>
                  <w:r w:rsidR="00160D13">
                    <w:rPr>
                      <w:b/>
                      <w:i/>
                      <w:sz w:val="22"/>
                      <w:szCs w:val="22"/>
                    </w:rPr>
                    <w:t xml:space="preserve"> an.2022</w:t>
                  </w:r>
                </w:p>
              </w:tc>
            </w:tr>
            <w:tr w:rsidR="000258A4" w:rsidRPr="00C60D06"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F187EC1" w14:textId="5A3FA844" w:rsidR="000258A4" w:rsidRPr="00C60D06" w:rsidRDefault="000258A4" w:rsidP="005B5134">
                  <w:pPr>
                    <w:pStyle w:val="a7"/>
                    <w:rPr>
                      <w:b/>
                      <w:i/>
                      <w:szCs w:val="22"/>
                    </w:rPr>
                  </w:pPr>
                  <w:r w:rsidRPr="00C60D06">
                    <w:rPr>
                      <w:b/>
                      <w:i/>
                      <w:sz w:val="22"/>
                      <w:szCs w:val="22"/>
                    </w:rPr>
                    <w:t>Nr.</w:t>
                  </w:r>
                  <w:r w:rsidR="00D51DF4">
                    <w:rPr>
                      <w:b/>
                      <w:i/>
                      <w:sz w:val="22"/>
                      <w:szCs w:val="22"/>
                    </w:rPr>
                    <w:t>conform SIA RSAP</w:t>
                  </w:r>
                </w:p>
                <w:p w14:paraId="69C3C08D" w14:textId="7CD408F8" w:rsidR="000258A4" w:rsidRPr="00C60D06" w:rsidRDefault="000258A4" w:rsidP="005B5134">
                  <w:pPr>
                    <w:pStyle w:val="a7"/>
                    <w:rPr>
                      <w:b/>
                      <w:i/>
                      <w:szCs w:val="22"/>
                    </w:rPr>
                  </w:pPr>
                  <w:r w:rsidRPr="00C60D06">
                    <w:rPr>
                      <w:b/>
                      <w:i/>
                      <w:sz w:val="22"/>
                      <w:szCs w:val="22"/>
                    </w:rPr>
                    <w:t>Tipul procedurii de achiziție:</w:t>
                  </w:r>
                  <w:r w:rsidR="000353BF">
                    <w:rPr>
                      <w:b/>
                      <w:i/>
                      <w:sz w:val="22"/>
                      <w:szCs w:val="22"/>
                    </w:rPr>
                    <w:t xml:space="preserve"> Licitație Deschisă</w:t>
                  </w:r>
                </w:p>
              </w:tc>
            </w:tr>
            <w:tr w:rsidR="000258A4" w:rsidRPr="00C60D06"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05B8030" w14:textId="77777777" w:rsidR="000258A4" w:rsidRPr="00C60D06" w:rsidRDefault="000258A4" w:rsidP="005B5134">
                  <w:pPr>
                    <w:pStyle w:val="a7"/>
                    <w:rPr>
                      <w:b/>
                      <w:i/>
                      <w:szCs w:val="22"/>
                    </w:rPr>
                  </w:pPr>
                  <w:r w:rsidRPr="00C60D06">
                    <w:rPr>
                      <w:b/>
                      <w:i/>
                      <w:sz w:val="22"/>
                      <w:szCs w:val="22"/>
                    </w:rPr>
                    <w:t>[servicii ]</w:t>
                  </w:r>
                </w:p>
              </w:tc>
            </w:tr>
            <w:tr w:rsidR="000258A4" w:rsidRPr="00C60D06"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67FEE16" w14:textId="08F72991" w:rsidR="000258A4" w:rsidRPr="00C60D06" w:rsidRDefault="000353BF" w:rsidP="005B5134">
                  <w:pPr>
                    <w:pStyle w:val="a7"/>
                    <w:rPr>
                      <w:b/>
                      <w:i/>
                      <w:szCs w:val="22"/>
                    </w:rPr>
                  </w:pPr>
                  <w:r>
                    <w:rPr>
                      <w:b/>
                      <w:i/>
                      <w:sz w:val="22"/>
                      <w:szCs w:val="22"/>
                    </w:rPr>
                    <w:t>50750000-7</w:t>
                  </w:r>
                </w:p>
              </w:tc>
            </w:tr>
            <w:tr w:rsidR="000258A4" w:rsidRPr="00C60D06"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FAB320D" w14:textId="40351721" w:rsidR="000258A4" w:rsidRPr="00C60D06" w:rsidRDefault="000353BF" w:rsidP="005B5134">
                  <w:pPr>
                    <w:pStyle w:val="a7"/>
                    <w:rPr>
                      <w:b/>
                      <w:i/>
                      <w:szCs w:val="22"/>
                    </w:rPr>
                  </w:pPr>
                  <w:r>
                    <w:rPr>
                      <w:b/>
                      <w:i/>
                      <w:sz w:val="22"/>
                      <w:szCs w:val="22"/>
                    </w:rPr>
                    <w:t>Bugetul de stat</w:t>
                  </w:r>
                </w:p>
              </w:tc>
            </w:tr>
            <w:tr w:rsidR="000258A4" w:rsidRPr="00C60D06"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83F2CBF" w14:textId="5DA12E17" w:rsidR="000258A4" w:rsidRPr="00C60D06" w:rsidRDefault="000353BF" w:rsidP="005B5134">
                  <w:pPr>
                    <w:pStyle w:val="a7"/>
                    <w:rPr>
                      <w:b/>
                      <w:i/>
                      <w:szCs w:val="22"/>
                    </w:rPr>
                  </w:pPr>
                  <w:r>
                    <w:rPr>
                      <w:b/>
                      <w:i/>
                      <w:sz w:val="22"/>
                      <w:szCs w:val="22"/>
                    </w:rPr>
                    <w:t>IMSP SCM Sfănta Treime</w:t>
                  </w:r>
                </w:p>
              </w:tc>
            </w:tr>
            <w:tr w:rsidR="000258A4" w:rsidRPr="00C60D06"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805DC6" w14:textId="77777777" w:rsidR="000258A4" w:rsidRPr="00A20ACF" w:rsidRDefault="000258A4" w:rsidP="005B5134">
                  <w:pPr>
                    <w:pStyle w:val="a7"/>
                    <w:rPr>
                      <w:b/>
                      <w:i/>
                      <w:szCs w:val="22"/>
                    </w:rPr>
                  </w:pPr>
                  <w:r w:rsidRPr="00A20ACF">
                    <w:rPr>
                      <w:b/>
                      <w:i/>
                      <w:sz w:val="22"/>
                      <w:szCs w:val="22"/>
                    </w:rPr>
                    <w:t>[Denumirea partenerului de dezvoltare]</w:t>
                  </w:r>
                </w:p>
              </w:tc>
            </w:tr>
            <w:tr w:rsidR="000258A4" w:rsidRPr="00C60D06"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44ACBA1" w14:textId="77777777" w:rsidR="000258A4" w:rsidRDefault="00E138AA" w:rsidP="005B5134">
                  <w:pPr>
                    <w:pStyle w:val="a7"/>
                    <w:rPr>
                      <w:b/>
                      <w:i/>
                      <w:sz w:val="22"/>
                      <w:szCs w:val="22"/>
                    </w:rPr>
                  </w:pPr>
                  <w:r>
                    <w:rPr>
                      <w:b/>
                      <w:i/>
                      <w:sz w:val="22"/>
                      <w:szCs w:val="22"/>
                    </w:rPr>
                    <w:t>IMSP SCM Sfănta Treime</w:t>
                  </w:r>
                  <w:r w:rsidR="000258A4" w:rsidRPr="00A20ACF">
                    <w:rPr>
                      <w:b/>
                      <w:i/>
                      <w:sz w:val="22"/>
                      <w:szCs w:val="22"/>
                    </w:rPr>
                    <w:t xml:space="preserve"> IDNO</w:t>
                  </w:r>
                </w:p>
                <w:p w14:paraId="43B44263" w14:textId="6CCDA826" w:rsidR="00E138AA" w:rsidRPr="00A20ACF" w:rsidRDefault="00E138AA" w:rsidP="005B5134">
                  <w:pPr>
                    <w:pStyle w:val="a7"/>
                    <w:rPr>
                      <w:b/>
                      <w:i/>
                      <w:szCs w:val="22"/>
                    </w:rPr>
                  </w:pPr>
                  <w:r>
                    <w:rPr>
                      <w:b/>
                      <w:i/>
                      <w:sz w:val="22"/>
                      <w:szCs w:val="22"/>
                    </w:rPr>
                    <w:t>1003600152592</w:t>
                  </w:r>
                </w:p>
              </w:tc>
            </w:tr>
            <w:tr w:rsidR="000258A4" w:rsidRPr="00C60D06"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a7"/>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73E975" w14:textId="77777777" w:rsidR="000258A4" w:rsidRDefault="00E138AA" w:rsidP="005B5134">
                  <w:pPr>
                    <w:pStyle w:val="a7"/>
                    <w:rPr>
                      <w:b/>
                      <w:i/>
                      <w:sz w:val="22"/>
                      <w:szCs w:val="22"/>
                    </w:rPr>
                  </w:pPr>
                  <w:r>
                    <w:rPr>
                      <w:b/>
                      <w:i/>
                      <w:sz w:val="22"/>
                      <w:szCs w:val="22"/>
                    </w:rPr>
                    <w:t>IMSP SCM Sfănta Treime</w:t>
                  </w:r>
                  <w:r w:rsidR="000258A4" w:rsidRPr="00A20ACF">
                    <w:rPr>
                      <w:b/>
                      <w:i/>
                      <w:sz w:val="22"/>
                      <w:szCs w:val="22"/>
                    </w:rPr>
                    <w:t>, IDNO]</w:t>
                  </w:r>
                </w:p>
                <w:p w14:paraId="461886E9" w14:textId="3875A6C5" w:rsidR="00E138AA" w:rsidRPr="00A20ACF" w:rsidRDefault="00E138AA" w:rsidP="005B5134">
                  <w:pPr>
                    <w:pStyle w:val="a7"/>
                    <w:rPr>
                      <w:b/>
                      <w:i/>
                      <w:szCs w:val="22"/>
                    </w:rPr>
                  </w:pPr>
                  <w:r>
                    <w:rPr>
                      <w:b/>
                      <w:i/>
                      <w:sz w:val="22"/>
                      <w:szCs w:val="22"/>
                    </w:rPr>
                    <w:t>1003600152592</w:t>
                  </w:r>
                </w:p>
              </w:tc>
            </w:tr>
            <w:tr w:rsidR="000258A4" w:rsidRPr="00C60D06"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7F531E" w14:textId="77777777" w:rsidR="000258A4" w:rsidRPr="00A20ACF" w:rsidRDefault="000258A4" w:rsidP="005B5134">
                  <w:pPr>
                    <w:pStyle w:val="a7"/>
                    <w:rPr>
                      <w:b/>
                      <w:i/>
                      <w:szCs w:val="22"/>
                    </w:rPr>
                  </w:pPr>
                  <w:r w:rsidRPr="00A20ACF">
                    <w:rPr>
                      <w:b/>
                      <w:i/>
                      <w:sz w:val="22"/>
                      <w:szCs w:val="22"/>
                    </w:rPr>
                    <w:t>[limba de stat]</w:t>
                  </w:r>
                </w:p>
              </w:tc>
            </w:tr>
            <w:tr w:rsidR="000258A4" w:rsidRPr="00C60D06" w14:paraId="5B0D5411" w14:textId="77777777"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032F7009" w14:textId="6A58182B" w:rsidR="000258A4" w:rsidRPr="00A20ACF" w:rsidRDefault="00226A1C" w:rsidP="005B5134">
                  <w:pPr>
                    <w:jc w:val="both"/>
                    <w:rPr>
                      <w:rFonts w:ascii="Baltica RR" w:hAnsi="Baltica RR"/>
                      <w:b/>
                      <w:i/>
                      <w:noProof w:val="0"/>
                      <w:sz w:val="22"/>
                      <w:szCs w:val="22"/>
                    </w:rPr>
                  </w:pPr>
                  <w:r w:rsidRPr="00226A1C">
                    <w:rPr>
                      <w:rFonts w:ascii="Baltica RR" w:hAnsi="Baltica RR"/>
                      <w:b/>
                      <w:i/>
                      <w:noProof w:val="0"/>
                      <w:sz w:val="22"/>
                      <w:szCs w:val="22"/>
                    </w:rPr>
                    <w:t>În format electronic prin SIA RSAP MTender</w:t>
                  </w:r>
                </w:p>
              </w:tc>
              <w:tc>
                <w:tcPr>
                  <w:tcW w:w="2497"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8A99E74" w14:textId="07F12AD2" w:rsidR="000258A4" w:rsidRPr="00A20ACF" w:rsidRDefault="00E138AA" w:rsidP="005B5134">
                  <w:pPr>
                    <w:pStyle w:val="a7"/>
                    <w:tabs>
                      <w:tab w:val="right" w:pos="4743"/>
                    </w:tabs>
                    <w:rPr>
                      <w:b/>
                      <w:i/>
                      <w:szCs w:val="22"/>
                    </w:rPr>
                  </w:pPr>
                  <w:r>
                    <w:rPr>
                      <w:b/>
                      <w:i/>
                      <w:sz w:val="22"/>
                      <w:szCs w:val="22"/>
                    </w:rPr>
                    <w:t>NU</w:t>
                  </w:r>
                </w:p>
              </w:tc>
            </w:tr>
            <w:tr w:rsidR="000258A4" w:rsidRPr="00C60D06"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64395F" w14:textId="77777777" w:rsidR="000258A4" w:rsidRPr="00A20ACF" w:rsidRDefault="000258A4"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F3DF27" w14:textId="77777777" w:rsidR="000258A4" w:rsidRPr="00A20ACF" w:rsidRDefault="000258A4" w:rsidP="005B5134">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t>Lista serviciilor</w:t>
            </w:r>
            <w:r w:rsidRPr="00435528">
              <w:rPr>
                <w:color w:val="FF0000"/>
              </w:rPr>
              <w:t xml:space="preserve"> </w:t>
            </w:r>
            <w:r w:rsidRPr="00435528">
              <w:t>și specificațiile tehnice:</w:t>
            </w:r>
            <w:bookmarkEnd w:id="142"/>
            <w:bookmarkEnd w:id="143"/>
          </w:p>
        </w:tc>
      </w:tr>
    </w:tbl>
    <w:p w14:paraId="7B5EF251" w14:textId="77777777" w:rsidR="000258A4" w:rsidRPr="00C60D06" w:rsidRDefault="000258A4" w:rsidP="000258A4"/>
    <w:tbl>
      <w:tblPr>
        <w:tblStyle w:val="12"/>
        <w:tblW w:w="10075" w:type="dxa"/>
        <w:tblLayout w:type="fixed"/>
        <w:tblLook w:val="04A0" w:firstRow="1" w:lastRow="0" w:firstColumn="1" w:lastColumn="0" w:noHBand="0" w:noVBand="1"/>
      </w:tblPr>
      <w:tblGrid>
        <w:gridCol w:w="537"/>
        <w:gridCol w:w="1301"/>
        <w:gridCol w:w="2145"/>
        <w:gridCol w:w="805"/>
        <w:gridCol w:w="877"/>
        <w:gridCol w:w="2908"/>
        <w:gridCol w:w="1502"/>
      </w:tblGrid>
      <w:tr w:rsidR="00226A1C" w:rsidRPr="00226A1C" w14:paraId="02BCD842" w14:textId="77777777" w:rsidTr="00F26C5C">
        <w:trPr>
          <w:trHeight w:val="567"/>
        </w:trPr>
        <w:tc>
          <w:tcPr>
            <w:tcW w:w="537" w:type="dxa"/>
          </w:tcPr>
          <w:p w14:paraId="5FA5E58F"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Nr. d/o</w:t>
            </w:r>
          </w:p>
        </w:tc>
        <w:tc>
          <w:tcPr>
            <w:tcW w:w="1301" w:type="dxa"/>
          </w:tcPr>
          <w:p w14:paraId="7A64903D"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Cod CPV</w:t>
            </w:r>
          </w:p>
        </w:tc>
        <w:tc>
          <w:tcPr>
            <w:tcW w:w="2145" w:type="dxa"/>
          </w:tcPr>
          <w:p w14:paraId="7EFE6692" w14:textId="77777777" w:rsidR="00226A1C" w:rsidRPr="00226A1C" w:rsidRDefault="00226A1C" w:rsidP="00226A1C">
            <w:pPr>
              <w:spacing w:before="120"/>
              <w:jc w:val="center"/>
              <w:rPr>
                <w:b/>
                <w:noProof w:val="0"/>
                <w:sz w:val="20"/>
                <w:szCs w:val="20"/>
                <w:lang w:val="en-US" w:eastAsia="ru-RU"/>
              </w:rPr>
            </w:pPr>
            <w:r w:rsidRPr="00226A1C">
              <w:rPr>
                <w:b/>
                <w:noProof w:val="0"/>
                <w:sz w:val="20"/>
                <w:szCs w:val="20"/>
                <w:lang w:val="en-US" w:eastAsia="ru-RU"/>
              </w:rPr>
              <w:t>Denumirea bunurilor/serviciilor/lucrărilor solicitate</w:t>
            </w:r>
          </w:p>
        </w:tc>
        <w:tc>
          <w:tcPr>
            <w:tcW w:w="805" w:type="dxa"/>
          </w:tcPr>
          <w:p w14:paraId="00B1FD55"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Unitatea de măsură</w:t>
            </w:r>
          </w:p>
        </w:tc>
        <w:tc>
          <w:tcPr>
            <w:tcW w:w="877" w:type="dxa"/>
          </w:tcPr>
          <w:p w14:paraId="475056F5" w14:textId="77777777" w:rsidR="00226A1C" w:rsidRPr="00226A1C" w:rsidRDefault="00226A1C" w:rsidP="00226A1C">
            <w:pPr>
              <w:spacing w:before="120"/>
              <w:jc w:val="center"/>
              <w:rPr>
                <w:b/>
                <w:noProof w:val="0"/>
                <w:sz w:val="20"/>
                <w:szCs w:val="20"/>
                <w:lang w:val="ru-RU" w:eastAsia="ru-RU"/>
              </w:rPr>
            </w:pPr>
            <w:r w:rsidRPr="00226A1C">
              <w:rPr>
                <w:b/>
                <w:noProof w:val="0"/>
                <w:sz w:val="20"/>
                <w:szCs w:val="20"/>
                <w:lang w:val="ru-RU" w:eastAsia="ru-RU"/>
              </w:rPr>
              <w:t>Cantitatea</w:t>
            </w:r>
          </w:p>
        </w:tc>
        <w:tc>
          <w:tcPr>
            <w:tcW w:w="2908" w:type="dxa"/>
          </w:tcPr>
          <w:p w14:paraId="7024CDDE" w14:textId="77777777" w:rsidR="00226A1C" w:rsidRPr="00226A1C" w:rsidRDefault="00226A1C" w:rsidP="00226A1C">
            <w:pPr>
              <w:spacing w:before="120"/>
              <w:jc w:val="center"/>
              <w:rPr>
                <w:b/>
                <w:noProof w:val="0"/>
                <w:sz w:val="20"/>
                <w:szCs w:val="20"/>
                <w:lang w:val="en-US" w:eastAsia="ru-RU"/>
              </w:rPr>
            </w:pPr>
            <w:r w:rsidRPr="00226A1C">
              <w:rPr>
                <w:b/>
                <w:noProof w:val="0"/>
                <w:sz w:val="20"/>
                <w:szCs w:val="20"/>
                <w:lang w:val="en-US" w:eastAsia="ru-RU"/>
              </w:rPr>
              <w:t>Specificarea tehnică deplină solicitată, Standarde de referință</w:t>
            </w:r>
          </w:p>
        </w:tc>
        <w:tc>
          <w:tcPr>
            <w:tcW w:w="1502" w:type="dxa"/>
            <w:tcBorders>
              <w:bottom w:val="single" w:sz="4" w:space="0" w:color="auto"/>
            </w:tcBorders>
          </w:tcPr>
          <w:p w14:paraId="4EFAB349" w14:textId="77777777" w:rsidR="00226A1C" w:rsidRPr="00226A1C" w:rsidRDefault="00226A1C" w:rsidP="00226A1C">
            <w:pPr>
              <w:spacing w:before="120"/>
              <w:jc w:val="center"/>
              <w:rPr>
                <w:b/>
                <w:noProof w:val="0"/>
                <w:sz w:val="20"/>
                <w:szCs w:val="20"/>
                <w:lang w:val="en-US" w:eastAsia="ru-RU"/>
              </w:rPr>
            </w:pPr>
            <w:r w:rsidRPr="00226A1C">
              <w:rPr>
                <w:b/>
                <w:noProof w:val="0"/>
                <w:sz w:val="20"/>
                <w:szCs w:val="20"/>
                <w:lang w:val="en-US" w:eastAsia="ru-RU"/>
              </w:rPr>
              <w:t xml:space="preserve">Valoarea estimate fără TVA </w:t>
            </w:r>
            <w:r w:rsidRPr="00226A1C">
              <w:rPr>
                <w:b/>
                <w:noProof w:val="0"/>
                <w:sz w:val="20"/>
                <w:szCs w:val="20"/>
                <w:lang w:val="en-US" w:eastAsia="ru-RU"/>
              </w:rPr>
              <w:br/>
              <w:t>(se va indica pentru fiecare lot în parte)</w:t>
            </w:r>
          </w:p>
        </w:tc>
      </w:tr>
      <w:tr w:rsidR="00226A1C" w:rsidRPr="00226A1C" w14:paraId="7F0F411B" w14:textId="77777777" w:rsidTr="00F26C5C">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21C0FC33" w14:textId="77777777" w:rsidR="00226A1C" w:rsidRPr="00226A1C" w:rsidRDefault="00226A1C" w:rsidP="00226A1C">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397E80E" w14:textId="77777777" w:rsidR="00226A1C" w:rsidRPr="00226A1C" w:rsidRDefault="00226A1C" w:rsidP="00226A1C">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5AE1C0D" w14:textId="77777777" w:rsidR="00226A1C" w:rsidRPr="00226A1C" w:rsidRDefault="00226A1C" w:rsidP="00226A1C">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3771D0E" w14:textId="77777777" w:rsidR="00226A1C" w:rsidRPr="00226A1C" w:rsidRDefault="00226A1C" w:rsidP="00226A1C">
            <w:pPr>
              <w:spacing w:before="120"/>
              <w:rPr>
                <w:noProof w:val="0"/>
                <w:sz w:val="20"/>
                <w:szCs w:val="20"/>
                <w:lang w:val="en-US" w:eastAsia="ru-RU"/>
              </w:rPr>
            </w:pPr>
            <w:r w:rsidRPr="00226A1C">
              <w:rPr>
                <w:noProof w:val="0"/>
                <w:color w:val="000000"/>
                <w:sz w:val="22"/>
                <w:szCs w:val="22"/>
                <w:lang w:val="ru-RU" w:eastAsia="ru-RU"/>
              </w:rPr>
              <w:t>644</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7BA25F26" w14:textId="77777777" w:rsidR="00226A1C" w:rsidRPr="00226A1C" w:rsidRDefault="00226A1C" w:rsidP="00226A1C">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1F29366F" w14:textId="77777777" w:rsidR="00226A1C" w:rsidRPr="00226A1C" w:rsidRDefault="00226A1C" w:rsidP="00226A1C">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860, numărul de staţii - 9, anul instalării 1976, coeficient complicație – 1.0, tip deservire – DR, RG (DP, RGA), conform Prescripţiilor tehnice în vigoare. Posibilitatea de intervenţie operativă în timp de 1 oră  în cazul defectării ascencorului 24/24 ore.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19FD18" w14:textId="4D861CF2" w:rsidR="00226A1C" w:rsidRPr="00373FB6" w:rsidRDefault="00373FB6" w:rsidP="00226A1C">
            <w:pPr>
              <w:autoSpaceDE w:val="0"/>
              <w:autoSpaceDN w:val="0"/>
              <w:adjustRightInd w:val="0"/>
              <w:jc w:val="right"/>
              <w:rPr>
                <w:rFonts w:ascii="Arial" w:hAnsi="Arial" w:cs="Arial"/>
                <w:noProof w:val="0"/>
                <w:color w:val="000000"/>
                <w:sz w:val="20"/>
                <w:szCs w:val="20"/>
                <w:lang w:eastAsia="zh-CN"/>
              </w:rPr>
            </w:pPr>
            <w:r>
              <w:rPr>
                <w:rFonts w:ascii="SansSerif" w:hAnsi="SansSerif" w:cs="Arial"/>
                <w:noProof w:val="0"/>
                <w:color w:val="000000"/>
                <w:sz w:val="20"/>
                <w:szCs w:val="20"/>
                <w:lang w:eastAsia="ru-RU"/>
              </w:rPr>
              <w:t>240000</w:t>
            </w:r>
          </w:p>
        </w:tc>
      </w:tr>
      <w:tr w:rsidR="00373FB6" w:rsidRPr="00226A1C" w14:paraId="463C7CD8"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07419C47"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7B14FFD2" w14:textId="77777777" w:rsidR="00373FB6" w:rsidRPr="00226A1C" w:rsidRDefault="00373FB6" w:rsidP="00373FB6">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6FA705AF"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75920813" w14:textId="77777777" w:rsidR="00373FB6" w:rsidRPr="00226A1C" w:rsidRDefault="00373FB6" w:rsidP="00373FB6">
            <w:pPr>
              <w:rPr>
                <w:noProof w:val="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E4CCAB1"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6308EA0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AMB-500/0.5 (nr. de înregistrare 861, numărul de staţii - 2, anul instalării 1976, coeficient complicație – 0.8,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6805EC05" w14:textId="2BC4A123" w:rsidR="00373FB6" w:rsidRPr="00226A1C" w:rsidRDefault="00373FB6" w:rsidP="00373FB6">
            <w:pPr>
              <w:autoSpaceDE w:val="0"/>
              <w:autoSpaceDN w:val="0"/>
              <w:adjustRightInd w:val="0"/>
              <w:jc w:val="right"/>
              <w:rPr>
                <w:rFonts w:ascii="Arial" w:hAnsi="Arial" w:cs="Arial"/>
                <w:noProof w:val="0"/>
                <w:color w:val="000000"/>
                <w:sz w:val="20"/>
                <w:szCs w:val="20"/>
                <w:lang w:val="en-US" w:eastAsia="zh-CN"/>
              </w:rPr>
            </w:pPr>
            <w:r w:rsidRPr="00D943C3">
              <w:rPr>
                <w:rFonts w:ascii="SansSerif" w:hAnsi="SansSerif" w:cs="Arial"/>
                <w:noProof w:val="0"/>
                <w:color w:val="000000"/>
                <w:sz w:val="20"/>
                <w:szCs w:val="20"/>
                <w:lang w:eastAsia="ru-RU"/>
              </w:rPr>
              <w:t>240000</w:t>
            </w:r>
          </w:p>
        </w:tc>
      </w:tr>
      <w:tr w:rsidR="00373FB6" w:rsidRPr="00226A1C" w14:paraId="21B76268"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198E3C11"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00A32A9A" w14:textId="77777777" w:rsidR="00373FB6" w:rsidRPr="00226A1C" w:rsidRDefault="00373FB6" w:rsidP="00373FB6">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EA601E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1A4D2D8" w14:textId="77777777" w:rsidR="00373FB6" w:rsidRPr="00226A1C" w:rsidRDefault="00373FB6" w:rsidP="00373FB6">
            <w:pPr>
              <w:rPr>
                <w:noProof w:val="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B395D1A"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62B5B29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AMB-500/0.5 (nr. de înregistrare 862, numărul de staţii - 2, anul instalării 1976, coeficient complicație – 0.8,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6F90D139" w14:textId="433D0B88" w:rsidR="00373FB6" w:rsidRPr="00226A1C" w:rsidRDefault="00373FB6" w:rsidP="00373FB6">
            <w:pPr>
              <w:autoSpaceDE w:val="0"/>
              <w:autoSpaceDN w:val="0"/>
              <w:adjustRightInd w:val="0"/>
              <w:jc w:val="right"/>
              <w:rPr>
                <w:rFonts w:ascii="Arial" w:hAnsi="Arial" w:cs="Arial"/>
                <w:noProof w:val="0"/>
                <w:color w:val="000000"/>
                <w:sz w:val="20"/>
                <w:szCs w:val="20"/>
                <w:lang w:val="en-US" w:eastAsia="zh-CN"/>
              </w:rPr>
            </w:pPr>
            <w:r w:rsidRPr="00D943C3">
              <w:rPr>
                <w:rFonts w:ascii="SansSerif" w:hAnsi="SansSerif" w:cs="Arial"/>
                <w:noProof w:val="0"/>
                <w:color w:val="000000"/>
                <w:sz w:val="20"/>
                <w:szCs w:val="20"/>
                <w:lang w:eastAsia="ru-RU"/>
              </w:rPr>
              <w:t>240000</w:t>
            </w:r>
          </w:p>
        </w:tc>
      </w:tr>
      <w:tr w:rsidR="00373FB6" w:rsidRPr="00226A1C" w14:paraId="067525FD"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1346FC70"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254F0132" w14:textId="77777777" w:rsidR="00373FB6" w:rsidRPr="00226A1C" w:rsidRDefault="00373FB6" w:rsidP="00373FB6">
            <w:pPr>
              <w:rPr>
                <w:noProof w:val="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62EDB0F5"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53AA8005" w14:textId="77777777" w:rsidR="00373FB6" w:rsidRPr="00226A1C" w:rsidRDefault="00373FB6" w:rsidP="00373FB6">
            <w:pPr>
              <w:rPr>
                <w:noProof w:val="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4EFE1190"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03F4A1A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997, numărul de staţii - 9, anul instalării 1976, coeficient complicație – 1.0,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5AEB0D96" w14:textId="757BBA1E" w:rsidR="00373FB6" w:rsidRPr="00226A1C" w:rsidRDefault="00373FB6" w:rsidP="00373FB6">
            <w:pPr>
              <w:autoSpaceDE w:val="0"/>
              <w:autoSpaceDN w:val="0"/>
              <w:adjustRightInd w:val="0"/>
              <w:jc w:val="right"/>
              <w:rPr>
                <w:rFonts w:ascii="Arial" w:hAnsi="Arial" w:cs="Arial"/>
                <w:noProof w:val="0"/>
                <w:color w:val="000000"/>
                <w:sz w:val="20"/>
                <w:szCs w:val="20"/>
                <w:lang w:val="en-US" w:eastAsia="zh-CN"/>
              </w:rPr>
            </w:pPr>
            <w:r w:rsidRPr="00D943C3">
              <w:rPr>
                <w:rFonts w:ascii="SansSerif" w:hAnsi="SansSerif" w:cs="Arial"/>
                <w:noProof w:val="0"/>
                <w:color w:val="000000"/>
                <w:sz w:val="20"/>
                <w:szCs w:val="20"/>
                <w:lang w:eastAsia="ru-RU"/>
              </w:rPr>
              <w:t>240000</w:t>
            </w:r>
          </w:p>
        </w:tc>
      </w:tr>
      <w:tr w:rsidR="00373FB6" w:rsidRPr="00226A1C" w14:paraId="7DDDF21B"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573EFD00"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267CDBA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1F02F8F9"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50162C7E"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DB5B4E9"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3EEA585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998, numărul de staţii - 9, anul instalării 1977, coeficient complicație – 1.0,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3F4CBC3B" w14:textId="637B1E42"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38B31DBA"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69DEB5F"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335B753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56AC0FA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21E04EC2"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353A35F4"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1534A47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AS-500/0.5 (nr. de înregistrare 1033, numărul de staţii - 4, anul instalării 1977, coeficient complicație – 0.8,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1F952B84" w14:textId="3AB9BC22"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43BD867D"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A8839F1"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6723B66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601A78AB"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729428BC"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38EBB4BA"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458103EF"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AP-320/0.71 (nr. de înregistrare 2837, numărul de staţii - 7, anul instalării 1983, coeficient complicație – 1.3,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0180C2CB" w14:textId="1ABE089F"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720FA772"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58DD51B6"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3D94926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7C23B3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41674C41"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32E54330"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204F5FA8"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AP-320/0.71 (nr. de înregistrare 2838, numărul de staţii - 7, anul instalării 1983, coeficient complicație – 1.3,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201573FE" w14:textId="28336C4F"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4AF21C66"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5D97A7E3"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E10A9D3"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04FCEE2"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0C075AB" w14:textId="77777777" w:rsidR="00373FB6" w:rsidRPr="00226A1C" w:rsidRDefault="00373FB6" w:rsidP="00373FB6">
            <w:pPr>
              <w:rPr>
                <w:noProof w:val="0"/>
                <w:color w:val="000000"/>
                <w:sz w:val="20"/>
                <w:szCs w:val="20"/>
                <w:lang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426ED220"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307FF5E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(fără nr. de înregistrare, numărul de staţii - 2, anul instalării 1983,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3808F6D5" w14:textId="35A35AD8"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3B823AC8"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53858C9"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DB2E7CB"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7373293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240208D7" w14:textId="77777777" w:rsidR="00373FB6" w:rsidRPr="00226A1C" w:rsidRDefault="00373FB6" w:rsidP="00373FB6">
            <w:pPr>
              <w:rPr>
                <w:noProof w:val="0"/>
                <w:color w:val="000000"/>
                <w:sz w:val="20"/>
                <w:szCs w:val="20"/>
                <w:lang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D19E75C"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65CDAAA8"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(nr. de înregistrare nui, numărul de staţii - 2, anul instalării 1981,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1E18E126" w14:textId="0C3679A3"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2E926F66"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0E15EB8B"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79F9E1A6"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2529951"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35D05D37" w14:textId="77777777" w:rsidR="00373FB6" w:rsidRPr="00226A1C" w:rsidRDefault="00373FB6" w:rsidP="00373FB6">
            <w:pPr>
              <w:rPr>
                <w:noProof w:val="0"/>
                <w:color w:val="000000"/>
                <w:sz w:val="20"/>
                <w:szCs w:val="20"/>
                <w:lang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1594E7F1"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0C92D4A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(nr. de înregistrare nui, numărul de staţii - 2, anul instalării 1981,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77F5DFAA" w14:textId="0D8F8F38"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6991CB92"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42C87299"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EE1298E"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3F03FB7C"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6D3A827"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50E6AD6B"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3C97C620"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(nr. de înregistrare nui, numărul de staţii - 2, anul instalării 1982,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259894D1" w14:textId="69360D2E"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14FE5E57"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193BA258"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1FCFB894"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7EE8B87D"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40FA927D"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67D2A1A5"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169027C9"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AI-200 (nr. de înregistrare nui, numărul de staţii - 2, anul instalării 1982, coeficient complicație – 0.65,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335312A0" w14:textId="17F811F6"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r w:rsidR="00373FB6" w:rsidRPr="00226A1C" w14:paraId="5FC847A4" w14:textId="77777777" w:rsidTr="00F26C5C">
        <w:trPr>
          <w:trHeight w:val="330"/>
        </w:trPr>
        <w:tc>
          <w:tcPr>
            <w:tcW w:w="537" w:type="dxa"/>
            <w:tcBorders>
              <w:top w:val="nil"/>
              <w:left w:val="single" w:sz="4" w:space="0" w:color="auto"/>
              <w:bottom w:val="single" w:sz="4" w:space="0" w:color="auto"/>
              <w:right w:val="single" w:sz="4" w:space="0" w:color="auto"/>
            </w:tcBorders>
            <w:shd w:val="clear" w:color="auto" w:fill="auto"/>
          </w:tcPr>
          <w:p w14:paraId="7D75FDC1" w14:textId="77777777" w:rsidR="00373FB6" w:rsidRPr="00226A1C" w:rsidRDefault="00373FB6" w:rsidP="00373FB6">
            <w:pPr>
              <w:jc w:val="center"/>
              <w:rPr>
                <w:noProof w:val="0"/>
                <w:color w:val="000000"/>
                <w:sz w:val="22"/>
                <w:szCs w:val="22"/>
                <w:lang w:val="en-US" w:eastAsia="ru-RU"/>
              </w:rPr>
            </w:pPr>
            <w:r w:rsidRPr="00226A1C">
              <w:rPr>
                <w:noProof w:val="0"/>
                <w:color w:val="000000"/>
                <w:sz w:val="22"/>
                <w:szCs w:val="22"/>
                <w:lang w:val="ru-RU" w:eastAsia="ru-RU"/>
              </w:rPr>
              <w:t>1</w:t>
            </w:r>
          </w:p>
        </w:tc>
        <w:tc>
          <w:tcPr>
            <w:tcW w:w="1301" w:type="dxa"/>
            <w:tcBorders>
              <w:top w:val="nil"/>
              <w:left w:val="single" w:sz="4" w:space="0" w:color="000000"/>
              <w:bottom w:val="single" w:sz="4" w:space="0" w:color="000000"/>
              <w:right w:val="single" w:sz="4" w:space="0" w:color="000000"/>
            </w:tcBorders>
            <w:shd w:val="clear" w:color="auto" w:fill="auto"/>
          </w:tcPr>
          <w:p w14:paraId="3294C043"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ru-RU" w:eastAsia="ru-RU"/>
              </w:rPr>
              <w:t>50750000-7</w:t>
            </w:r>
          </w:p>
        </w:tc>
        <w:tc>
          <w:tcPr>
            <w:tcW w:w="2145" w:type="dxa"/>
            <w:tcBorders>
              <w:top w:val="nil"/>
              <w:left w:val="single" w:sz="4" w:space="0" w:color="000000"/>
              <w:bottom w:val="single" w:sz="4" w:space="0" w:color="000000"/>
              <w:right w:val="single" w:sz="4" w:space="0" w:color="000000"/>
            </w:tcBorders>
            <w:shd w:val="clear" w:color="auto" w:fill="auto"/>
          </w:tcPr>
          <w:p w14:paraId="0FA09A97"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Achiziționarea serviciilor de deservire tehnică și întreținere a ascensoarelor instituției, conform necesităților IMSP, pentru anul 2020</w:t>
            </w:r>
          </w:p>
        </w:tc>
        <w:tc>
          <w:tcPr>
            <w:tcW w:w="805" w:type="dxa"/>
            <w:tcBorders>
              <w:top w:val="nil"/>
              <w:left w:val="single" w:sz="4" w:space="0" w:color="auto"/>
              <w:bottom w:val="single" w:sz="4" w:space="0" w:color="auto"/>
              <w:right w:val="single" w:sz="4" w:space="0" w:color="auto"/>
            </w:tcBorders>
            <w:shd w:val="clear" w:color="auto" w:fill="auto"/>
          </w:tcPr>
          <w:p w14:paraId="1F575AF0" w14:textId="77777777" w:rsidR="00373FB6" w:rsidRPr="00226A1C" w:rsidRDefault="00373FB6" w:rsidP="00373FB6">
            <w:pPr>
              <w:rPr>
                <w:noProof w:val="0"/>
                <w:color w:val="000000"/>
                <w:sz w:val="20"/>
                <w:szCs w:val="20"/>
                <w:lang w:val="en-US" w:eastAsia="ru-RU"/>
              </w:rPr>
            </w:pPr>
            <w:r w:rsidRPr="00226A1C">
              <w:rPr>
                <w:noProof w:val="0"/>
                <w:color w:val="000000"/>
                <w:sz w:val="22"/>
                <w:szCs w:val="22"/>
                <w:lang w:val="ru-RU" w:eastAsia="ru-RU"/>
              </w:rPr>
              <w:t>644</w:t>
            </w:r>
          </w:p>
        </w:tc>
        <w:tc>
          <w:tcPr>
            <w:tcW w:w="877" w:type="dxa"/>
            <w:tcBorders>
              <w:top w:val="nil"/>
              <w:left w:val="single" w:sz="4" w:space="0" w:color="000000"/>
              <w:bottom w:val="single" w:sz="4" w:space="0" w:color="000000"/>
              <w:right w:val="single" w:sz="4" w:space="0" w:color="000000"/>
            </w:tcBorders>
            <w:shd w:val="clear" w:color="auto" w:fill="auto"/>
          </w:tcPr>
          <w:p w14:paraId="754878FC" w14:textId="77777777" w:rsidR="00373FB6" w:rsidRPr="00226A1C" w:rsidRDefault="00373FB6" w:rsidP="00373FB6">
            <w:pPr>
              <w:jc w:val="right"/>
              <w:rPr>
                <w:noProof w:val="0"/>
                <w:color w:val="000000"/>
                <w:sz w:val="20"/>
                <w:szCs w:val="20"/>
                <w:lang w:val="en-US" w:eastAsia="ru-RU"/>
              </w:rPr>
            </w:pPr>
            <w:r w:rsidRPr="00226A1C">
              <w:rPr>
                <w:noProof w:val="0"/>
                <w:color w:val="000000"/>
                <w:sz w:val="20"/>
                <w:szCs w:val="20"/>
                <w:lang w:val="ru-RU" w:eastAsia="ru-RU"/>
              </w:rPr>
              <w:t>1</w:t>
            </w:r>
          </w:p>
        </w:tc>
        <w:tc>
          <w:tcPr>
            <w:tcW w:w="2908" w:type="dxa"/>
            <w:tcBorders>
              <w:top w:val="nil"/>
              <w:left w:val="single" w:sz="4" w:space="0" w:color="000000"/>
              <w:bottom w:val="single" w:sz="4" w:space="0" w:color="000000"/>
              <w:right w:val="single" w:sz="4" w:space="0" w:color="000000"/>
            </w:tcBorders>
            <w:shd w:val="clear" w:color="auto" w:fill="auto"/>
          </w:tcPr>
          <w:p w14:paraId="7856468B" w14:textId="77777777" w:rsidR="00373FB6" w:rsidRPr="00226A1C" w:rsidRDefault="00373FB6" w:rsidP="00373FB6">
            <w:pPr>
              <w:rPr>
                <w:noProof w:val="0"/>
                <w:color w:val="000000"/>
                <w:sz w:val="20"/>
                <w:szCs w:val="20"/>
                <w:lang w:val="en-US" w:eastAsia="ru-RU"/>
              </w:rPr>
            </w:pPr>
            <w:r w:rsidRPr="00226A1C">
              <w:rPr>
                <w:noProof w:val="0"/>
                <w:color w:val="000000"/>
                <w:sz w:val="20"/>
                <w:szCs w:val="20"/>
                <w:lang w:val="en-US" w:eastAsia="ru-RU"/>
              </w:rPr>
              <w:t>Deservire tehnică și întreținere a ascensorului model AEP 1000/9 (nr. de înregistrare 9373, numărul de staţii - 9, anul instalării 2019, coeficient complicație – 1.43, tip deservire – DR, RG (DP, RGA), conform Prescripţiilor tehnice în vigoare. Posibilitatea de intervenţie operativă în timp de 1 oră  în cazul defectării ascencorului 24/24 ore.</w:t>
            </w:r>
          </w:p>
        </w:tc>
        <w:tc>
          <w:tcPr>
            <w:tcW w:w="1502" w:type="dxa"/>
            <w:tcBorders>
              <w:top w:val="nil"/>
              <w:left w:val="single" w:sz="4" w:space="0" w:color="auto"/>
              <w:bottom w:val="single" w:sz="4" w:space="0" w:color="auto"/>
              <w:right w:val="single" w:sz="4" w:space="0" w:color="auto"/>
            </w:tcBorders>
            <w:shd w:val="clear" w:color="auto" w:fill="auto"/>
          </w:tcPr>
          <w:p w14:paraId="20DD2B06" w14:textId="01646528" w:rsidR="00373FB6" w:rsidRPr="00226A1C" w:rsidRDefault="00373FB6" w:rsidP="00373FB6">
            <w:pPr>
              <w:autoSpaceDE w:val="0"/>
              <w:autoSpaceDN w:val="0"/>
              <w:adjustRightInd w:val="0"/>
              <w:jc w:val="right"/>
              <w:rPr>
                <w:rFonts w:ascii="Arial" w:hAnsi="Arial" w:cs="Arial"/>
                <w:noProof w:val="0"/>
                <w:color w:val="000000"/>
                <w:sz w:val="20"/>
                <w:szCs w:val="20"/>
                <w:lang w:val="en-US" w:eastAsia="ru-RU"/>
              </w:rPr>
            </w:pPr>
            <w:r w:rsidRPr="00D943C3">
              <w:rPr>
                <w:rFonts w:ascii="SansSerif" w:hAnsi="SansSerif" w:cs="Arial"/>
                <w:noProof w:val="0"/>
                <w:color w:val="000000"/>
                <w:sz w:val="20"/>
                <w:szCs w:val="20"/>
                <w:lang w:eastAsia="ru-RU"/>
              </w:rPr>
              <w:t>240000</w:t>
            </w:r>
          </w:p>
        </w:tc>
      </w:tr>
    </w:tbl>
    <w:p w14:paraId="21713CD7" w14:textId="77777777" w:rsidR="00226A1C" w:rsidRPr="00226A1C" w:rsidRDefault="00226A1C" w:rsidP="00226A1C">
      <w:pPr>
        <w:rPr>
          <w:noProof w:val="0"/>
          <w:sz w:val="20"/>
          <w:szCs w:val="20"/>
          <w:lang w:val="en-US" w:eastAsia="ru-RU"/>
        </w:rPr>
      </w:pPr>
    </w:p>
    <w:p w14:paraId="1037CAEA" w14:textId="77777777" w:rsidR="00226A1C" w:rsidRPr="00226A1C" w:rsidRDefault="00226A1C" w:rsidP="00226A1C">
      <w:pPr>
        <w:rPr>
          <w:noProof w:val="0"/>
          <w:sz w:val="20"/>
          <w:szCs w:val="20"/>
          <w:lang w:val="en-US" w:eastAsia="ru-RU"/>
        </w:rPr>
      </w:pPr>
    </w:p>
    <w:p w14:paraId="04830444" w14:textId="6DD6F2D3" w:rsidR="000258A4" w:rsidRDefault="000258A4" w:rsidP="000258A4"/>
    <w:p w14:paraId="6A2E693C" w14:textId="61F54B56" w:rsidR="006C52E4" w:rsidRDefault="006C52E4" w:rsidP="000258A4"/>
    <w:p w14:paraId="1A5816E8" w14:textId="1684D9B6" w:rsidR="006C52E4" w:rsidRDefault="006C52E4" w:rsidP="000258A4"/>
    <w:p w14:paraId="01A0DF02" w14:textId="232BA0B9" w:rsidR="006C52E4" w:rsidRDefault="006C52E4" w:rsidP="000258A4"/>
    <w:p w14:paraId="5BC19154" w14:textId="1B845239" w:rsidR="006C52E4" w:rsidRDefault="006C52E4" w:rsidP="000258A4"/>
    <w:p w14:paraId="3E532794" w14:textId="0E89E6D3" w:rsidR="006C52E4" w:rsidRDefault="006C52E4" w:rsidP="000258A4"/>
    <w:p w14:paraId="5B68F0B0" w14:textId="77777777" w:rsidR="006C52E4" w:rsidRPr="00C60D06" w:rsidRDefault="006C52E4" w:rsidP="000258A4"/>
    <w:p w14:paraId="31475B7A"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1FBB1960" w:rsidR="000258A4" w:rsidRPr="00C60D06" w:rsidRDefault="000258A4" w:rsidP="005B5134">
            <w:pPr>
              <w:pStyle w:val="a4"/>
              <w:tabs>
                <w:tab w:val="left" w:pos="540"/>
              </w:tabs>
              <w:suppressAutoHyphens/>
              <w:spacing w:after="120"/>
              <w:jc w:val="both"/>
            </w:pPr>
            <w:r w:rsidRPr="00C60D06">
              <w:rPr>
                <w:b/>
                <w:i/>
                <w:sz w:val="22"/>
                <w:szCs w:val="22"/>
              </w:rPr>
              <w:t xml:space="preserve"> /[nu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FA42C83" w14:textId="77777777" w:rsidR="00CA5A22" w:rsidRPr="00C00499" w:rsidRDefault="00CA5A22" w:rsidP="00CA5A22">
            <w:pPr>
              <w:tabs>
                <w:tab w:val="left" w:pos="372"/>
              </w:tabs>
              <w:suppressAutoHyphens/>
              <w:spacing w:before="120" w:after="120"/>
              <w:rPr>
                <w:b/>
                <w:i/>
              </w:rPr>
            </w:pPr>
            <w:r w:rsidRPr="00C00499">
              <w:rPr>
                <w:b/>
                <w:i/>
                <w:sz w:val="22"/>
                <w:szCs w:val="22"/>
              </w:rPr>
              <w:t>[forma garanției a/b/]</w:t>
            </w:r>
          </w:p>
          <w:p w14:paraId="184C6AFE" w14:textId="77777777" w:rsidR="00CA5A22" w:rsidRPr="00C00499" w:rsidRDefault="00CA5A22" w:rsidP="00CA5A22">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14:paraId="46B15E1A" w14:textId="77777777" w:rsidR="00CA5A22" w:rsidRPr="00C00499" w:rsidRDefault="00CA5A22" w:rsidP="00CA5A22">
            <w:pPr>
              <w:tabs>
                <w:tab w:val="left" w:pos="372"/>
              </w:tabs>
              <w:suppressAutoHyphens/>
              <w:spacing w:before="120" w:after="120"/>
              <w:ind w:left="372"/>
              <w:rPr>
                <w:i/>
              </w:rPr>
            </w:pPr>
            <w:r w:rsidRPr="00C00499">
              <w:rPr>
                <w:i/>
                <w:sz w:val="22"/>
                <w:szCs w:val="22"/>
              </w:rPr>
              <w:t>sau</w:t>
            </w:r>
          </w:p>
          <w:p w14:paraId="1D73DE65" w14:textId="77777777" w:rsidR="00CA5A22" w:rsidRPr="003655AA" w:rsidRDefault="00CA5A22" w:rsidP="00CA5A22">
            <w:pPr>
              <w:numPr>
                <w:ilvl w:val="0"/>
                <w:numId w:val="10"/>
              </w:numPr>
              <w:tabs>
                <w:tab w:val="clear" w:pos="1134"/>
                <w:tab w:val="left" w:pos="372"/>
              </w:tabs>
              <w:suppressAutoHyphens/>
              <w:spacing w:before="120" w:after="120"/>
              <w:ind w:left="372" w:hanging="360"/>
              <w:rPr>
                <w:b/>
                <w:i/>
              </w:rPr>
            </w:pPr>
            <w:r w:rsidRPr="003655AA">
              <w:rPr>
                <w:b/>
                <w:i/>
                <w:sz w:val="22"/>
                <w:szCs w:val="22"/>
              </w:rPr>
              <w:t>Garanţia pentru ofertă prin transfer la contul autorităţii contractante, conform următoarelor date bancare:</w:t>
            </w:r>
          </w:p>
          <w:p w14:paraId="01277F18" w14:textId="77777777" w:rsidR="00CA5A22" w:rsidRPr="00C00499" w:rsidRDefault="00CA5A22" w:rsidP="00CA5A22">
            <w:pPr>
              <w:spacing w:after="120"/>
              <w:ind w:left="599"/>
              <w:rPr>
                <w:i/>
              </w:rPr>
            </w:pPr>
            <w:r w:rsidRPr="00C00499">
              <w:rPr>
                <w:i/>
                <w:sz w:val="22"/>
                <w:szCs w:val="22"/>
              </w:rPr>
              <w:t>Beneficiarul plăţii:</w:t>
            </w:r>
            <w:r>
              <w:t xml:space="preserve"> </w:t>
            </w:r>
            <w:r w:rsidRPr="003655AA">
              <w:rPr>
                <w:b/>
                <w:i/>
                <w:sz w:val="22"/>
                <w:szCs w:val="22"/>
              </w:rPr>
              <w:t>IMSP Spitalul Clinic Municipal Sfanta Treime</w:t>
            </w:r>
          </w:p>
          <w:p w14:paraId="63436A3F" w14:textId="77777777" w:rsidR="00CA5A22" w:rsidRPr="00C00499" w:rsidRDefault="00CA5A22" w:rsidP="00CA5A22">
            <w:pPr>
              <w:spacing w:after="120"/>
              <w:ind w:left="599"/>
              <w:rPr>
                <w:i/>
              </w:rPr>
            </w:pPr>
            <w:r w:rsidRPr="00C00499">
              <w:rPr>
                <w:i/>
                <w:sz w:val="22"/>
                <w:szCs w:val="22"/>
              </w:rPr>
              <w:t>Denumirea Băncii:</w:t>
            </w:r>
            <w:r>
              <w:rPr>
                <w:i/>
                <w:sz w:val="22"/>
                <w:szCs w:val="22"/>
              </w:rPr>
              <w:t xml:space="preserve"> </w:t>
            </w:r>
            <w:r>
              <w:rPr>
                <w:rStyle w:val="aff"/>
                <w:color w:val="000000"/>
                <w:shd w:val="clear" w:color="auto" w:fill="FFFFFF"/>
                <w:lang w:val="en-US"/>
              </w:rPr>
              <w:t>BC MOLDINKOMBANK SA fil Al. Russo</w:t>
            </w:r>
            <w:r w:rsidRPr="009A315B">
              <w:rPr>
                <w:color w:val="000000"/>
                <w:shd w:val="clear" w:color="auto" w:fill="FFFFFF"/>
                <w:lang w:val="en-US"/>
              </w:rPr>
              <w:t> </w:t>
            </w:r>
          </w:p>
          <w:p w14:paraId="2C4FEB60" w14:textId="77777777" w:rsidR="00CA5A22" w:rsidRPr="00C00499" w:rsidRDefault="00CA5A22" w:rsidP="00CA5A22">
            <w:pPr>
              <w:spacing w:after="120"/>
              <w:ind w:left="599"/>
              <w:rPr>
                <w:i/>
              </w:rPr>
            </w:pPr>
            <w:r w:rsidRPr="00C00499">
              <w:rPr>
                <w:i/>
                <w:sz w:val="22"/>
                <w:szCs w:val="22"/>
              </w:rPr>
              <w:t xml:space="preserve">Codul fiscal: </w:t>
            </w:r>
            <w:r>
              <w:rPr>
                <w:i/>
                <w:sz w:val="22"/>
                <w:szCs w:val="22"/>
              </w:rPr>
              <w:t xml:space="preserve"> </w:t>
            </w:r>
            <w:r w:rsidRPr="00130B9A">
              <w:rPr>
                <w:b/>
                <w:i/>
                <w:sz w:val="22"/>
                <w:szCs w:val="22"/>
              </w:rPr>
              <w:t>1003600152592</w:t>
            </w:r>
          </w:p>
          <w:p w14:paraId="110583D1" w14:textId="77777777" w:rsidR="00CA5A22" w:rsidRPr="00C00499" w:rsidRDefault="00CA5A22" w:rsidP="00CA5A22">
            <w:pPr>
              <w:spacing w:after="120"/>
              <w:ind w:left="599"/>
              <w:rPr>
                <w:i/>
              </w:rPr>
            </w:pPr>
            <w:r w:rsidRPr="00C00499">
              <w:rPr>
                <w:i/>
                <w:sz w:val="22"/>
                <w:szCs w:val="22"/>
              </w:rPr>
              <w:t>Contul de decontare</w:t>
            </w:r>
            <w:r w:rsidRPr="00C00499">
              <w:rPr>
                <w:i/>
                <w:spacing w:val="-2"/>
                <w:sz w:val="22"/>
                <w:szCs w:val="22"/>
              </w:rPr>
              <w:t xml:space="preserve">: </w:t>
            </w:r>
            <w:r w:rsidRPr="00130B9A">
              <w:rPr>
                <w:b/>
                <w:i/>
                <w:spacing w:val="-2"/>
                <w:sz w:val="22"/>
                <w:szCs w:val="22"/>
              </w:rPr>
              <w:t>MD22ML000000000225166614</w:t>
            </w:r>
          </w:p>
          <w:p w14:paraId="1B9E9669" w14:textId="77777777" w:rsidR="00CA5A22" w:rsidRPr="00C00499" w:rsidRDefault="00CA5A22" w:rsidP="00CA5A22">
            <w:pPr>
              <w:spacing w:after="120"/>
              <w:ind w:left="599"/>
              <w:rPr>
                <w:i/>
              </w:rPr>
            </w:pPr>
            <w:r w:rsidRPr="00C00499">
              <w:rPr>
                <w:i/>
                <w:sz w:val="22"/>
                <w:szCs w:val="22"/>
              </w:rPr>
              <w:t xml:space="preserve">Contul trezorerial: </w:t>
            </w:r>
          </w:p>
          <w:p w14:paraId="2DFCF770" w14:textId="77777777" w:rsidR="00CA5A22" w:rsidRPr="00C00499" w:rsidRDefault="00CA5A22" w:rsidP="00CA5A22">
            <w:pPr>
              <w:spacing w:after="120"/>
              <w:ind w:left="599"/>
              <w:rPr>
                <w:i/>
              </w:rPr>
            </w:pPr>
            <w:r w:rsidRPr="00C00499">
              <w:rPr>
                <w:i/>
                <w:sz w:val="22"/>
                <w:szCs w:val="22"/>
              </w:rPr>
              <w:t xml:space="preserve">Contul bancar: </w:t>
            </w:r>
            <w:r w:rsidRPr="00035096">
              <w:rPr>
                <w:b/>
                <w:color w:val="000000"/>
                <w:lang w:val="en-US"/>
              </w:rPr>
              <w:t>MOLDMD2X366</w:t>
            </w:r>
          </w:p>
          <w:p w14:paraId="5CAD4D7E" w14:textId="77777777" w:rsidR="00CA5A22" w:rsidRPr="00C00499" w:rsidRDefault="00CA5A22" w:rsidP="00CA5A22">
            <w:pPr>
              <w:spacing w:after="120"/>
              <w:ind w:left="599"/>
              <w:rPr>
                <w:i/>
              </w:rPr>
            </w:pPr>
            <w:r w:rsidRPr="00C00499">
              <w:rPr>
                <w:i/>
                <w:sz w:val="22"/>
                <w:szCs w:val="22"/>
              </w:rPr>
              <w:t xml:space="preserve">Trezoreria </w:t>
            </w:r>
            <w:r w:rsidRPr="003153BF">
              <w:rPr>
                <w:bCs/>
                <w:i/>
                <w:sz w:val="22"/>
                <w:szCs w:val="22"/>
                <w:lang w:val="ro-MD"/>
              </w:rPr>
              <w:t>regională</w:t>
            </w:r>
            <w:r w:rsidRPr="00C00499">
              <w:rPr>
                <w:i/>
                <w:sz w:val="22"/>
                <w:szCs w:val="22"/>
              </w:rPr>
              <w:t xml:space="preserve">: </w:t>
            </w:r>
          </w:p>
          <w:p w14:paraId="22EBC960" w14:textId="7F82B163" w:rsidR="000258A4" w:rsidRPr="00C60D06" w:rsidRDefault="00CA5A22" w:rsidP="00CA5A22">
            <w:pPr>
              <w:tabs>
                <w:tab w:val="left" w:pos="372"/>
              </w:tabs>
              <w:suppressAutoHyphens/>
              <w:spacing w:before="120" w:after="120"/>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lang w:val="ro-MD"/>
              </w:rPr>
              <w:t>procedura de achiziție publică</w:t>
            </w:r>
            <w:r w:rsidRPr="00140A5D">
              <w:rPr>
                <w:i/>
                <w:sz w:val="22"/>
                <w:szCs w:val="22"/>
              </w:rPr>
              <w:t xml:space="preserve"> </w:t>
            </w:r>
            <w:r w:rsidRPr="00C00499">
              <w:rPr>
                <w:i/>
                <w:sz w:val="22"/>
                <w:szCs w:val="22"/>
              </w:rPr>
              <w:t>nr. ____ din _______”</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6384128C" w:rsidR="000258A4" w:rsidRPr="00C60D06" w:rsidRDefault="005107F9" w:rsidP="005B5134">
            <w:pPr>
              <w:tabs>
                <w:tab w:val="left" w:pos="372"/>
              </w:tabs>
              <w:suppressAutoHyphens/>
            </w:pPr>
            <w:r>
              <w:rPr>
                <w:b/>
                <w:i/>
                <w:sz w:val="22"/>
                <w:szCs w:val="22"/>
              </w:rPr>
              <w:t>1</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329513E7" w:rsidR="000258A4" w:rsidRPr="00056697" w:rsidRDefault="00FF0B93" w:rsidP="005B5134">
            <w:pPr>
              <w:tabs>
                <w:tab w:val="left" w:pos="372"/>
              </w:tabs>
              <w:suppressAutoHyphens/>
              <w:spacing w:before="120" w:after="120"/>
              <w:rPr>
                <w:b/>
                <w:i/>
              </w:rPr>
            </w:pPr>
            <w:r>
              <w:t>Incoterms 2013,</w:t>
            </w:r>
            <w:r>
              <w:rPr>
                <w:b/>
                <w:i/>
                <w:sz w:val="22"/>
                <w:szCs w:val="22"/>
              </w:rPr>
              <w:t xml:space="preserve"> DDP</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23C8D8F7" w:rsidR="000258A4" w:rsidRPr="00C60D06" w:rsidRDefault="00160D13" w:rsidP="005B5134">
            <w:pPr>
              <w:tabs>
                <w:tab w:val="left" w:pos="372"/>
              </w:tabs>
              <w:suppressAutoHyphens/>
              <w:rPr>
                <w:b/>
                <w:i/>
              </w:rPr>
            </w:pPr>
            <w:r>
              <w:rPr>
                <w:b/>
                <w:i/>
              </w:rPr>
              <w:t>01.01.2022-31.12.2022</w:t>
            </w: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2A92A683" w:rsidR="000258A4" w:rsidRPr="00C60D06" w:rsidRDefault="00FF0B93" w:rsidP="005B5134">
            <w:pPr>
              <w:tabs>
                <w:tab w:val="left" w:pos="372"/>
              </w:tabs>
              <w:suppressAutoHyphens/>
              <w:rPr>
                <w:b/>
                <w:i/>
              </w:rPr>
            </w:pPr>
            <w:r>
              <w:rPr>
                <w:b/>
                <w:i/>
                <w:sz w:val="22"/>
                <w:szCs w:val="22"/>
              </w:rPr>
              <w:t>IMSP SCM Sfănta Treime</w:t>
            </w:r>
            <w:r w:rsidR="00244BBC">
              <w:rPr>
                <w:b/>
                <w:i/>
                <w:sz w:val="22"/>
                <w:szCs w:val="22"/>
              </w:rPr>
              <w:t>, mun.Chisinau, str.Aleco Ruso 11</w:t>
            </w: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50A557C0" w14:textId="77777777" w:rsidR="000258A4" w:rsidRDefault="000258A4" w:rsidP="005B5134">
            <w:pPr>
              <w:tabs>
                <w:tab w:val="left" w:pos="372"/>
              </w:tabs>
              <w:suppressAutoHyphens/>
              <w:rPr>
                <w:i/>
                <w:spacing w:val="-4"/>
                <w:sz w:val="22"/>
                <w:szCs w:val="22"/>
              </w:rPr>
            </w:pPr>
            <w:r w:rsidRPr="00C60D06">
              <w:rPr>
                <w:i/>
                <w:spacing w:val="-4"/>
                <w:sz w:val="22"/>
                <w:szCs w:val="22"/>
              </w:rPr>
              <w:t>[se indică condițiile de plată către operatorul economic, plățile prealabile, după caz, inclusiv termenul de achitare]</w:t>
            </w:r>
            <w:bookmarkStart w:id="146" w:name="_GoBack"/>
            <w:bookmarkEnd w:id="146"/>
          </w:p>
          <w:p w14:paraId="7FE6267D" w14:textId="2AC321DC" w:rsidR="00244BBC" w:rsidRPr="00244BBC" w:rsidRDefault="00244BBC" w:rsidP="005B5134">
            <w:pPr>
              <w:tabs>
                <w:tab w:val="left" w:pos="372"/>
              </w:tabs>
              <w:suppressAutoHyphens/>
              <w:rPr>
                <w:b/>
                <w:bCs/>
                <w:i/>
                <w:spacing w:val="-4"/>
              </w:rPr>
            </w:pPr>
            <w:r w:rsidRPr="00244BBC">
              <w:rPr>
                <w:b/>
                <w:bCs/>
                <w:i/>
                <w:spacing w:val="-4"/>
                <w:sz w:val="22"/>
                <w:szCs w:val="22"/>
              </w:rPr>
              <w:t>În termen de 90 zile după livrarea serviciilor</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57408822" w:rsidR="000258A4" w:rsidRPr="00C60D06" w:rsidRDefault="000258A4" w:rsidP="005B5134">
            <w:pPr>
              <w:tabs>
                <w:tab w:val="left" w:pos="372"/>
              </w:tabs>
              <w:suppressAutoHyphens/>
              <w:rPr>
                <w:i/>
                <w:spacing w:val="-4"/>
              </w:rPr>
            </w:pPr>
            <w:r w:rsidRPr="00787009">
              <w:rPr>
                <w:b/>
                <w:bCs/>
                <w:i/>
                <w:spacing w:val="-4"/>
                <w:sz w:val="22"/>
                <w:szCs w:val="22"/>
              </w:rPr>
              <w:t xml:space="preserve">[ </w:t>
            </w:r>
            <w:r w:rsidR="00244BBC" w:rsidRPr="00787009">
              <w:rPr>
                <w:b/>
                <w:bCs/>
                <w:i/>
                <w:spacing w:val="-4"/>
                <w:sz w:val="22"/>
                <w:szCs w:val="22"/>
              </w:rPr>
              <w:t xml:space="preserve"> 60 </w:t>
            </w:r>
            <w:r w:rsidRPr="00787009">
              <w:rPr>
                <w:b/>
                <w:bCs/>
                <w:i/>
                <w:spacing w:val="-4"/>
                <w:sz w:val="22"/>
                <w:szCs w:val="22"/>
              </w:rPr>
              <w:t>zile</w:t>
            </w:r>
            <w:r w:rsidRPr="00C60D06">
              <w:rPr>
                <w:i/>
                <w:spacing w:val="-4"/>
                <w:sz w:val="22"/>
                <w:szCs w:val="22"/>
              </w:rPr>
              <w:t>]</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7D63A00D" w:rsidR="000258A4" w:rsidRPr="00C60D06" w:rsidRDefault="000258A4" w:rsidP="005B5134">
            <w:pPr>
              <w:tabs>
                <w:tab w:val="left" w:pos="372"/>
              </w:tabs>
              <w:suppressAutoHyphens/>
              <w:rPr>
                <w:i/>
                <w:iCs/>
              </w:rPr>
            </w:pPr>
            <w:r w:rsidRPr="00C60D06">
              <w:rPr>
                <w:b/>
                <w:i/>
                <w:iCs/>
                <w:sz w:val="22"/>
                <w:szCs w:val="22"/>
              </w:rPr>
              <w:t xml:space="preserve"> nu se acceptă</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7" w:name="_Toc358300271"/>
            <w:bookmarkStart w:id="148" w:name="_Toc392180194"/>
            <w:bookmarkStart w:id="149" w:name="_Toc449539082"/>
            <w:r w:rsidRPr="00435528">
              <w:t>Depunerea și deschiderea ofertelor</w:t>
            </w:r>
            <w:bookmarkEnd w:id="147"/>
            <w:bookmarkEnd w:id="148"/>
            <w:bookmarkEnd w:id="149"/>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05F1964C" w:rsidR="000258A4" w:rsidRPr="00C60D06" w:rsidRDefault="000258A4" w:rsidP="005B5134">
            <w:pPr>
              <w:rPr>
                <w:i/>
              </w:rPr>
            </w:pPr>
          </w:p>
        </w:tc>
        <w:tc>
          <w:tcPr>
            <w:tcW w:w="4082" w:type="dxa"/>
            <w:tcBorders>
              <w:right w:val="single" w:sz="4" w:space="0" w:color="auto"/>
            </w:tcBorders>
            <w:vAlign w:val="center"/>
          </w:tcPr>
          <w:p w14:paraId="5A6A27A2"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3F68B1A3" w:rsidR="000258A4" w:rsidRPr="00244BBC" w:rsidRDefault="00244BBC" w:rsidP="005B5134">
            <w:pPr>
              <w:tabs>
                <w:tab w:val="right" w:pos="4743"/>
              </w:tabs>
              <w:jc w:val="both"/>
              <w:rPr>
                <w:b/>
                <w:bCs/>
                <w:i/>
              </w:rPr>
            </w:pPr>
            <w:r w:rsidRPr="00244BBC">
              <w:rPr>
                <w:b/>
                <w:bCs/>
                <w:i/>
              </w:rPr>
              <w:t>În format electronic prin SIA RSAP MTender</w:t>
            </w:r>
          </w:p>
        </w:tc>
        <w:tc>
          <w:tcPr>
            <w:tcW w:w="4082" w:type="dxa"/>
            <w:tcBorders>
              <w:right w:val="single" w:sz="4" w:space="0" w:color="auto"/>
            </w:tcBorders>
            <w:vAlign w:val="center"/>
          </w:tcPr>
          <w:p w14:paraId="0FDECC1D"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1193C21B"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22742384" w:rsidR="000258A4" w:rsidRPr="00C60D06" w:rsidRDefault="00244BBC" w:rsidP="005B5134">
            <w:pPr>
              <w:jc w:val="both"/>
              <w:rPr>
                <w:i/>
              </w:rPr>
            </w:pPr>
            <w:r>
              <w:rPr>
                <w:i/>
                <w:sz w:val="22"/>
                <w:szCs w:val="22"/>
              </w:rPr>
              <w:t>Conform SIA RSAP MTEnder</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50" w:name="_Toc358300272"/>
            <w:bookmarkStart w:id="151" w:name="_Toc392180195"/>
            <w:bookmarkStart w:id="152" w:name="_Toc449539083"/>
            <w:r w:rsidRPr="00435528">
              <w:t>Evaluarea și compararea ofertelor</w:t>
            </w:r>
            <w:bookmarkEnd w:id="150"/>
            <w:bookmarkEnd w:id="151"/>
            <w:bookmarkEnd w:id="152"/>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0258A4"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07776120" w:rsidR="000258A4" w:rsidRPr="00C60D06" w:rsidRDefault="000258A4" w:rsidP="005B5134">
            <w:pPr>
              <w:tabs>
                <w:tab w:val="right" w:pos="4743"/>
              </w:tabs>
              <w:jc w:val="both"/>
              <w:rPr>
                <w:i/>
              </w:rPr>
            </w:pPr>
            <w:r w:rsidRPr="00C60D06">
              <w:rPr>
                <w:b/>
                <w:i/>
                <w:sz w:val="22"/>
                <w:szCs w:val="22"/>
              </w:rPr>
              <w:t>[sursa ratei de schimb]</w:t>
            </w:r>
            <w:r w:rsidRPr="00C60D06">
              <w:rPr>
                <w:i/>
                <w:sz w:val="22"/>
                <w:szCs w:val="22"/>
              </w:rPr>
              <w:t xml:space="preserve"> </w:t>
            </w:r>
            <w:r w:rsidR="00787009">
              <w:rPr>
                <w:i/>
                <w:sz w:val="22"/>
                <w:szCs w:val="22"/>
              </w:rPr>
              <w:t>BNM</w:t>
            </w:r>
          </w:p>
        </w:tc>
      </w:tr>
      <w:tr w:rsidR="000258A4"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77777777" w:rsidR="000258A4" w:rsidRPr="00C60D06" w:rsidRDefault="000258A4"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64AE27E8" w:rsidR="000258A4" w:rsidRPr="00A20ACF" w:rsidRDefault="000258A4" w:rsidP="005B5134">
            <w:pPr>
              <w:tabs>
                <w:tab w:val="right" w:pos="4743"/>
              </w:tabs>
              <w:jc w:val="both"/>
              <w:rPr>
                <w:b/>
                <w:i/>
                <w:iCs/>
                <w:sz w:val="22"/>
                <w:szCs w:val="22"/>
                <w:lang w:val="ro-MD"/>
              </w:rPr>
            </w:pPr>
            <w:r w:rsidRPr="00A20ACF">
              <w:rPr>
                <w:b/>
                <w:i/>
                <w:iCs/>
                <w:sz w:val="22"/>
                <w:szCs w:val="22"/>
              </w:rPr>
              <w:t xml:space="preserve"> Evaluarea va fi efectuată pe: </w:t>
            </w:r>
            <w:r w:rsidR="00244BBC">
              <w:rPr>
                <w:b/>
                <w:i/>
                <w:iCs/>
                <w:sz w:val="22"/>
                <w:szCs w:val="22"/>
              </w:rPr>
              <w:t>pe LOT</w:t>
            </w:r>
            <w:r w:rsidRPr="00A20ACF">
              <w:rPr>
                <w:b/>
                <w:i/>
                <w:iCs/>
                <w:sz w:val="22"/>
                <w:szCs w:val="22"/>
              </w:rPr>
              <w:t>.</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4246861" w14:textId="5ED091CA" w:rsidR="000258A4" w:rsidRPr="00C60D06" w:rsidRDefault="000258A4" w:rsidP="005B5134">
            <w:pPr>
              <w:tabs>
                <w:tab w:val="right" w:pos="4743"/>
              </w:tabs>
              <w:jc w:val="both"/>
              <w:rPr>
                <w:b/>
                <w:i/>
                <w:iCs/>
                <w:sz w:val="22"/>
                <w:szCs w:val="22"/>
              </w:rPr>
            </w:pPr>
            <w:r w:rsidRPr="00C60D06">
              <w:rPr>
                <w:b/>
                <w:i/>
                <w:iCs/>
                <w:sz w:val="22"/>
                <w:szCs w:val="22"/>
              </w:rPr>
              <w:t>[</w:t>
            </w:r>
            <w:r w:rsidR="00244BBC">
              <w:rPr>
                <w:b/>
                <w:i/>
                <w:iCs/>
                <w:sz w:val="22"/>
                <w:szCs w:val="22"/>
              </w:rPr>
              <w:t xml:space="preserve"> prețul cel mai scăzut conform cerințelor solicitate</w:t>
            </w:r>
            <w:r w:rsidRPr="00C60D06">
              <w:rPr>
                <w:b/>
                <w:i/>
                <w:iCs/>
                <w:sz w:val="22"/>
                <w:szCs w:val="22"/>
              </w:rPr>
              <w:t>]</w:t>
            </w:r>
          </w:p>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13C2EA13" w:rsidR="000258A4" w:rsidRPr="00435528" w:rsidRDefault="000258A4" w:rsidP="005B5134">
            <w:pPr>
              <w:tabs>
                <w:tab w:val="right" w:pos="4743"/>
              </w:tabs>
              <w:jc w:val="both"/>
              <w:rPr>
                <w:b/>
                <w:color w:val="000000"/>
              </w:rPr>
            </w:pPr>
            <w:r w:rsidRPr="00435528">
              <w:rPr>
                <w:b/>
                <w:i/>
                <w:color w:val="000000"/>
                <w:sz w:val="22"/>
                <w:szCs w:val="22"/>
              </w:rPr>
              <w:t>[__</w:t>
            </w:r>
            <w:r w:rsidR="00244BBC">
              <w:rPr>
                <w:b/>
                <w:i/>
                <w:color w:val="000000"/>
                <w:sz w:val="22"/>
                <w:szCs w:val="22"/>
              </w:rPr>
              <w:t xml:space="preserve">prețul cel mai scăzut </w:t>
            </w:r>
            <w:r w:rsidRPr="00435528">
              <w:rPr>
                <w:b/>
                <w:i/>
                <w:color w:val="000000"/>
                <w:sz w:val="22"/>
                <w:szCs w:val="22"/>
              </w:rPr>
              <w:t>_________________________]</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308280B1" w:rsidR="000258A4" w:rsidRPr="00435528" w:rsidRDefault="00244BBC" w:rsidP="005B5134">
            <w:pPr>
              <w:tabs>
                <w:tab w:val="right" w:pos="4743"/>
              </w:tabs>
              <w:jc w:val="both"/>
              <w:rPr>
                <w:i/>
                <w:color w:val="000000"/>
              </w:rPr>
            </w:pPr>
            <w:r>
              <w:rPr>
                <w:b/>
                <w:i/>
                <w:color w:val="000000"/>
                <w:sz w:val="22"/>
                <w:szCs w:val="22"/>
              </w:rPr>
              <w:t>5</w:t>
            </w:r>
            <w:r w:rsidR="000258A4" w:rsidRPr="00435528">
              <w:rPr>
                <w:b/>
                <w:i/>
                <w:color w:val="000000"/>
                <w:sz w:val="22"/>
                <w:szCs w:val="22"/>
              </w:rPr>
              <w:t>%</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E81551F" w14:textId="77777777" w:rsidR="00244BBC" w:rsidRPr="004F0F1B" w:rsidRDefault="00244BBC" w:rsidP="00244BB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w:t>
            </w:r>
          </w:p>
          <w:p w14:paraId="12AB4EDF" w14:textId="77777777" w:rsidR="00244BBC" w:rsidRPr="004F0F1B" w:rsidRDefault="00244BBC" w:rsidP="00244BBC">
            <w:pPr>
              <w:numPr>
                <w:ilvl w:val="0"/>
                <w:numId w:val="12"/>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14:paraId="50FD74DD" w14:textId="77777777" w:rsidR="00244BBC" w:rsidRPr="0079083B" w:rsidRDefault="00244BBC" w:rsidP="00244BBC">
            <w:pPr>
              <w:numPr>
                <w:ilvl w:val="0"/>
                <w:numId w:val="12"/>
              </w:numPr>
              <w:tabs>
                <w:tab w:val="left" w:pos="372"/>
              </w:tabs>
              <w:suppressAutoHyphens/>
              <w:spacing w:before="120" w:after="120"/>
              <w:ind w:left="372" w:hanging="360"/>
              <w:rPr>
                <w:b/>
                <w:i/>
                <w:color w:val="000000" w:themeColor="text1"/>
              </w:rPr>
            </w:pPr>
            <w:r w:rsidRPr="0079083B">
              <w:rPr>
                <w:b/>
                <w:i/>
                <w:color w:val="000000" w:themeColor="text1"/>
                <w:sz w:val="22"/>
                <w:szCs w:val="22"/>
              </w:rPr>
              <w:t>Garanția de buna execuție prin transfer la contul autorităţii contractante, conform următoarelor date bancare:</w:t>
            </w:r>
          </w:p>
          <w:p w14:paraId="26791070" w14:textId="77777777" w:rsidR="00244BBC" w:rsidRPr="004F0F1B" w:rsidRDefault="00244BBC" w:rsidP="00244BBC">
            <w:pPr>
              <w:spacing w:after="120"/>
              <w:ind w:left="599"/>
              <w:rPr>
                <w:i/>
                <w:color w:val="000000" w:themeColor="text1"/>
              </w:rPr>
            </w:pPr>
            <w:r w:rsidRPr="004F0F1B">
              <w:rPr>
                <w:i/>
                <w:color w:val="000000" w:themeColor="text1"/>
                <w:sz w:val="22"/>
                <w:szCs w:val="22"/>
              </w:rPr>
              <w:t>Beneficiarul plăţii:</w:t>
            </w:r>
            <w:r>
              <w:rPr>
                <w:i/>
                <w:color w:val="000000" w:themeColor="text1"/>
                <w:sz w:val="22"/>
                <w:szCs w:val="22"/>
              </w:rPr>
              <w:t xml:space="preserve"> </w:t>
            </w:r>
            <w:r>
              <w:rPr>
                <w:rStyle w:val="aff"/>
                <w:color w:val="000000"/>
                <w:shd w:val="clear" w:color="auto" w:fill="FFFFFF"/>
                <w:lang w:val="en-US"/>
              </w:rPr>
              <w:t>IMSP SCM ”Sfânta Treime”</w:t>
            </w:r>
            <w:r w:rsidRPr="00D11B2F">
              <w:rPr>
                <w:color w:val="000000"/>
                <w:shd w:val="clear" w:color="auto" w:fill="FFFFFF"/>
                <w:lang w:val="en-US"/>
              </w:rPr>
              <w:t> </w:t>
            </w:r>
          </w:p>
          <w:p w14:paraId="0D785D7A" w14:textId="77777777" w:rsidR="00244BBC" w:rsidRPr="004F0F1B" w:rsidRDefault="00244BBC" w:rsidP="00244BBC">
            <w:pPr>
              <w:spacing w:after="120"/>
              <w:ind w:left="599"/>
              <w:rPr>
                <w:i/>
                <w:color w:val="000000" w:themeColor="text1"/>
              </w:rPr>
            </w:pPr>
            <w:r w:rsidRPr="004F0F1B">
              <w:rPr>
                <w:i/>
                <w:color w:val="000000" w:themeColor="text1"/>
                <w:sz w:val="22"/>
                <w:szCs w:val="22"/>
              </w:rPr>
              <w:t>Denumirea Băncii:</w:t>
            </w:r>
            <w:r>
              <w:t xml:space="preserve"> </w:t>
            </w:r>
            <w:r w:rsidRPr="0079083B">
              <w:rPr>
                <w:b/>
                <w:i/>
                <w:color w:val="000000" w:themeColor="text1"/>
                <w:sz w:val="22"/>
                <w:szCs w:val="22"/>
              </w:rPr>
              <w:t>BC MOLDINKOMBANK SA fil Alecu Russo</w:t>
            </w:r>
          </w:p>
          <w:p w14:paraId="5DA6BB0E" w14:textId="77777777" w:rsidR="00244BBC" w:rsidRPr="0079083B" w:rsidRDefault="00244BBC" w:rsidP="00244BBC">
            <w:pPr>
              <w:spacing w:after="120"/>
              <w:ind w:left="599"/>
              <w:rPr>
                <w:b/>
                <w:i/>
                <w:color w:val="000000" w:themeColor="text1"/>
              </w:rPr>
            </w:pPr>
            <w:r w:rsidRPr="004F0F1B">
              <w:rPr>
                <w:i/>
                <w:color w:val="000000" w:themeColor="text1"/>
                <w:sz w:val="22"/>
                <w:szCs w:val="22"/>
              </w:rPr>
              <w:t>Codul fiscal:</w:t>
            </w:r>
            <w:r>
              <w:t xml:space="preserve"> </w:t>
            </w:r>
            <w:r w:rsidRPr="0079083B">
              <w:rPr>
                <w:b/>
                <w:i/>
              </w:rPr>
              <w:t>1003600152592</w:t>
            </w:r>
          </w:p>
          <w:p w14:paraId="6062E898" w14:textId="77777777" w:rsidR="00244BBC" w:rsidRPr="004F0F1B" w:rsidRDefault="00244BBC" w:rsidP="00244BBC">
            <w:pPr>
              <w:spacing w:after="120"/>
              <w:ind w:left="599"/>
              <w:rPr>
                <w:i/>
                <w:color w:val="000000" w:themeColor="text1"/>
              </w:rPr>
            </w:pPr>
            <w:r w:rsidRPr="004F0F1B">
              <w:rPr>
                <w:i/>
                <w:color w:val="000000" w:themeColor="text1"/>
                <w:sz w:val="22"/>
                <w:szCs w:val="22"/>
              </w:rPr>
              <w:t xml:space="preserve">Contul de decontare; </w:t>
            </w:r>
            <w:r w:rsidRPr="0079083B">
              <w:rPr>
                <w:b/>
                <w:i/>
                <w:color w:val="000000" w:themeColor="text1"/>
                <w:sz w:val="22"/>
                <w:szCs w:val="22"/>
              </w:rPr>
              <w:t>MD22ML000000000225166614</w:t>
            </w:r>
          </w:p>
          <w:p w14:paraId="4D81E742" w14:textId="77777777" w:rsidR="00244BBC" w:rsidRPr="004F0F1B" w:rsidRDefault="00244BBC" w:rsidP="00244BBC">
            <w:pPr>
              <w:spacing w:after="120"/>
              <w:ind w:left="599"/>
              <w:rPr>
                <w:i/>
                <w:color w:val="000000" w:themeColor="text1"/>
              </w:rPr>
            </w:pPr>
            <w:r w:rsidRPr="004F0F1B">
              <w:rPr>
                <w:i/>
                <w:color w:val="000000" w:themeColor="text1"/>
                <w:sz w:val="22"/>
                <w:szCs w:val="22"/>
              </w:rPr>
              <w:t xml:space="preserve">Contul trezorerial: </w:t>
            </w:r>
          </w:p>
          <w:p w14:paraId="0B91B93A" w14:textId="77777777" w:rsidR="00244BBC" w:rsidRPr="004F0F1B" w:rsidRDefault="00244BBC" w:rsidP="00244BBC">
            <w:pPr>
              <w:spacing w:after="120"/>
              <w:ind w:left="599"/>
              <w:rPr>
                <w:i/>
                <w:color w:val="000000" w:themeColor="text1"/>
              </w:rPr>
            </w:pPr>
            <w:r w:rsidRPr="004F0F1B">
              <w:rPr>
                <w:i/>
                <w:color w:val="000000" w:themeColor="text1"/>
                <w:sz w:val="22"/>
                <w:szCs w:val="22"/>
              </w:rPr>
              <w:t xml:space="preserve">Contul bancar: </w:t>
            </w:r>
            <w:r w:rsidRPr="0079083B">
              <w:rPr>
                <w:b/>
                <w:i/>
                <w:color w:val="000000" w:themeColor="text1"/>
                <w:sz w:val="22"/>
                <w:szCs w:val="22"/>
              </w:rPr>
              <w:t>MOLDMD2X366</w:t>
            </w:r>
          </w:p>
          <w:p w14:paraId="707BAF46" w14:textId="0C36DF1A" w:rsidR="00244BBC" w:rsidRPr="004F0F1B" w:rsidRDefault="00244BBC" w:rsidP="00244BBC">
            <w:pPr>
              <w:spacing w:after="120"/>
              <w:ind w:left="599"/>
              <w:rPr>
                <w:i/>
                <w:color w:val="000000" w:themeColor="text1"/>
              </w:rPr>
            </w:pPr>
          </w:p>
          <w:p w14:paraId="634B42FD" w14:textId="53FFFC07" w:rsidR="000258A4" w:rsidRPr="00435528" w:rsidRDefault="00244BBC" w:rsidP="00244BBC">
            <w:pPr>
              <w:tabs>
                <w:tab w:val="left" w:pos="372"/>
              </w:tabs>
              <w:suppressAutoHyphens/>
              <w:spacing w:before="120" w:after="120"/>
              <w:rPr>
                <w:color w:val="000000"/>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lang w:val="ro-MD"/>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74F260B0" w:rsidR="000258A4" w:rsidRPr="00C60D06" w:rsidRDefault="000258A4" w:rsidP="005B5134">
            <w:pPr>
              <w:tabs>
                <w:tab w:val="right" w:pos="4743"/>
              </w:tabs>
              <w:jc w:val="both"/>
              <w:rPr>
                <w:b/>
                <w:i/>
                <w:iCs/>
                <w:color w:val="FF0000"/>
              </w:rPr>
            </w:pPr>
            <w:r w:rsidRPr="00C60D06">
              <w:rPr>
                <w:i/>
              </w:rPr>
              <w:t>[</w:t>
            </w:r>
            <w:r w:rsidR="00B41A70">
              <w:rPr>
                <w:i/>
              </w:rPr>
              <w:t xml:space="preserve"> 6</w:t>
            </w:r>
            <w:r w:rsidRPr="00C60D06">
              <w:rPr>
                <w:i/>
              </w:rPr>
              <w:t xml:space="preserve"> numărul 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2BF64898"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B41A70">
        <w:rPr>
          <w:b/>
          <w:bCs/>
          <w:color w:val="000000"/>
          <w:sz w:val="22"/>
          <w:szCs w:val="22"/>
        </w:rPr>
        <w:t xml:space="preserve"> Anatol FORTUNA </w:t>
      </w:r>
      <w:r w:rsidRPr="00C60D06">
        <w:rPr>
          <w:b/>
          <w:bCs/>
          <w:color w:val="000000"/>
          <w:sz w:val="22"/>
          <w:szCs w:val="22"/>
        </w:rPr>
        <w:t xml:space="preserve">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8" w:name="_Toc392180198"/>
            <w:bookmarkStart w:id="159" w:name="_Toc449539086"/>
            <w:r w:rsidRPr="00435528">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br w:type="page"/>
            </w:r>
            <w:bookmarkStart w:id="160" w:name="_Toc392180199"/>
            <w:bookmarkStart w:id="161" w:name="_Toc449539087"/>
            <w:r w:rsidRPr="00435528">
              <w:t>Garanţia pentru oferta (Garanția bancară) (F3.2)</w:t>
            </w:r>
            <w:bookmarkEnd w:id="160"/>
            <w:bookmarkEnd w:id="161"/>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2" w:name="_Toc392180203"/>
            <w:bookmarkStart w:id="163" w:name="_Toc449539093"/>
            <w:r w:rsidRPr="00435528">
              <w:t>Garanţie de bună execuţie (F3.3)</w:t>
            </w:r>
            <w:bookmarkEnd w:id="162"/>
            <w:bookmarkEnd w:id="163"/>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4" w:name="_Toc392180205"/>
                  <w:bookmarkStart w:id="165" w:name="_Toc449539094"/>
                  <w:r>
                    <w:rPr>
                      <w:lang w:val="ro-RO"/>
                    </w:rPr>
                    <w:t>CAPITOLUL IV</w:t>
                  </w:r>
                  <w:r w:rsidRPr="00C60D06">
                    <w:rPr>
                      <w:lang w:val="ro-RO"/>
                    </w:rPr>
                    <w:br w:type="textWrapping" w:clear="all"/>
                  </w:r>
                  <w:bookmarkEnd w:id="164"/>
                  <w:bookmarkEnd w:id="165"/>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4268"/>
        <w:gridCol w:w="2776"/>
        <w:gridCol w:w="996"/>
        <w:gridCol w:w="1674"/>
        <w:gridCol w:w="3113"/>
        <w:gridCol w:w="139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313B1C">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0258A4" w:rsidRPr="00C60D06" w14:paraId="11FF5404"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77777777" w:rsidR="000258A4" w:rsidRPr="00C60D06" w:rsidRDefault="000258A4"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77777777" w:rsidR="000258A4" w:rsidRPr="00C60D06" w:rsidRDefault="000258A4" w:rsidP="005B5134">
            <w:pPr>
              <w:jc w:val="center"/>
              <w:rPr>
                <w:b/>
              </w:rPr>
            </w:pPr>
            <w:r w:rsidRPr="00C60D06">
              <w:rPr>
                <w:i/>
                <w:iCs/>
              </w:rPr>
              <w:t>[adăugaţi numărul de rînduri şi detalii conform numărului de articole individuale solicitate în cadrul lotului]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0258A4" w:rsidRPr="00C60D06" w:rsidRDefault="000258A4" w:rsidP="005B5134">
            <w:pPr>
              <w:jc w:val="center"/>
            </w:pPr>
          </w:p>
        </w:tc>
      </w:tr>
      <w:tr w:rsidR="000258A4" w:rsidRPr="00C60D06" w14:paraId="450E379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77777777" w:rsidR="000258A4" w:rsidRPr="00C60D06" w:rsidRDefault="000258A4" w:rsidP="005B5134">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393B4791"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0258A4" w:rsidRPr="00C60D06" w:rsidRDefault="000258A4" w:rsidP="005B5134">
            <w:pPr>
              <w:jc w:val="center"/>
            </w:pPr>
          </w:p>
        </w:tc>
      </w:tr>
      <w:tr w:rsidR="000258A4" w:rsidRPr="00C60D06" w14:paraId="22BAEB0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77777777" w:rsidR="000258A4" w:rsidRPr="00C60D06" w:rsidRDefault="000258A4" w:rsidP="005B5134">
            <w:pPr>
              <w:jc w:val="center"/>
              <w:rPr>
                <w:b/>
              </w:rPr>
            </w:pPr>
            <w:r w:rsidRPr="00C60D06">
              <w:t>Lotul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23683B7"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0258A4" w:rsidRPr="00C60D06" w:rsidRDefault="000258A4" w:rsidP="005B5134">
            <w:pPr>
              <w:jc w:val="center"/>
            </w:pPr>
          </w:p>
        </w:tc>
      </w:tr>
      <w:tr w:rsidR="000258A4" w:rsidRPr="00C60D06" w14:paraId="2D1C3BA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77777777" w:rsidR="000258A4" w:rsidRPr="00C60D06"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D0654EF"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0258A4" w:rsidRPr="00C60D06" w:rsidRDefault="000258A4" w:rsidP="005B5134">
            <w:pPr>
              <w:jc w:val="center"/>
            </w:pPr>
          </w:p>
        </w:tc>
      </w:tr>
      <w:tr w:rsidR="000258A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0258A4" w:rsidRPr="00C60D06" w:rsidRDefault="000258A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313B1C">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14:paraId="32841F98" w14:textId="77777777" w:rsidR="000258A4" w:rsidRPr="00435528" w:rsidRDefault="000258A4" w:rsidP="00313B1C">
                  <w:pPr>
                    <w:pStyle w:val="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14:paraId="11BCE1BD" w14:textId="77777777" w:rsidR="000258A4" w:rsidRPr="00435528" w:rsidRDefault="000258A4" w:rsidP="00313B1C">
                  <w:pPr>
                    <w:pStyle w:val="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313B1C">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313B1C">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313B1C">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313B1C">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313B1C">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313B1C">
                  <w:pPr>
                    <w:framePr w:hSpace="180" w:wrap="around" w:vAnchor="page" w:hAnchor="margin" w:y="347"/>
                    <w:rPr>
                      <w:sz w:val="20"/>
                    </w:rPr>
                  </w:pPr>
                  <w:r w:rsidRPr="002674E1">
                    <w:rPr>
                      <w:sz w:val="20"/>
                    </w:rPr>
                    <w:t>Denumirea licitaţiei:</w:t>
                  </w: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313B1C">
                  <w:pPr>
                    <w:framePr w:hSpace="180" w:wrap="around" w:vAnchor="page" w:hAnchor="margin" w:y="347"/>
                    <w:rPr>
                      <w:sz w:val="20"/>
                    </w:rPr>
                  </w:pPr>
                </w:p>
              </w:tc>
              <w:tc>
                <w:tcPr>
                  <w:tcW w:w="1257" w:type="dxa"/>
                  <w:gridSpan w:val="3"/>
                </w:tcPr>
                <w:p w14:paraId="5FCFD9CA" w14:textId="77777777" w:rsidR="000258A4" w:rsidRPr="006C1FA2" w:rsidRDefault="000258A4" w:rsidP="00313B1C">
                  <w:pPr>
                    <w:framePr w:hSpace="180" w:wrap="around" w:vAnchor="page" w:hAnchor="margin" w:y="347"/>
                    <w:rPr>
                      <w:sz w:val="20"/>
                    </w:rPr>
                  </w:pPr>
                </w:p>
              </w:tc>
              <w:tc>
                <w:tcPr>
                  <w:tcW w:w="1257" w:type="dxa"/>
                  <w:gridSpan w:val="3"/>
                </w:tcPr>
                <w:p w14:paraId="43E304B5" w14:textId="77777777" w:rsidR="000258A4" w:rsidRPr="002674E1" w:rsidRDefault="000258A4" w:rsidP="00313B1C">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313B1C">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313B1C">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313B1C">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313B1C">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313B1C">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313B1C">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313B1C">
                  <w:pPr>
                    <w:framePr w:hSpace="180" w:wrap="around" w:vAnchor="page" w:hAnchor="margin" w:y="347"/>
                    <w:jc w:val="center"/>
                    <w:rPr>
                      <w:b/>
                      <w:sz w:val="20"/>
                    </w:rPr>
                  </w:pPr>
                  <w:r w:rsidRPr="002674E1">
                    <w:rPr>
                      <w:b/>
                      <w:sz w:val="20"/>
                    </w:rPr>
                    <w:t>Suma</w:t>
                  </w:r>
                </w:p>
                <w:p w14:paraId="17A9B909" w14:textId="77777777" w:rsidR="000258A4" w:rsidRPr="002674E1" w:rsidRDefault="000258A4" w:rsidP="00313B1C">
                  <w:pPr>
                    <w:framePr w:hSpace="180" w:wrap="around" w:vAnchor="page" w:hAnchor="margin" w:y="347"/>
                    <w:jc w:val="center"/>
                    <w:rPr>
                      <w:b/>
                      <w:sz w:val="20"/>
                    </w:rPr>
                  </w:pPr>
                  <w:r w:rsidRPr="002674E1">
                    <w:rPr>
                      <w:b/>
                      <w:sz w:val="20"/>
                    </w:rPr>
                    <w:t>fără</w:t>
                  </w:r>
                </w:p>
                <w:p w14:paraId="652C5BE5" w14:textId="77777777" w:rsidR="000258A4" w:rsidRPr="002674E1" w:rsidRDefault="000258A4" w:rsidP="00313B1C">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313B1C">
                  <w:pPr>
                    <w:framePr w:hSpace="180" w:wrap="around" w:vAnchor="page" w:hAnchor="margin" w:y="347"/>
                    <w:jc w:val="center"/>
                    <w:rPr>
                      <w:b/>
                      <w:sz w:val="20"/>
                    </w:rPr>
                  </w:pPr>
                  <w:r w:rsidRPr="002674E1">
                    <w:rPr>
                      <w:b/>
                      <w:sz w:val="20"/>
                    </w:rPr>
                    <w:t>Suma</w:t>
                  </w:r>
                </w:p>
                <w:p w14:paraId="109D8AAF" w14:textId="77777777" w:rsidR="000258A4" w:rsidRPr="002674E1" w:rsidRDefault="000258A4" w:rsidP="00313B1C">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313B1C">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313B1C">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313B1C">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313B1C">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313B1C">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313B1C">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313B1C">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313B1C">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313B1C">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313B1C">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313B1C">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313B1C">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313B1C">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313B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313B1C">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313B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313B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313B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313B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313B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313B1C">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313B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313B1C">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313B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313B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313B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313B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313B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313B1C">
                  <w:pPr>
                    <w:framePr w:hSpace="180" w:wrap="around" w:vAnchor="page" w:hAnchor="margin" w:y="347"/>
                    <w:rPr>
                      <w:sz w:val="20"/>
                    </w:rPr>
                  </w:pPr>
                </w:p>
              </w:tc>
            </w:tr>
            <w:tr w:rsidR="000258A4"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77777777" w:rsidR="000258A4" w:rsidRPr="002674E1" w:rsidRDefault="000258A4" w:rsidP="00313B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77777777" w:rsidR="000258A4" w:rsidRPr="002674E1" w:rsidRDefault="000258A4" w:rsidP="00313B1C">
                  <w:pPr>
                    <w:framePr w:hSpace="180" w:wrap="around" w:vAnchor="page" w:hAnchor="margin" w:y="347"/>
                    <w:rPr>
                      <w:b/>
                      <w:sz w:val="20"/>
                    </w:rPr>
                  </w:pPr>
                  <w:r w:rsidRPr="002674E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7777777" w:rsidR="000258A4" w:rsidRPr="002674E1" w:rsidRDefault="000258A4" w:rsidP="00313B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7777777" w:rsidR="000258A4" w:rsidRPr="002674E1" w:rsidRDefault="000258A4" w:rsidP="00313B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0258A4" w:rsidRPr="002674E1" w:rsidRDefault="000258A4" w:rsidP="00313B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0258A4" w:rsidRPr="002674E1" w:rsidRDefault="000258A4" w:rsidP="00313B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0258A4" w:rsidRPr="002674E1" w:rsidRDefault="000258A4" w:rsidP="00313B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0258A4" w:rsidRPr="006C1FA2" w:rsidRDefault="000258A4" w:rsidP="00313B1C">
                  <w:pPr>
                    <w:framePr w:hSpace="180" w:wrap="around" w:vAnchor="page" w:hAnchor="margin" w:y="347"/>
                    <w:rPr>
                      <w:sz w:val="20"/>
                    </w:rPr>
                  </w:pPr>
                </w:p>
              </w:tc>
            </w:tr>
            <w:tr w:rsidR="000258A4"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0258A4" w:rsidRPr="002674E1" w:rsidRDefault="000258A4" w:rsidP="00313B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0258A4" w:rsidRPr="002674E1" w:rsidRDefault="000258A4" w:rsidP="00313B1C">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0258A4" w:rsidRPr="002674E1" w:rsidRDefault="000258A4" w:rsidP="00313B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0258A4" w:rsidRPr="002674E1" w:rsidRDefault="000258A4" w:rsidP="00313B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0258A4" w:rsidRPr="002674E1" w:rsidRDefault="000258A4" w:rsidP="00313B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0258A4" w:rsidRPr="002674E1" w:rsidRDefault="000258A4" w:rsidP="00313B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0258A4" w:rsidRPr="002674E1" w:rsidRDefault="000258A4" w:rsidP="00313B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0258A4" w:rsidRPr="006C1FA2" w:rsidRDefault="000258A4" w:rsidP="00313B1C">
                  <w:pPr>
                    <w:framePr w:hSpace="180" w:wrap="around" w:vAnchor="page" w:hAnchor="margin" w:y="347"/>
                    <w:rPr>
                      <w:sz w:val="20"/>
                    </w:rPr>
                  </w:pPr>
                </w:p>
              </w:tc>
            </w:tr>
            <w:tr w:rsidR="000258A4" w:rsidRPr="002674E1" w14:paraId="610117F2"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0258A4" w:rsidRPr="002674E1" w:rsidRDefault="000258A4" w:rsidP="00313B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77777777" w:rsidR="000258A4" w:rsidRPr="002674E1" w:rsidRDefault="000258A4" w:rsidP="00313B1C">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0258A4" w:rsidRPr="002674E1" w:rsidRDefault="000258A4" w:rsidP="00313B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0258A4" w:rsidRPr="002674E1" w:rsidRDefault="000258A4" w:rsidP="00313B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0258A4" w:rsidRPr="002674E1" w:rsidRDefault="000258A4" w:rsidP="00313B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0258A4" w:rsidRPr="002674E1" w:rsidRDefault="000258A4" w:rsidP="00313B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0258A4" w:rsidRPr="002674E1" w:rsidRDefault="000258A4" w:rsidP="00313B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0258A4" w:rsidRPr="006C1FA2" w:rsidRDefault="000258A4" w:rsidP="00313B1C">
                  <w:pPr>
                    <w:framePr w:hSpace="180" w:wrap="around" w:vAnchor="page" w:hAnchor="margin" w:y="347"/>
                    <w:rPr>
                      <w:sz w:val="20"/>
                    </w:rPr>
                  </w:pPr>
                </w:p>
              </w:tc>
            </w:tr>
            <w:tr w:rsidR="000258A4"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0258A4" w:rsidRPr="002674E1" w:rsidRDefault="000258A4" w:rsidP="00313B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77777777" w:rsidR="000258A4" w:rsidRPr="002674E1" w:rsidRDefault="000258A4" w:rsidP="00313B1C">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77777777" w:rsidR="000258A4" w:rsidRPr="002674E1" w:rsidRDefault="000258A4" w:rsidP="00313B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7777777" w:rsidR="000258A4" w:rsidRPr="002674E1" w:rsidRDefault="000258A4" w:rsidP="00313B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0258A4" w:rsidRPr="002674E1" w:rsidRDefault="000258A4" w:rsidP="00313B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0258A4" w:rsidRPr="002674E1" w:rsidRDefault="000258A4" w:rsidP="00313B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0258A4" w:rsidRPr="002674E1" w:rsidRDefault="000258A4" w:rsidP="00313B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0258A4" w:rsidRPr="006C1FA2" w:rsidRDefault="000258A4" w:rsidP="00313B1C">
                  <w:pPr>
                    <w:framePr w:hSpace="180" w:wrap="around" w:vAnchor="page" w:hAnchor="margin" w:y="347"/>
                    <w:rPr>
                      <w:sz w:val="20"/>
                    </w:rPr>
                  </w:pP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313B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313B1C">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313B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313B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313B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313B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313B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313B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313B1C">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313B1C">
                  <w:pPr>
                    <w:framePr w:hSpace="180" w:wrap="around" w:vAnchor="page" w:hAnchor="margin" w:y="347"/>
                    <w:tabs>
                      <w:tab w:val="left" w:pos="6120"/>
                    </w:tabs>
                    <w:rPr>
                      <w:sz w:val="20"/>
                    </w:rPr>
                  </w:pPr>
                </w:p>
                <w:p w14:paraId="5DFB89C6" w14:textId="77777777" w:rsidR="000258A4" w:rsidRPr="002674E1" w:rsidRDefault="000258A4" w:rsidP="00313B1C">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313B1C">
                  <w:pPr>
                    <w:framePr w:hSpace="180" w:wrap="around" w:vAnchor="page" w:hAnchor="margin" w:y="347"/>
                    <w:rPr>
                      <w:sz w:val="20"/>
                    </w:rPr>
                  </w:pPr>
                </w:p>
                <w:p w14:paraId="7E9C7DA2" w14:textId="77777777" w:rsidR="000258A4" w:rsidRPr="002674E1" w:rsidRDefault="000258A4" w:rsidP="00313B1C">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313B1C">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313B1C">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3" w:name="_Toc392180209"/>
            <w:bookmarkStart w:id="174" w:name="_Toc449539098"/>
            <w:r w:rsidRPr="00C60D06">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o-RO" w:eastAsia="ro-RO"/>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DE51DE" w:rsidRDefault="00DE51DE" w:rsidP="009C5033">
                                  <w:r w:rsidRPr="00EC278C">
                                    <w:object w:dxaOrig="599" w:dyaOrig="749"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1" o:title=""/>
                                      </v:shape>
                                      <o:OLEObject Type="Embed" ProgID="Word.Picture.8" ShapeID="_x0000_i1026" DrawAspect="Content" ObjectID="_169374155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2298FE23" w14:textId="77777777" w:rsidR="00DE51DE" w:rsidRDefault="00DE51DE" w:rsidP="009C5033">
                            <w:r w:rsidRPr="00EC278C">
                              <w:object w:dxaOrig="597" w:dyaOrig="752" w14:anchorId="1AEA1E4C">
                                <v:shape id="_x0000_i1026" type="#_x0000_t75" style="width:29.85pt;height:37.6pt" fillcolor="window">
                                  <v:imagedata r:id="rId13" o:title=""/>
                                </v:shape>
                                <o:OLEObject Type="Embed" ProgID="Word.Picture.8" ShapeID="_x0000_i1026" DrawAspect="Content" ObjectID="_1638620314"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AD08" w14:textId="77777777" w:rsidR="008A4878" w:rsidRDefault="008A4878" w:rsidP="000258A4">
      <w:r>
        <w:separator/>
      </w:r>
    </w:p>
  </w:endnote>
  <w:endnote w:type="continuationSeparator" w:id="0">
    <w:p w14:paraId="0A9BA349" w14:textId="77777777" w:rsidR="008A4878" w:rsidRDefault="008A4878"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ans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50C9215B" w:rsidR="00DE51DE" w:rsidRDefault="00DE51DE" w:rsidP="005B5134">
    <w:pPr>
      <w:pStyle w:val="a4"/>
      <w:jc w:val="center"/>
    </w:pPr>
    <w:r>
      <w:fldChar w:fldCharType="begin"/>
    </w:r>
    <w:r>
      <w:instrText xml:space="preserve"> PAGE   \* MERGEFORMAT </w:instrText>
    </w:r>
    <w:r>
      <w:fldChar w:fldCharType="separate"/>
    </w:r>
    <w:r w:rsidR="00160D13">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3AC99573" w:rsidR="00DE51DE" w:rsidRDefault="00DE51DE" w:rsidP="005B5134">
    <w:pPr>
      <w:pStyle w:val="a4"/>
      <w:jc w:val="center"/>
    </w:pPr>
    <w:r>
      <w:fldChar w:fldCharType="begin"/>
    </w:r>
    <w:r>
      <w:instrText xml:space="preserve"> PAGE   \* MERGEFORMAT </w:instrText>
    </w:r>
    <w:r>
      <w:fldChar w:fldCharType="separate"/>
    </w:r>
    <w:r w:rsidR="00160D13">
      <w:t>29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DE51DE" w:rsidRDefault="00DE51D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5CD8" w14:textId="77777777" w:rsidR="008A4878" w:rsidRDefault="008A4878" w:rsidP="000258A4">
      <w:r>
        <w:separator/>
      </w:r>
    </w:p>
  </w:footnote>
  <w:footnote w:type="continuationSeparator" w:id="0">
    <w:p w14:paraId="598F47F5" w14:textId="77777777" w:rsidR="008A4878" w:rsidRDefault="008A4878" w:rsidP="000258A4">
      <w:r>
        <w:continuationSeparator/>
      </w:r>
    </w:p>
  </w:footnote>
  <w:footnote w:id="1">
    <w:p w14:paraId="50F8D749" w14:textId="77777777" w:rsidR="00DE51DE" w:rsidRPr="00540469" w:rsidRDefault="00DE51DE"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0353BF"/>
    <w:rsid w:val="000F40AE"/>
    <w:rsid w:val="00153379"/>
    <w:rsid w:val="00160D13"/>
    <w:rsid w:val="00182985"/>
    <w:rsid w:val="00226A1C"/>
    <w:rsid w:val="00244BBC"/>
    <w:rsid w:val="00313B1C"/>
    <w:rsid w:val="00373FB6"/>
    <w:rsid w:val="00392B3B"/>
    <w:rsid w:val="003D0697"/>
    <w:rsid w:val="005107F9"/>
    <w:rsid w:val="0053284D"/>
    <w:rsid w:val="005A71E8"/>
    <w:rsid w:val="005B5134"/>
    <w:rsid w:val="00603001"/>
    <w:rsid w:val="00650D0F"/>
    <w:rsid w:val="00664E73"/>
    <w:rsid w:val="006C52E4"/>
    <w:rsid w:val="00787009"/>
    <w:rsid w:val="007C5B33"/>
    <w:rsid w:val="00867C81"/>
    <w:rsid w:val="008A4878"/>
    <w:rsid w:val="009C5033"/>
    <w:rsid w:val="00A477C0"/>
    <w:rsid w:val="00A64A7A"/>
    <w:rsid w:val="00A76B48"/>
    <w:rsid w:val="00AB17F3"/>
    <w:rsid w:val="00AE2107"/>
    <w:rsid w:val="00AF6D43"/>
    <w:rsid w:val="00B41A70"/>
    <w:rsid w:val="00BC685B"/>
    <w:rsid w:val="00BF735E"/>
    <w:rsid w:val="00CA5A22"/>
    <w:rsid w:val="00D51DF4"/>
    <w:rsid w:val="00D73C25"/>
    <w:rsid w:val="00DE51DE"/>
    <w:rsid w:val="00E138AA"/>
    <w:rsid w:val="00F80BB0"/>
    <w:rsid w:val="00FC05F9"/>
    <w:rsid w:val="00FF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226A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sid w:val="00CA5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6123-0F43-43EF-9870-0825EB88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12031</Words>
  <Characters>69786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Igor</cp:lastModifiedBy>
  <cp:revision>23</cp:revision>
  <cp:lastPrinted>2018-10-10T10:57:00Z</cp:lastPrinted>
  <dcterms:created xsi:type="dcterms:W3CDTF">2019-12-23T13:09:00Z</dcterms:created>
  <dcterms:modified xsi:type="dcterms:W3CDTF">2021-09-21T12:00:00Z</dcterms:modified>
</cp:coreProperties>
</file>