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lu1"/>
        <w:spacing w:before="120" w:after="0"/>
        <w:ind w:left="0" w:hanging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ro-MD"/>
        </w:rPr>
        <w:t>ANUNȚ DE PARTICIPARE</w:t>
      </w:r>
    </w:p>
    <w:p>
      <w:pPr>
        <w:pStyle w:val="Normal"/>
        <w:spacing w:before="120" w:after="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  <w:lang w:val="ro-MD"/>
        </w:rPr>
        <w:t>privind achiziționarea Diverse produse alimentare pentru semestrul II al anului 2026</w:t>
      </w:r>
      <w:r>
        <w:rPr>
          <w:rFonts w:ascii="Times New Roman" w:hAnsi="Times New Roman"/>
          <w:b/>
          <w:sz w:val="26"/>
          <w:szCs w:val="26"/>
          <w:lang w:val="ro-RO"/>
        </w:rPr>
        <w:t xml:space="preserve"> </w:t>
      </w:r>
      <w:r>
        <w:rPr>
          <w:rFonts w:ascii="Times New Roman" w:hAnsi="Times New Roman"/>
          <w:b/>
          <w:sz w:val="26"/>
          <w:szCs w:val="26"/>
          <w:lang w:val="ro-MD"/>
        </w:rPr>
        <w:br/>
        <w:t>prin procedura de achiziție</w:t>
      </w:r>
      <w:r>
        <w:rPr>
          <w:rFonts w:ascii="Times New Roman" w:hAnsi="Times New Roman"/>
          <w:b/>
          <w:sz w:val="26"/>
          <w:szCs w:val="26"/>
          <w:shd w:fill="FFFFFF" w:val="clear"/>
          <w:lang w:val="ro-MD"/>
        </w:rPr>
        <w:t xml:space="preserve"> Cererea Ofertelor de Prețuri </w:t>
      </w:r>
    </w:p>
    <w:p>
      <w:pPr>
        <w:pStyle w:val="Normal"/>
        <w:rPr>
          <w:rFonts w:ascii="Times New Roman" w:hAnsi="Times New Roman"/>
          <w:sz w:val="26"/>
          <w:szCs w:val="26"/>
          <w:lang w:val="ro-MD"/>
        </w:rPr>
      </w:pPr>
      <w:r>
        <w:rPr>
          <w:rFonts w:ascii="Times New Roman" w:hAnsi="Times New Roman"/>
          <w:sz w:val="26"/>
          <w:szCs w:val="26"/>
          <w:lang w:val="ro-MD"/>
        </w:rPr>
      </w:r>
    </w:p>
    <w:p>
      <w:pPr>
        <w:pStyle w:val="Normal"/>
        <w:numPr>
          <w:ilvl w:val="0"/>
          <w:numId w:val="87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Denumirea autorității contractante:</w:t>
      </w:r>
      <w:r>
        <w:rPr>
          <w:rFonts w:ascii="Times New Roman" w:hAnsi="Times New Roman"/>
          <w:b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/>
          <w:sz w:val="26"/>
          <w:szCs w:val="26"/>
          <w:shd w:fill="FFFFFF" w:val="clear"/>
          <w:lang w:val="ro-MD"/>
        </w:rPr>
        <w:t>IMSP Spitalul Raional Dondușeni</w:t>
      </w:r>
    </w:p>
    <w:p>
      <w:pPr>
        <w:pStyle w:val="Normal"/>
        <w:numPr>
          <w:ilvl w:val="0"/>
          <w:numId w:val="88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IDNO: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1003604150574</w:t>
      </w:r>
    </w:p>
    <w:p>
      <w:pPr>
        <w:pStyle w:val="Normal"/>
        <w:numPr>
          <w:ilvl w:val="0"/>
          <w:numId w:val="89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or. Dondușeni, str. M. Eminescu, 26/1</w:t>
      </w:r>
    </w:p>
    <w:p>
      <w:pPr>
        <w:pStyle w:val="Normal"/>
        <w:numPr>
          <w:ilvl w:val="0"/>
          <w:numId w:val="90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Numărul de telefon/fax: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0 251 2 32 05</w:t>
      </w:r>
    </w:p>
    <w:p>
      <w:pPr>
        <w:pStyle w:val="Normal"/>
        <w:numPr>
          <w:ilvl w:val="0"/>
          <w:numId w:val="91"/>
        </w:numPr>
        <w:tabs>
          <w:tab w:val="clear" w:pos="709"/>
          <w:tab w:val="left" w:pos="568" w:leader="none"/>
          <w:tab w:val="right" w:pos="9815" w:leader="none"/>
        </w:tabs>
        <w:spacing w:before="120" w:after="0"/>
        <w:ind w:left="284" w:right="0" w:hanging="284"/>
        <w:rPr/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de e-mail și de internet a autorității contractante: </w:t>
      </w:r>
      <w:hyperlink r:id="rId2">
        <w:r>
          <w:rPr>
            <w:rStyle w:val="Linkdeinternet"/>
            <w:rFonts w:ascii="Times New Roman" w:hAnsi="Times New Roman"/>
            <w:b w:val="false"/>
            <w:bCs w:val="false"/>
            <w:sz w:val="26"/>
            <w:szCs w:val="26"/>
            <w:shd w:fill="FFFFFF" w:val="clear"/>
            <w:lang w:val="ro-MD"/>
          </w:rPr>
          <w:t>srdonduseni@ms.md</w:t>
        </w:r>
      </w:hyperlink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, srdonduseni.md </w:t>
      </w:r>
    </w:p>
    <w:p>
      <w:pPr>
        <w:pStyle w:val="Normal"/>
        <w:numPr>
          <w:ilvl w:val="0"/>
          <w:numId w:val="92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de e-mail sau de internet de la care se va putea obține accesul la documentația de atribuire: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documentația de atribuire este anexată în cadrul procedurii în SIA RSAP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</w:p>
    <w:p>
      <w:pPr>
        <w:pStyle w:val="Normal"/>
        <w:numPr>
          <w:ilvl w:val="0"/>
          <w:numId w:val="93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hAnsi="Times New Roman"/>
          <w:b w:val="false"/>
          <w:bCs w:val="false"/>
          <w:i/>
          <w:sz w:val="26"/>
          <w:szCs w:val="26"/>
          <w:shd w:fill="FFFFFF" w:val="clear"/>
          <w:lang w:val="ro-MD"/>
        </w:rPr>
        <w:t>Instituție medicală ce prestează servicii medicale</w:t>
      </w:r>
    </w:p>
    <w:p>
      <w:pPr>
        <w:pStyle w:val="Normal"/>
        <w:numPr>
          <w:ilvl w:val="0"/>
          <w:numId w:val="94"/>
        </w:numPr>
        <w:tabs>
          <w:tab w:val="clear" w:pos="709"/>
          <w:tab w:val="left" w:pos="572" w:leader="none"/>
          <w:tab w:val="right" w:pos="9819" w:leader="none"/>
        </w:tabs>
        <w:spacing w:before="120" w:after="0"/>
        <w:ind w:left="288" w:right="0" w:hanging="288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Procedura a fost inclusă în planul de achiziții publice a autorității contractante (Da/Nu</w:t>
      </w:r>
      <w:bookmarkStart w:id="0" w:name="_GoBack"/>
      <w:bookmarkEnd w:id="0"/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): DA</w:t>
      </w:r>
    </w:p>
    <w:p>
      <w:pPr>
        <w:pStyle w:val="Normal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Link-ul către planul de achiziții publice publicat:</w:t>
      </w: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  <w:t xml:space="preserve"> </w:t>
      </w:r>
      <w:hyperlink r:id="rId3">
        <w:r>
          <w:rPr>
            <w:rStyle w:val="Linkdeinternet"/>
            <w:rFonts w:ascii="Times New Roman" w:hAnsi="Times New Roman"/>
            <w:b w:val="false"/>
            <w:bCs w:val="false"/>
            <w:sz w:val="26"/>
            <w:szCs w:val="26"/>
            <w:lang w:val="en-US"/>
          </w:rPr>
          <w:t>https://srdonduseni.md/planul-de-achizitii/</w:t>
        </w:r>
      </w:hyperlink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  <w:t xml:space="preserve"> </w:t>
      </w:r>
    </w:p>
    <w:p>
      <w:pPr>
        <w:pStyle w:val="Normal"/>
        <w:numPr>
          <w:ilvl w:val="0"/>
          <w:numId w:val="95"/>
        </w:numPr>
        <w:tabs>
          <w:tab w:val="clear" w:pos="709"/>
          <w:tab w:val="left" w:pos="568" w:leader="none"/>
          <w:tab w:val="right" w:pos="710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Cumpărătorul invită operatorii economici interesați, care îi pot satisface necesitățile, să participe la procedura de achiziție privind livrarea următoarelor bunuri :</w:t>
      </w:r>
    </w:p>
    <w:tbl>
      <w:tblPr>
        <w:tblW w:w="10710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8"/>
        <w:gridCol w:w="962"/>
        <w:gridCol w:w="2730"/>
        <w:gridCol w:w="794"/>
        <w:gridCol w:w="795"/>
        <w:gridCol w:w="3000"/>
        <w:gridCol w:w="1530"/>
      </w:tblGrid>
      <w:tr>
        <w:trPr>
          <w:trHeight w:val="56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Nr. d/o</w:t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Cod CPV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Denumirea bunurilor solicitate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Un de măs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Canti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tatea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Specificarea tehnică deplină solicitată, Standarde de referință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Valoarea estimată</w:t>
              <w:br/>
              <w:t>(se va indica pentru fiecare lot în parte)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Pâine Albă, (grâu), cat.I,feliată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cat.I, franzelă ambalată, feliată, 0,550 kg, zilnic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>Pâine Neagră,(secară)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 w:eastAsia="en-US"/>
              </w:rPr>
              <w:t xml:space="preserve"> feliată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Franzelă  ambalată, f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eastAsia="en-US"/>
              </w:rPr>
              <w:t>eliat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ă, 0,500 kg, zilnic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eastAsia="en-US"/>
              </w:rPr>
              <w:t xml:space="preserve">Făină de grâu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calitatea superioară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  nr.68/29.01.2009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9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Paste făinoase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 superioara  Clasa I, grupa V,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nr.775/03.07.2007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Biscuiți, uscați, dulci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Calitate superioară, cutii, 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Mazăre uscată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șlefuită, întreagă, ambalat câte 25 kg,HG nr.205/11.03.2009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Orez, bob întreg, şlefuit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Cat.superioară ambalat câte 25 kg,  HG nr.68/22.04.2014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hrişcă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 GOST 5550-74,1/lună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griş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kg,HG nr.68/29.01.2009,1/lună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Crupe de mei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280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3700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Fulgi de ovăs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3600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porumb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grâu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325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0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arpacaș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Cat. superioară ambalat câte 25 kg,1/lună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Crupe de alac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170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Cat. superioară ambalat câte 25 kg,1/lună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Mazăre verde, conservată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Borcan 700 gr1/lună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Castraveți marinați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170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Borcan 700 gr1/lună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Mușchi de vită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refrigerat, răcită , fără os, fără tendoane, fracționat max.5 kg, HG nr.696/04.08.2010, livrare în transport cu regim termic special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Crenvurști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din carne de vită (membrana artificială),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GOST 23670-79, livrare în transport cu regim termic special,1/săpt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Salam fiert, dietic, tip doctorskii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Calitate superioară, valabilitatea nu mai mic de 15 zile, porc+vită, standard: HG nr.720/28.06.2007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 livrare în transport cu regim termic special,  1/la 2 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Pulpă de pui broiler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900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MD"/>
              </w:rPr>
              <w:t>refrigerată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6"/>
                <w:szCs w:val="26"/>
                <w:lang w:val="en-US"/>
              </w:rPr>
              <w:t>cu  fierbere rapidă,  calitatea  I, în cutii de carton, pachet de 5 kg, cu greutatea de nu mai puţin de 0,4 kg/1 pulpă,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livrare în transport cu regim termic special, 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HG nr.696/04.08.2010, 2/sapt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Pui broiler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/>
              </w:rPr>
              <w:t>congelat,de fierbere rapidă, cat.I cu greutate nu mai puțin de 1kg,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livrare în transport cu regim termic special, </w:t>
            </w: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 HG nr.696/04.08.2010, 2/sapt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15800000-6 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Fileu de găină, fără os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kg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450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Refrigerat,, fierbere rapidă, cal.I, Standard: HG. nr. 696 din 04.08.2010, 2/sapt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1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en-US"/>
              </w:rPr>
              <w:t>Ouă de găină, de masă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buc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</w:t>
            </w:r>
          </w:p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000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it-IT"/>
              </w:rPr>
              <w:t xml:space="preserve">HG nr.1208/27.10.2008, cu ștampilă vizibilă, 1/sapt.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Lapte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3600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vaci, pasteurizat 2,5%, pungă de politilenă  1l,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Chefir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2,5%,pungă de politilenă 0,5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15800000-6 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Chefir bio, fără adaosuri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450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Grăsimea 2,5 %, ambalat 0,5 l,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,2/săpt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Brânză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1150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vaci, 2% în pungi de politilenă 5kg,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48500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Smântână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350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10% pasteurizată în pachet de politilenă 0,5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Unt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Nesărat, 72,5 % ambalat la 5-20 kg cu grăsime animalieră,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nr.611/05.07.2010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,2/săpt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63000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Cașcaval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Nepicant, 45%, cu cheag tare,SM218, 1/la 2 săpt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Zahăr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750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Alb, tos, din sfeclă, ambalat în sac 50 kg, GOST  21-94,1/lună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Sare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Alimentară, iodată în pachet de 1 kg,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nr.596/03.08.2011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2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Sare de lămâie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1,5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ambalată pachet de 20gr,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nr.596/03.08.2011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,1/lună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Ulei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Vegetal, din floarea soarelui rafinat, deodorat în sticle de 5l,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nr.434/27.05.2010,1/lună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1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15800000-6</w:t>
            </w:r>
          </w:p>
        </w:tc>
        <w:tc>
          <w:tcPr>
            <w:tcW w:w="27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Suc </w:t>
            </w:r>
          </w:p>
        </w:tc>
        <w:tc>
          <w:tcPr>
            <w:tcW w:w="79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900</w:t>
            </w:r>
          </w:p>
        </w:tc>
        <w:tc>
          <w:tcPr>
            <w:tcW w:w="30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kern w:val="0"/>
                <w:sz w:val="26"/>
                <w:szCs w:val="26"/>
                <w:lang w:eastAsia="en-US" w:bidi="ar-SA"/>
              </w:rPr>
              <w:t>din fructe (mere, pere,poamă) limpezit în borcane 3l,</w:t>
            </w:r>
            <w:r>
              <w:rPr>
                <w:rFonts w:ascii="Times New Roman" w:hAnsi="Times New Roman"/>
                <w:kern w:val="0"/>
                <w:sz w:val="26"/>
                <w:szCs w:val="26"/>
                <w:lang w:eastAsia="en-US" w:bidi="ar-SA"/>
              </w:rPr>
              <w:t xml:space="preserve"> SM 183:2003MBT5061-89 </w:t>
            </w:r>
          </w:p>
        </w:tc>
        <w:tc>
          <w:tcPr>
            <w:tcW w:w="1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2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Magiun  din 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130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>sterilizat calitate  superioară în borcane de sticlă  de 700gr,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standard: HG nr.216/27.02.2008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 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,2/lună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3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Pastă de tomate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50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25% în borcan de 750 gr,GOST 3343-89,2/lună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4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Oţet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l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De masa  6% în sticlă  1 l,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nr.1403/09.12.2008</w:t>
            </w: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,1/lună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5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15800000-6 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Drojdie proaspătă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50 gr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6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Ceai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Verde (ierburi), pachet 100 gr,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 HG nr.206/11.03.2009,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7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Bicarbonat de sodiu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500 gr,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GOST2156-76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 , 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8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Frunze de dafin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Pachet 20 gr, GOST 17594-81,1/lună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39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Piper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1,5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Negru, bob întreg,  Pachet 20 gr,</w:t>
            </w:r>
            <w:r>
              <w:rPr>
                <w:rFonts w:ascii="Times New Roman" w:hAnsi="Times New Roman"/>
                <w:sz w:val="26"/>
                <w:szCs w:val="26"/>
                <w:lang w:val="en-US" w:eastAsia="en-US"/>
              </w:rPr>
              <w:t xml:space="preserve"> GOST 29045,1/lună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</w:t>
            </w:r>
          </w:p>
        </w:tc>
      </w:tr>
      <w:tr>
        <w:trPr>
          <w:trHeight w:val="397" w:hRule="atLeast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140"/>
              </w:numPr>
              <w:spacing w:lineRule="auto" w:line="252" w:before="120" w:after="0"/>
              <w:ind w:left="720" w:right="0" w:hanging="360"/>
              <w:contextualSpacing/>
              <w:jc w:val="center"/>
              <w:rPr>
                <w:rFonts w:ascii="Times New Roman" w:hAnsi="Times New Roman"/>
                <w:sz w:val="26"/>
                <w:szCs w:val="26"/>
                <w:lang w:val="ro-MD" w:eastAsia="en-US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</w:r>
          </w:p>
        </w:tc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15800000-6</w:t>
            </w:r>
          </w:p>
        </w:tc>
        <w:tc>
          <w:tcPr>
            <w:tcW w:w="2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 xml:space="preserve">Fructe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kg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  <w:lang w:val="ro-MD" w:eastAsia="en-US"/>
              </w:rPr>
              <w:t>200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ind w:left="0" w:right="0" w:hanging="0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 xml:space="preserve">Uscate, </w:t>
            </w:r>
            <w:r>
              <w:rPr>
                <w:rFonts w:ascii="Times New Roman" w:hAnsi="Times New Roman"/>
                <w:sz w:val="26"/>
                <w:szCs w:val="26"/>
                <w:lang w:val="ro-RO" w:eastAsia="en-US"/>
              </w:rPr>
              <w:t>HG nr.1523/28.12.2007</w:t>
            </w:r>
            <w:r>
              <w:rPr>
                <w:rFonts w:ascii="Times New Roman" w:hAnsi="Times New Roman"/>
                <w:color w:val="000000"/>
                <w:sz w:val="26"/>
                <w:szCs w:val="26"/>
                <w:lang w:val="ro-RO" w:eastAsia="en-US"/>
              </w:rPr>
              <w:t>,1/lună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10500</w:t>
            </w:r>
          </w:p>
        </w:tc>
      </w:tr>
      <w:tr>
        <w:trPr>
          <w:trHeight w:val="397" w:hRule="atLeast"/>
        </w:trPr>
        <w:tc>
          <w:tcPr>
            <w:tcW w:w="91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spacing w:lineRule="auto" w:line="252" w:before="120"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ro-MD" w:eastAsia="en-US"/>
              </w:rPr>
              <w:t>Valoarea estimativă totală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uto" w:line="252"/>
              <w:jc w:val="center"/>
              <w:rPr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662500</w:t>
            </w:r>
          </w:p>
        </w:tc>
      </w:tr>
    </w:tbl>
    <w:p>
      <w:pPr>
        <w:pStyle w:val="Normal"/>
        <w:numPr>
          <w:ilvl w:val="0"/>
          <w:numId w:val="141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sz w:val="26"/>
          <w:szCs w:val="26"/>
          <w:shd w:fill="auto" w:val="clear"/>
          <w:lang w:val="ro-MD"/>
        </w:rPr>
        <w:t>În cazul în care contractul este împărțit pe loturi un operator economic poate depune oferta (se va selecta):</w:t>
      </w:r>
    </w:p>
    <w:p>
      <w:pPr>
        <w:pStyle w:val="ListParagraph"/>
        <w:numPr>
          <w:ilvl w:val="0"/>
          <w:numId w:val="142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Pentru un singur lot;</w:t>
      </w:r>
    </w:p>
    <w:p>
      <w:pPr>
        <w:pStyle w:val="ListParagraph"/>
        <w:numPr>
          <w:ilvl w:val="0"/>
          <w:numId w:val="143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/>
          <w:bCs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/>
          <w:bCs/>
          <w:color w:val="1C1C1C"/>
          <w:sz w:val="26"/>
          <w:szCs w:val="26"/>
          <w:shd w:fill="auto" w:val="clear"/>
          <w:lang w:val="ro-MD"/>
        </w:rPr>
        <w:t>Pentru mai multe loturi;</w:t>
      </w:r>
    </w:p>
    <w:p>
      <w:pPr>
        <w:pStyle w:val="ListParagraph"/>
        <w:numPr>
          <w:ilvl w:val="0"/>
          <w:numId w:val="144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Pentru toate loturile;</w:t>
      </w:r>
    </w:p>
    <w:p>
      <w:pPr>
        <w:pStyle w:val="ListParagraph"/>
        <w:numPr>
          <w:ilvl w:val="0"/>
          <w:numId w:val="145"/>
        </w:numPr>
        <w:shd w:val="clear" w:fill="FFFF00"/>
        <w:tabs>
          <w:tab w:val="clear" w:pos="709"/>
          <w:tab w:val="right" w:pos="1146" w:leader="none"/>
        </w:tabs>
        <w:ind w:left="720" w:right="0" w:hanging="360"/>
        <w:rPr>
          <w:rFonts w:ascii="Times New Roman" w:hAnsi="Times New Roman"/>
          <w:b w:val="false"/>
          <w:bCs w:val="false"/>
          <w:color w:val="1C1C1C"/>
          <w:sz w:val="26"/>
          <w:szCs w:val="26"/>
          <w:highlight w:val="none"/>
          <w:shd w:fill="auto" w:val="clear"/>
        </w:rPr>
      </w:pPr>
      <w:r>
        <w:rPr>
          <w:rFonts w:ascii="Times New Roman" w:hAnsi="Times New Roman"/>
          <w:b w:val="false"/>
          <w:bCs w:val="false"/>
          <w:color w:val="1C1C1C"/>
          <w:sz w:val="26"/>
          <w:szCs w:val="26"/>
          <w:shd w:fill="auto" w:val="clear"/>
          <w:lang w:val="ro-MD"/>
        </w:rPr>
        <w:t>Alte limitări privind numărul de loturi care pot fi atribuite aceluiași ofertant_____________________________________________________________</w:t>
      </w:r>
    </w:p>
    <w:p>
      <w:pPr>
        <w:pStyle w:val="Normal"/>
        <w:numPr>
          <w:ilvl w:val="0"/>
          <w:numId w:val="146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color w:val="333333"/>
          <w:sz w:val="26"/>
          <w:szCs w:val="26"/>
          <w:shd w:fill="FFFFFF" w:val="clear"/>
          <w:lang w:val="ro-MD"/>
        </w:rPr>
        <w:t>Admiterea sau interzicerea ofertelor alternative: nu se admite</w:t>
      </w:r>
    </w:p>
    <w:p>
      <w:pPr>
        <w:pStyle w:val="Normal"/>
        <w:numPr>
          <w:ilvl w:val="0"/>
          <w:numId w:val="147"/>
        </w:numPr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284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Termenii și condițiile de livrare/prestare/executare solicitați: </w:t>
      </w:r>
    </w:p>
    <w:p>
      <w:pPr>
        <w:pStyle w:val="Normal"/>
        <w:tabs>
          <w:tab w:val="clear" w:pos="709"/>
          <w:tab w:val="left" w:pos="284" w:leader="none"/>
          <w:tab w:val="left" w:pos="568" w:leader="none"/>
          <w:tab w:val="left" w:pos="710" w:leader="none"/>
        </w:tabs>
        <w:spacing w:before="120" w:after="0"/>
        <w:ind w:left="284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Livrarea la depozitul instituției, pe parcursul  semestrului II al anului 2026, conform graficului indicat în Anunț, în termen de maxim 5 zile de la comandă, în orele de lucru a instituției 8.00-17.00. </w:t>
      </w:r>
    </w:p>
    <w:p>
      <w:pPr>
        <w:pStyle w:val="Normal"/>
        <w:numPr>
          <w:ilvl w:val="0"/>
          <w:numId w:val="14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Termenul de valabilitate a contractului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 Până la 31.12.2026</w:t>
      </w:r>
    </w:p>
    <w:p>
      <w:pPr>
        <w:pStyle w:val="Normal"/>
        <w:numPr>
          <w:ilvl w:val="0"/>
          <w:numId w:val="149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</w:t>
      </w:r>
    </w:p>
    <w:p>
      <w:pPr>
        <w:pStyle w:val="ListParagraph"/>
        <w:tabs>
          <w:tab w:val="clear" w:pos="709"/>
          <w:tab w:val="right" w:pos="7986" w:leader="none"/>
        </w:tabs>
        <w:ind w:left="7560" w:right="0" w:hanging="63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(indicați da sau nu)</w:t>
      </w:r>
    </w:p>
    <w:p>
      <w:pPr>
        <w:pStyle w:val="Normal"/>
        <w:numPr>
          <w:ilvl w:val="0"/>
          <w:numId w:val="150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Prestarea serviciului este rezervată unei anumite profesii în temeiul unor acte cu putere de lege sau al unor acte administrative (după caz):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_________________________</w:t>
      </w:r>
    </w:p>
    <w:p>
      <w:pPr>
        <w:pStyle w:val="ListParagraph"/>
        <w:tabs>
          <w:tab w:val="clear" w:pos="709"/>
          <w:tab w:val="right" w:pos="426" w:leader="none"/>
        </w:tabs>
        <w:ind w:left="0" w:right="0" w:hanging="0"/>
        <w:jc w:val="center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(se menționează respectivele acte cu putere de lege și acte administrative)</w:t>
      </w:r>
    </w:p>
    <w:p>
      <w:pPr>
        <w:pStyle w:val="Normal"/>
        <w:numPr>
          <w:ilvl w:val="0"/>
          <w:numId w:val="151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345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3153"/>
        <w:gridCol w:w="4009"/>
        <w:gridCol w:w="1612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Nr. d/o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Descrierea criteriului/cerinței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Mod de demonstrare a îndeplinirii criteriului/cerinței: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Nivelul minim/</w:t>
              <w:br/>
              <w:t>Obligativitatea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Cerere de participare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7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Declarație privind </w:t>
            </w:r>
          </w:p>
          <w:p>
            <w:pPr>
              <w:pStyle w:val="Normal"/>
              <w:widowControl w:val="false"/>
              <w:shd w:val="clear" w:fill="FFFFFF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valabilitatea ofertei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8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Specificații tehnice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22 din Documentația standard aprobată prin Ordinul MF nr. 115 din 15.09.2021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Specificații de preț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Conform Anexei nr. 23 din Documentația standard aprobată prin Ordinul MF nr. 115 din 15.09.2021.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DUAE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Se va completa conform modelului atașat în SIARSAP Mtender.  </w:t>
            </w:r>
          </w:p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electronică.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6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Dovada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înregistrării juridice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7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de efectuare sistematică a plății impozitelor, contribuțiilor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Original 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8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52" w:before="0" w:after="0"/>
              <w:ind w:left="1" w:right="0" w:hanging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Certificat de atribuire a contului bancar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52"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>Copie – eliberat de banca deţinătoare de cont, confirmată prin aplicara semnăturii electronice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9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RO" w:eastAsia="zh-CN" w:bidi="ar-SA"/>
              </w:rPr>
              <w:t>Autorizaţie sanitară-veterinară a transportului auto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10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US" w:eastAsia="zh-CN" w:bidi="ar-SA"/>
              </w:rPr>
              <w:t xml:space="preserve">Autorizație sanitară-veterinară  de funcționare a agentului economic 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Copie,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eliberată de ANSA,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>Confirmat prin semnătura electronică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11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Certificate de proveniență și de calitate a materiei prime (făină, grâu)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12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Confirmare de deținere a stocului de făină/grâu necesar pentru îndeplinirea contractului de achiziție pe o perioadă de cel puțin 10 zile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13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pentru confirmarea capacității executării calitative a contractului de achiziție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 xml:space="preserve">Original, eliberat și semnat electronic de Participant, care reflectă următoarele: experiența acumulată, performanțe.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14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Certificat de deținere a laboratorului atestat pentru efectuarea controlului permanent asupra calității sau contract cu asemenea laborator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Copie,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Confirmat prin semnătura electronică, 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u w:val="single"/>
                <w:lang w:val="ro-RO" w:eastAsia="zh-CN" w:bidi="ar-SA"/>
              </w:rPr>
              <w:t>(pentru produsele de panificație)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>Obligatoriu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MD" w:eastAsia="zh-CN" w:bidi="ar-SA"/>
              </w:rPr>
              <w:t>15</w:t>
            </w:r>
          </w:p>
        </w:tc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0" w:after="120"/>
              <w:jc w:val="both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GB" w:eastAsia="zh-CN" w:bidi="ar-SA"/>
              </w:rPr>
              <w:t xml:space="preserve">Aprobat prin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Ordinul MF nr. 145 din 24.11.2020, original,</w:t>
            </w: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ro-RO" w:eastAsia="zh-CN" w:bidi="ar-SA"/>
              </w:rPr>
              <w:t xml:space="preserve"> Confirmat prin semnătura electronică </w:t>
            </w: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en-GB" w:eastAsia="zh-CN" w:bidi="ar-SA"/>
              </w:rPr>
              <w:t xml:space="preserve">În termen de 5 zile de la data comunicării rezultatelor procedurii de achiziție publică, 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lang w:val="en-US" w:eastAsia="zh-CN" w:bidi="ar-SA"/>
              </w:rPr>
              <w:t xml:space="preserve">Obligatoriu </w:t>
            </w:r>
          </w:p>
        </w:tc>
      </w:tr>
    </w:tbl>
    <w:p>
      <w:pPr>
        <w:pStyle w:val="ListParagraph"/>
        <w:numPr>
          <w:ilvl w:val="0"/>
          <w:numId w:val="152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Motivul recurgerii la procedura accelerată (în cazul licitației deschise, restrânse și al procedurii negociate), după caz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______________________________________</w:t>
      </w:r>
    </w:p>
    <w:p>
      <w:pPr>
        <w:pStyle w:val="Normal"/>
        <w:numPr>
          <w:ilvl w:val="0"/>
          <w:numId w:val="153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color w:val="000000"/>
          <w:sz w:val="26"/>
          <w:szCs w:val="26"/>
          <w:lang w:val="ro-MD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hAnsi="Times New Roman"/>
          <w:b w:val="false"/>
          <w:bCs w:val="false"/>
          <w:color w:val="000000"/>
          <w:sz w:val="26"/>
          <w:szCs w:val="26"/>
          <w:shd w:fill="FFFFFF" w:val="clear"/>
          <w:lang w:val="ro-MD"/>
        </w:rPr>
        <w:t xml:space="preserve"> _____</w:t>
      </w:r>
    </w:p>
    <w:p>
      <w:pPr>
        <w:pStyle w:val="Normal"/>
        <w:numPr>
          <w:ilvl w:val="0"/>
          <w:numId w:val="0"/>
        </w:numPr>
        <w:tabs>
          <w:tab w:val="clear" w:pos="709"/>
          <w:tab w:val="right" w:pos="786" w:leader="none"/>
        </w:tabs>
        <w:spacing w:before="120" w:after="0"/>
        <w:ind w:left="360" w:right="0" w:hanging="0"/>
        <w:rPr>
          <w:color w:val="000000"/>
          <w:shd w:fill="FFFFFF" w:val="clear"/>
          <w:lang w:val="ro-MD"/>
        </w:rPr>
      </w:pPr>
      <w:r>
        <w:rPr>
          <w:color w:val="000000"/>
          <w:shd w:fill="FFFFFF" w:val="clear"/>
          <w:lang w:val="ro-MD"/>
        </w:rPr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  <w:lang w:val="ro-MD"/>
        </w:rPr>
        <w:t>20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.Condiții speciale de care depinde îndeplinirea contractului (indicați după caz):</w:t>
      </w:r>
    </w:p>
    <w:p>
      <w:pPr>
        <w:pStyle w:val="Normal"/>
        <w:tabs>
          <w:tab w:val="clear" w:pos="709"/>
          <w:tab w:val="right" w:pos="426" w:leader="none"/>
        </w:tabs>
        <w:jc w:val="both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Bunurile se livrează strict la depozitul instituției situat pe adresa or. Dondușeni, str. M. Eminescu 26/1, în timpul orelor de lucru 8.00-16.00, zile lucrătoare Luni-Vineri. </w:t>
      </w:r>
    </w:p>
    <w:p>
      <w:pPr>
        <w:pStyle w:val="Normal"/>
        <w:numPr>
          <w:ilvl w:val="0"/>
          <w:numId w:val="154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Criteriul de evaluare aplicat pentru adjudecarea contractului: </w:t>
      </w:r>
      <w:r>
        <w:rPr>
          <w:rFonts w:ascii="Times New Roman" w:hAnsi="Times New Roman"/>
          <w:b w:val="false"/>
          <w:bCs w:val="false"/>
          <w:iCs/>
          <w:sz w:val="26"/>
          <w:szCs w:val="26"/>
          <w:lang w:val="en-US"/>
        </w:rPr>
        <w:t>cel mai mic pre</w:t>
      </w:r>
      <w:r>
        <w:rPr>
          <w:rFonts w:ascii="Times New Roman" w:hAnsi="Times New Roman"/>
          <w:b w:val="false"/>
          <w:bCs w:val="false"/>
          <w:iCs/>
          <w:sz w:val="26"/>
          <w:szCs w:val="26"/>
          <w:shd w:fill="FFFFFF" w:val="clear"/>
          <w:lang w:val="en-US"/>
        </w:rPr>
        <w:t>ț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cu îndeplinirea cerințelor obligatorii.</w:t>
      </w:r>
    </w:p>
    <w:p>
      <w:pPr>
        <w:pStyle w:val="Normal"/>
        <w:numPr>
          <w:ilvl w:val="0"/>
          <w:numId w:val="155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Factorii de evaluare a ofertei celei mai avantajoase din punct de vedere economic, precum și ponderile lor:</w:t>
      </w:r>
    </w:p>
    <w:p>
      <w:pPr>
        <w:pStyle w:val="Normal"/>
        <w:numPr>
          <w:ilvl w:val="0"/>
          <w:numId w:val="0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</w:rPr>
      </w:r>
    </w:p>
    <w:tbl>
      <w:tblPr>
        <w:tblW w:w="934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0"/>
        <w:gridCol w:w="7004"/>
        <w:gridCol w:w="1771"/>
      </w:tblGrid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Nr. d/o</w:t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Denumirea factorului de evaluare</w:t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kern w:val="0"/>
                <w:sz w:val="26"/>
                <w:szCs w:val="26"/>
                <w:shd w:fill="auto" w:val="clear"/>
                <w:lang w:val="ro-MD" w:eastAsia="zh-CN" w:bidi="ar-SA"/>
              </w:rPr>
              <w:t>Ponderea%</w:t>
            </w:r>
          </w:p>
        </w:tc>
      </w:tr>
      <w:tr>
        <w:trPr/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left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  <w:tc>
          <w:tcPr>
            <w:tcW w:w="7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left" w:pos="612" w:leader="none"/>
              </w:tabs>
              <w:spacing w:before="120" w:after="120"/>
              <w:jc w:val="center"/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highlight w:val="none"/>
                <w:shd w:fill="auto" w:val="clear"/>
                <w:lang w:val="ro-MD" w:eastAsia="zh-CN"/>
              </w:rPr>
            </w:pPr>
            <w:r>
              <w:rPr>
                <w:rFonts w:ascii="Times New Roman" w:hAnsi="Times New Roman"/>
                <w:b w:val="false"/>
                <w:bCs w:val="false"/>
                <w:iCs/>
                <w:sz w:val="26"/>
                <w:szCs w:val="26"/>
                <w:shd w:fill="auto" w:val="clear"/>
                <w:lang w:val="ro-MD" w:eastAsia="zh-CN"/>
              </w:rPr>
            </w:r>
          </w:p>
        </w:tc>
      </w:tr>
    </w:tbl>
    <w:p>
      <w:pPr>
        <w:pStyle w:val="Normal"/>
        <w:numPr>
          <w:ilvl w:val="0"/>
          <w:numId w:val="156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Termenul limită de depunere/deschidere a ofertelor: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până la: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[ora exactă]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SIA RSAP</w:t>
      </w:r>
    </w:p>
    <w:p>
      <w:pPr>
        <w:pStyle w:val="ListParagraph"/>
        <w:numPr>
          <w:ilvl w:val="0"/>
          <w:numId w:val="1"/>
        </w:numPr>
        <w:tabs>
          <w:tab w:val="clear" w:pos="709"/>
          <w:tab w:val="right" w:pos="1146" w:leader="none"/>
        </w:tabs>
        <w:spacing w:before="120" w:after="0"/>
        <w:ind w:left="720" w:right="0" w:hanging="36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pe: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[data]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SIA RSAP </w:t>
      </w:r>
    </w:p>
    <w:p>
      <w:pPr>
        <w:pStyle w:val="Normal"/>
        <w:numPr>
          <w:ilvl w:val="0"/>
          <w:numId w:val="157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Adresa la care trebuie transmise ofertele sau cererile de participare: </w:t>
      </w:r>
    </w:p>
    <w:p>
      <w:pPr>
        <w:pStyle w:val="Normal"/>
        <w:tabs>
          <w:tab w:val="clear" w:pos="709"/>
          <w:tab w:val="right" w:pos="876" w:leader="none"/>
        </w:tabs>
        <w:spacing w:before="120" w:after="0"/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Ofertele sau cererile de participare vor fi depuse electronic prin intermediul SIA RSAP</w:t>
      </w:r>
    </w:p>
    <w:p>
      <w:pPr>
        <w:pStyle w:val="Normal"/>
        <w:numPr>
          <w:ilvl w:val="0"/>
          <w:numId w:val="15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Termenul de valabilitate a ofertelor: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30 zile</w:t>
      </w:r>
    </w:p>
    <w:p>
      <w:pPr>
        <w:pStyle w:val="Normal"/>
        <w:numPr>
          <w:ilvl w:val="0"/>
          <w:numId w:val="159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Locul deschiderii ofertelor: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SIA RSAP </w:t>
      </w:r>
    </w:p>
    <w:p>
      <w:pPr>
        <w:pStyle w:val="ListParagraph"/>
        <w:tabs>
          <w:tab w:val="clear" w:pos="709"/>
          <w:tab w:val="right" w:pos="3666" w:leader="none"/>
        </w:tabs>
        <w:ind w:left="3240" w:right="0" w:hanging="0"/>
        <w:jc w:val="center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(SIA RSAP sau adresa deschiderii)</w:t>
      </w:r>
    </w:p>
    <w:p>
      <w:pPr>
        <w:pStyle w:val="ListParagraph"/>
        <w:tabs>
          <w:tab w:val="clear" w:pos="709"/>
          <w:tab w:val="left" w:pos="720" w:leader="none"/>
          <w:tab w:val="left" w:pos="2160" w:leader="none"/>
          <w:tab w:val="left" w:pos="3600" w:leader="none"/>
        </w:tabs>
        <w:spacing w:before="0" w:after="120"/>
        <w:ind w:left="360" w:right="0" w:hanging="0"/>
        <w:contextualSpacing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 xml:space="preserve">Ofertele întârziate vor fi respinse. </w:t>
      </w:r>
    </w:p>
    <w:p>
      <w:pPr>
        <w:pStyle w:val="Normal"/>
        <w:numPr>
          <w:ilvl w:val="0"/>
          <w:numId w:val="160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Persoanele autorizate să asiste la deschiderea ofertelor: </w:t>
        <w:br/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Ofertanții sau reprezentanții acestora au dreptul să participe la deschiderea ofertelor, cu excepția cazului când ofertele au fost depuse prin SIA “RSAP”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.</w:t>
      </w:r>
    </w:p>
    <w:p>
      <w:pPr>
        <w:pStyle w:val="Normal"/>
        <w:numPr>
          <w:ilvl w:val="0"/>
          <w:numId w:val="161"/>
        </w:numPr>
        <w:tabs>
          <w:tab w:val="clear" w:pos="709"/>
          <w:tab w:val="right" w:pos="876" w:leader="none"/>
        </w:tabs>
        <w:spacing w:before="120" w:after="0"/>
        <w:ind w:left="450" w:right="0" w:hanging="45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Limba sau limbile în care trebuie redactate ofertele sau cererile de participare: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limba română </w:t>
      </w:r>
    </w:p>
    <w:p>
      <w:pPr>
        <w:pStyle w:val="Normal"/>
        <w:numPr>
          <w:ilvl w:val="0"/>
          <w:numId w:val="162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Respectivul contract se referă la un proiect și/sau program finanțat din fonduri ale Uniunii Europene: 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__________________________________________________</w:t>
      </w:r>
    </w:p>
    <w:p>
      <w:pPr>
        <w:pStyle w:val="Normal"/>
        <w:numPr>
          <w:ilvl w:val="0"/>
          <w:numId w:val="163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Denumirea și adresa organismului competent de soluționare a contestațiilor: 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Agenția Națională pentru Soluționarea Contestațiilor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Adresa: mun. Chișinău, bd. Ștefan cel Mare și Sfânt nr.124 (et.4), MD 2001;</w:t>
      </w:r>
    </w:p>
    <w:p>
      <w:pPr>
        <w:pStyle w:val="Normal"/>
        <w:tabs>
          <w:tab w:val="clear" w:pos="709"/>
          <w:tab w:val="right" w:pos="876" w:leader="none"/>
        </w:tabs>
        <w:ind w:left="45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Tel/Fax/email:</w:t>
      </w:r>
      <w:r>
        <w:rPr>
          <w:rFonts w:ascii="Times New Roman" w:hAnsi="Times New Roman"/>
          <w:b w:val="false"/>
          <w:bCs w:val="false"/>
          <w:i/>
          <w:color w:val="000000"/>
          <w:sz w:val="26"/>
          <w:szCs w:val="26"/>
          <w:shd w:fill="FFFFFF" w:val="clear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i/>
          <w:sz w:val="26"/>
          <w:szCs w:val="26"/>
          <w:lang w:val="ro-MD"/>
        </w:rPr>
        <w:t>022-820 652, 022 820-651, contestatii@ansc.md</w:t>
      </w:r>
    </w:p>
    <w:p>
      <w:pPr>
        <w:pStyle w:val="Normal"/>
        <w:numPr>
          <w:ilvl w:val="0"/>
          <w:numId w:val="164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):___________________________________________________</w:t>
      </w:r>
    </w:p>
    <w:p>
      <w:pPr>
        <w:pStyle w:val="Normal"/>
        <w:numPr>
          <w:ilvl w:val="0"/>
          <w:numId w:val="165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În cazul achizițiilor periodice, calendarul estimat pentru publicarea anunțurilor viitoare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:___________________________________________________________________</w:t>
      </w:r>
    </w:p>
    <w:p>
      <w:pPr>
        <w:pStyle w:val="Normal"/>
        <w:numPr>
          <w:ilvl w:val="0"/>
          <w:numId w:val="166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publicării anunțului de intenție sau, după caz, precizarea că nu a fost publicat un astfel de anunţ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>:____________________________________________________</w:t>
      </w:r>
    </w:p>
    <w:p>
      <w:pPr>
        <w:pStyle w:val="Normal"/>
        <w:numPr>
          <w:ilvl w:val="0"/>
          <w:numId w:val="167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Data transmiterii spre publicare a anunțului de participare: conform SIA RSAP Mtender</w:t>
      </w:r>
    </w:p>
    <w:p>
      <w:pPr>
        <w:pStyle w:val="Normal"/>
        <w:numPr>
          <w:ilvl w:val="0"/>
          <w:numId w:val="168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În cadrul procedurii de achiziție publică se va utiliza/accepta:</w:t>
      </w:r>
    </w:p>
    <w:tbl>
      <w:tblPr>
        <w:tblW w:w="8900" w:type="dxa"/>
        <w:jc w:val="left"/>
        <w:tblInd w:w="44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85"/>
        <w:gridCol w:w="3714"/>
      </w:tblGrid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Denumirea instrumentului electronic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E7E6E6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Se va utiliza/accepta sau 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depunerea electronică a ofertelor sau a cererilor de participare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sistemul de comenzi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nu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facturarea electronică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  <w:tr>
        <w:trPr/>
        <w:tc>
          <w:tcPr>
            <w:tcW w:w="5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lang w:val="ro-MD" w:eastAsia="zh-CN" w:bidi="ar-SA"/>
              </w:rPr>
              <w:t>plățile electronice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tabs>
                <w:tab w:val="clear" w:pos="709"/>
                <w:tab w:val="right" w:pos="426" w:leader="none"/>
              </w:tabs>
              <w:spacing w:before="0" w:after="0"/>
              <w:jc w:val="left"/>
              <w:rPr>
                <w:rFonts w:ascii="Times New Roman" w:hAnsi="Times New Roman"/>
                <w:b w:val="false"/>
                <w:bCs w:val="false"/>
                <w:sz w:val="26"/>
                <w:szCs w:val="26"/>
              </w:rPr>
            </w:pPr>
            <w:r>
              <w:rPr>
                <w:rFonts w:ascii="Times New Roman" w:hAnsi="Times New Roman"/>
                <w:b w:val="false"/>
                <w:bCs w:val="false"/>
                <w:kern w:val="0"/>
                <w:sz w:val="26"/>
                <w:szCs w:val="26"/>
                <w:shd w:fill="FFFFFF" w:val="clear"/>
                <w:lang w:val="ro-MD" w:eastAsia="zh-CN" w:bidi="ar-SA"/>
              </w:rPr>
              <w:t>da</w:t>
            </w:r>
          </w:p>
        </w:tc>
      </w:tr>
    </w:tbl>
    <w:p>
      <w:pPr>
        <w:pStyle w:val="Normal"/>
        <w:numPr>
          <w:ilvl w:val="0"/>
          <w:numId w:val="169"/>
        </w:numPr>
        <w:tabs>
          <w:tab w:val="clear" w:pos="709"/>
          <w:tab w:val="right" w:pos="786" w:leader="none"/>
        </w:tabs>
        <w:spacing w:before="120" w:after="0"/>
        <w:ind w:left="360" w:right="0" w:hanging="36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</w:t>
      </w:r>
    </w:p>
    <w:p>
      <w:pPr>
        <w:pStyle w:val="Normal"/>
        <w:numPr>
          <w:ilvl w:val="0"/>
          <w:numId w:val="170"/>
        </w:numPr>
        <w:tabs>
          <w:tab w:val="clear" w:pos="709"/>
          <w:tab w:val="right" w:pos="426" w:leader="none"/>
        </w:tabs>
        <w:spacing w:before="120" w:after="0"/>
        <w:ind w:left="0" w:right="0" w:hanging="0"/>
        <w:rPr>
          <w:rFonts w:ascii="Times New Roman" w:hAnsi="Times New Roman"/>
          <w:b w:val="false"/>
          <w:bCs w:val="false"/>
          <w:sz w:val="26"/>
          <w:szCs w:val="26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 xml:space="preserve"> </w:t>
      </w:r>
      <w:r>
        <w:rPr>
          <w:rFonts w:ascii="Times New Roman" w:hAnsi="Times New Roman"/>
          <w:b w:val="false"/>
          <w:bCs w:val="false"/>
          <w:sz w:val="26"/>
          <w:szCs w:val="26"/>
          <w:lang w:val="ro-MD"/>
        </w:rPr>
        <w:t>Alte informații relevante:</w:t>
      </w:r>
      <w:r>
        <w:rPr>
          <w:rFonts w:ascii="Times New Roman" w:hAnsi="Times New Roman"/>
          <w:b w:val="false"/>
          <w:bCs w:val="false"/>
          <w:sz w:val="26"/>
          <w:szCs w:val="26"/>
          <w:shd w:fill="FFFFFF" w:val="clear"/>
          <w:lang w:val="ro-MD"/>
        </w:rPr>
        <w:t xml:space="preserve"> ______________________________________________________</w:t>
      </w:r>
    </w:p>
    <w:p>
      <w:pPr>
        <w:pStyle w:val="Normal"/>
        <w:spacing w:before="120" w:after="120"/>
        <w:rPr>
          <w:rFonts w:ascii="Times New Roman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</w:r>
    </w:p>
    <w:p>
      <w:pPr>
        <w:pStyle w:val="Normal"/>
        <w:spacing w:before="120" w:after="120"/>
        <w:rPr>
          <w:rFonts w:ascii="Times New Roman" w:hAnsi="Times New Roman"/>
          <w:b w:val="false"/>
          <w:bCs w:val="false"/>
          <w:sz w:val="26"/>
          <w:szCs w:val="26"/>
          <w:lang w:val="en-US"/>
        </w:rPr>
      </w:pPr>
      <w:r>
        <w:rPr>
          <w:rFonts w:ascii="Times New Roman" w:hAnsi="Times New Roman"/>
          <w:b w:val="false"/>
          <w:bCs w:val="false"/>
          <w:sz w:val="26"/>
          <w:szCs w:val="26"/>
          <w:lang w:val="en-US"/>
        </w:rPr>
      </w:r>
    </w:p>
    <w:p>
      <w:pPr>
        <w:pStyle w:val="Normal"/>
        <w:spacing w:before="120" w:after="120"/>
        <w:rPr>
          <w:b/>
          <w:bCs/>
        </w:rPr>
      </w:pPr>
      <w:r>
        <w:rPr>
          <w:rFonts w:ascii="Times New Roman" w:hAnsi="Times New Roman"/>
          <w:b/>
          <w:bCs/>
          <w:sz w:val="26"/>
          <w:szCs w:val="26"/>
          <w:lang w:val="ro-MD"/>
        </w:rPr>
        <w:t>Conducătorul grupului de lucru: Serdeșniuc Arcadie              L.Ș.</w:t>
      </w:r>
    </w:p>
    <w:sectPr>
      <w:type w:val="nextPage"/>
      <w:pgSz w:w="11906" w:h="16838"/>
      <w:pgMar w:left="1134" w:right="1134" w:gutter="0" w:header="0" w:top="720" w:footer="0" w:bottom="1134"/>
      <w:pgNumType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7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8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9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0"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  <w:num w:numId="68">
    <w:abstractNumId w:val="68"/>
  </w:num>
  <w:num w:numId="69">
    <w:abstractNumId w:val="69"/>
  </w:num>
  <w:num w:numId="70">
    <w:abstractNumId w:val="70"/>
  </w:num>
  <w:num w:numId="71">
    <w:abstractNumId w:val="71"/>
  </w:num>
  <w:num w:numId="72">
    <w:abstractNumId w:val="72"/>
  </w:num>
  <w:num w:numId="73">
    <w:abstractNumId w:val="73"/>
  </w:num>
  <w:num w:numId="74">
    <w:abstractNumId w:val="74"/>
  </w:num>
  <w:num w:numId="75">
    <w:abstractNumId w:val="75"/>
  </w:num>
  <w:num w:numId="76">
    <w:abstractNumId w:val="76"/>
  </w:num>
  <w:num w:numId="77">
    <w:abstractNumId w:val="77"/>
  </w:num>
  <w:num w:numId="78">
    <w:abstractNumId w:val="78"/>
  </w:num>
  <w:num w:numId="79">
    <w:abstractNumId w:val="79"/>
  </w:num>
  <w:num w:numId="80">
    <w:abstractNumId w:val="80"/>
  </w:num>
  <w:num w:numId="81">
    <w:abstractNumId w:val="81"/>
  </w:num>
  <w:num w:numId="82">
    <w:abstractNumId w:val="82"/>
  </w:num>
  <w:num w:numId="83">
    <w:abstractNumId w:val="83"/>
  </w:num>
  <w:num w:numId="84">
    <w:abstractNumId w:val="84"/>
  </w:num>
  <w:num w:numId="85">
    <w:abstractNumId w:val="85"/>
  </w:num>
  <w:num w:numId="86">
    <w:abstractNumId w:val="86"/>
  </w:num>
  <w:num w:numId="87">
    <w:abstractNumId w:val="2"/>
    <w:lvlOverride w:ilvl="0">
      <w:startOverride w:val="1"/>
    </w:lvlOverride>
  </w:num>
  <w:num w:numId="88">
    <w:abstractNumId w:val="2"/>
  </w:num>
  <w:num w:numId="89">
    <w:abstractNumId w:val="2"/>
  </w:num>
  <w:num w:numId="90">
    <w:abstractNumId w:val="2"/>
  </w:num>
  <w:num w:numId="91">
    <w:abstractNumId w:val="2"/>
  </w:num>
  <w:num w:numId="92">
    <w:abstractNumId w:val="2"/>
  </w:num>
  <w:num w:numId="93">
    <w:abstractNumId w:val="2"/>
  </w:num>
  <w:num w:numId="94">
    <w:abstractNumId w:val="2"/>
  </w:num>
  <w:num w:numId="95">
    <w:abstractNumId w:val="2"/>
  </w:num>
  <w:num w:numId="96">
    <w:abstractNumId w:val="11"/>
    <w:lvlOverride w:ilvl="0">
      <w:startOverride w:val="1"/>
    </w:lvlOverride>
  </w:num>
  <w:num w:numId="97">
    <w:abstractNumId w:val="11"/>
  </w:num>
  <w:num w:numId="98">
    <w:abstractNumId w:val="11"/>
  </w:num>
  <w:num w:numId="99">
    <w:abstractNumId w:val="11"/>
  </w:num>
  <w:num w:numId="100">
    <w:abstractNumId w:val="11"/>
  </w:num>
  <w:num w:numId="101">
    <w:abstractNumId w:val="11"/>
  </w:num>
  <w:num w:numId="102">
    <w:abstractNumId w:val="11"/>
  </w:num>
  <w:num w:numId="103">
    <w:abstractNumId w:val="11"/>
  </w:num>
  <w:num w:numId="104">
    <w:abstractNumId w:val="11"/>
  </w:num>
  <w:num w:numId="105">
    <w:abstractNumId w:val="11"/>
  </w:num>
  <w:num w:numId="106">
    <w:abstractNumId w:val="11"/>
  </w:num>
  <w:num w:numId="107">
    <w:abstractNumId w:val="11"/>
  </w:num>
  <w:num w:numId="108">
    <w:abstractNumId w:val="11"/>
  </w:num>
  <w:num w:numId="109">
    <w:abstractNumId w:val="11"/>
  </w:num>
  <w:num w:numId="110">
    <w:abstractNumId w:val="11"/>
  </w:num>
  <w:num w:numId="111">
    <w:abstractNumId w:val="11"/>
  </w:num>
  <w:num w:numId="112">
    <w:abstractNumId w:val="11"/>
  </w:num>
  <w:num w:numId="113">
    <w:abstractNumId w:val="11"/>
  </w:num>
  <w:num w:numId="114">
    <w:abstractNumId w:val="11"/>
  </w:num>
  <w:num w:numId="115">
    <w:abstractNumId w:val="11"/>
  </w:num>
  <w:num w:numId="116">
    <w:abstractNumId w:val="11"/>
  </w:num>
  <w:num w:numId="117">
    <w:abstractNumId w:val="11"/>
  </w:num>
  <w:num w:numId="118">
    <w:abstractNumId w:val="11"/>
  </w:num>
  <w:num w:numId="119">
    <w:abstractNumId w:val="11"/>
  </w:num>
  <w:num w:numId="120">
    <w:abstractNumId w:val="11"/>
  </w:num>
  <w:num w:numId="121">
    <w:abstractNumId w:val="11"/>
  </w:num>
  <w:num w:numId="122">
    <w:abstractNumId w:val="11"/>
  </w:num>
  <w:num w:numId="123">
    <w:abstractNumId w:val="11"/>
  </w:num>
  <w:num w:numId="124">
    <w:abstractNumId w:val="11"/>
  </w:num>
  <w:num w:numId="125">
    <w:abstractNumId w:val="11"/>
  </w:num>
  <w:num w:numId="126">
    <w:abstractNumId w:val="11"/>
  </w:num>
  <w:num w:numId="127">
    <w:abstractNumId w:val="11"/>
  </w:num>
  <w:num w:numId="128">
    <w:abstractNumId w:val="11"/>
  </w:num>
  <w:num w:numId="129">
    <w:abstractNumId w:val="11"/>
  </w:num>
  <w:num w:numId="130">
    <w:abstractNumId w:val="11"/>
  </w:num>
  <w:num w:numId="131">
    <w:abstractNumId w:val="11"/>
  </w:num>
  <w:num w:numId="132">
    <w:abstractNumId w:val="11"/>
  </w:num>
  <w:num w:numId="133">
    <w:abstractNumId w:val="11"/>
  </w:num>
  <w:num w:numId="134">
    <w:abstractNumId w:val="11"/>
  </w:num>
  <w:num w:numId="135">
    <w:abstractNumId w:val="11"/>
  </w:num>
  <w:num w:numId="136">
    <w:abstractNumId w:val="11"/>
  </w:num>
  <w:num w:numId="137">
    <w:abstractNumId w:val="11"/>
  </w:num>
  <w:num w:numId="138">
    <w:abstractNumId w:val="11"/>
  </w:num>
  <w:num w:numId="139">
    <w:abstractNumId w:val="11"/>
  </w:num>
  <w:num w:numId="140">
    <w:abstractNumId w:val="11"/>
  </w:num>
  <w:num w:numId="141">
    <w:abstractNumId w:val="2"/>
  </w:num>
  <w:num w:numId="142">
    <w:abstractNumId w:val="57"/>
    <w:lvlOverride w:ilvl="0">
      <w:startOverride w:val="1"/>
    </w:lvlOverride>
  </w:num>
  <w:num w:numId="143">
    <w:abstractNumId w:val="57"/>
  </w:num>
  <w:num w:numId="144">
    <w:abstractNumId w:val="57"/>
  </w:num>
  <w:num w:numId="145">
    <w:abstractNumId w:val="57"/>
  </w:num>
  <w:num w:numId="146">
    <w:abstractNumId w:val="2"/>
  </w:num>
  <w:num w:numId="147">
    <w:abstractNumId w:val="2"/>
  </w:num>
  <w:num w:numId="148">
    <w:abstractNumId w:val="2"/>
  </w:num>
  <w:num w:numId="149">
    <w:abstractNumId w:val="2"/>
  </w:num>
  <w:num w:numId="150">
    <w:abstractNumId w:val="2"/>
  </w:num>
  <w:num w:numId="151">
    <w:abstractNumId w:val="2"/>
  </w:num>
  <w:num w:numId="152">
    <w:abstractNumId w:val="2"/>
  </w:num>
  <w:num w:numId="153">
    <w:abstractNumId w:val="2"/>
  </w:num>
  <w:num w:numId="154">
    <w:abstractNumId w:val="2"/>
  </w:num>
  <w:num w:numId="155">
    <w:abstractNumId w:val="2"/>
  </w:num>
  <w:num w:numId="156">
    <w:abstractNumId w:val="2"/>
  </w:num>
  <w:num w:numId="157">
    <w:abstractNumId w:val="2"/>
  </w:num>
  <w:num w:numId="158">
    <w:abstractNumId w:val="2"/>
  </w:num>
  <w:num w:numId="159">
    <w:abstractNumId w:val="2"/>
  </w:num>
  <w:num w:numId="160">
    <w:abstractNumId w:val="2"/>
  </w:num>
  <w:num w:numId="161">
    <w:abstractNumId w:val="2"/>
  </w:num>
  <w:num w:numId="162">
    <w:abstractNumId w:val="2"/>
  </w:num>
  <w:num w:numId="163">
    <w:abstractNumId w:val="2"/>
  </w:num>
  <w:num w:numId="164">
    <w:abstractNumId w:val="2"/>
  </w:num>
  <w:num w:numId="165">
    <w:abstractNumId w:val="2"/>
  </w:num>
  <w:num w:numId="166">
    <w:abstractNumId w:val="2"/>
  </w:num>
  <w:num w:numId="167">
    <w:abstractNumId w:val="2"/>
  </w:num>
  <w:num w:numId="168">
    <w:abstractNumId w:val="2"/>
  </w:num>
  <w:num w:numId="169">
    <w:abstractNumId w:val="2"/>
  </w:num>
  <w:num w:numId="170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o-MD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o-MD" w:eastAsia="zh-CN" w:bidi="hi-IN"/>
    </w:rPr>
  </w:style>
  <w:style w:type="paragraph" w:styleId="Titlu1">
    <w:name w:val="Heading 1"/>
    <w:basedOn w:val="Corptext"/>
    <w:next w:val="Normal"/>
    <w:qFormat/>
    <w:pPr>
      <w:numPr>
        <w:ilvl w:val="0"/>
        <w:numId w:val="0"/>
      </w:numPr>
      <w:spacing w:before="0" w:after="0"/>
      <w:jc w:val="center"/>
      <w:outlineLvl w:val="0"/>
    </w:pPr>
    <w:rPr>
      <w:b/>
      <w:sz w:val="32"/>
      <w:szCs w:val="32"/>
      <w:lang w:val="ro-RO"/>
    </w:rPr>
  </w:style>
  <w:style w:type="character" w:styleId="DefaultParagraphFont">
    <w:name w:val="Default Paragraph Font"/>
    <w:qFormat/>
    <w:rPr/>
  </w:style>
  <w:style w:type="character" w:styleId="Linkdeinternet">
    <w:name w:val="Hyperlink"/>
    <w:basedOn w:val="DefaultParagraphFont"/>
    <w:rPr>
      <w:color w:val="0563C1"/>
      <w:u w:val="single"/>
    </w:rPr>
  </w:style>
  <w:style w:type="paragraph" w:styleId="Titlu">
    <w:name w:val="Titlu"/>
    <w:basedOn w:val="Normal"/>
    <w:next w:val="Corp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Corptext"/>
    <w:pPr/>
    <w:rPr>
      <w:rFonts w:cs="Arial"/>
    </w:rPr>
  </w:style>
  <w:style w:type="paragraph" w:styleId="Legend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Coninuttabel">
    <w:name w:val="Conținut tabel"/>
    <w:basedOn w:val="Normal"/>
    <w:qFormat/>
    <w:pPr>
      <w:widowControl w:val="false"/>
      <w:suppressLineNumbers/>
    </w:pPr>
    <w:rPr/>
  </w:style>
  <w:style w:type="paragraph" w:styleId="Titludetabel">
    <w:name w:val="Titlu de tabel"/>
    <w:basedOn w:val="Coninuttabel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rdonduseni@ms.md" TargetMode="External"/><Relationship Id="rId3" Type="http://schemas.openxmlformats.org/officeDocument/2006/relationships/hyperlink" Target="https://srdonduseni.md/planul-de-achizitii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285</TotalTime>
  <Application>LibreOffice/7.5.4.2$Windows_X86_64 LibreOffice_project/36ccfdc35048b057fd9854c757a8b67ec53977b6</Application>
  <AppVersion>15.0000</AppVersion>
  <Pages>8</Pages>
  <Words>1966</Words>
  <Characters>12203</Characters>
  <CharactersWithSpaces>13820</CharactersWithSpaces>
  <Paragraphs>465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ro-MD</dc:language>
  <cp:lastModifiedBy/>
  <cp:lastPrinted>2024-11-25T11:30:03Z</cp:lastPrinted>
  <dcterms:modified xsi:type="dcterms:W3CDTF">2026-05-21T09:10:37Z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