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/>
        <w:spacing w:before="120"/>
        <w:rPr>
          <w:highlight w:val="none"/>
          <w:lang w:val="zh-CN"/>
        </w:rPr>
      </w:pPr>
    </w:p>
    <w:p>
      <w:pPr>
        <w:pStyle w:val="2"/>
        <w:shd w:val="clear"/>
        <w:spacing w:before="120"/>
        <w:rPr>
          <w:highlight w:val="none"/>
          <w:lang w:val="zh-CN"/>
        </w:rPr>
      </w:pPr>
      <w:r>
        <w:rPr>
          <w:highlight w:val="none"/>
          <w:lang w:val="zh-CN"/>
        </w:rPr>
        <w:t xml:space="preserve">  ANUNȚ DE PARTICIPARE</w:t>
      </w:r>
    </w:p>
    <w:p>
      <w:pPr>
        <w:shd w:val="clear"/>
        <w:spacing w:before="120"/>
        <w:jc w:val="center"/>
        <w:rPr>
          <w:b/>
          <w:sz w:val="24"/>
          <w:szCs w:val="24"/>
          <w:highlight w:val="none"/>
          <w:lang w:val="zh-CN"/>
        </w:rPr>
      </w:pPr>
      <w:r>
        <w:rPr>
          <w:b w:val="0"/>
          <w:bCs/>
          <w:sz w:val="24"/>
          <w:szCs w:val="24"/>
          <w:highlight w:val="none"/>
          <w:lang w:val="zh-CN"/>
        </w:rPr>
        <w:t>privind achiziționarea</w:t>
      </w:r>
      <w:r>
        <w:rPr>
          <w:b/>
          <w:sz w:val="24"/>
          <w:szCs w:val="24"/>
          <w:highlight w:val="none"/>
          <w:lang w:val="zh-CN"/>
        </w:rPr>
        <w:t xml:space="preserve"> </w:t>
      </w:r>
    </w:p>
    <w:p>
      <w:pPr>
        <w:shd w:val="clear"/>
        <w:spacing w:before="120"/>
        <w:jc w:val="center"/>
        <w:rPr>
          <w:b/>
          <w:sz w:val="24"/>
          <w:szCs w:val="24"/>
          <w:highlight w:val="none"/>
          <w:lang w:val="zh-CN"/>
        </w:rPr>
      </w:pPr>
      <w:r>
        <w:rPr>
          <w:rFonts w:hint="default"/>
          <w:b/>
          <w:sz w:val="24"/>
          <w:szCs w:val="24"/>
          <w:highlight w:val="none"/>
          <w:u w:val="single"/>
        </w:rPr>
        <w:t>Armăturii de blocare pentru conducte</w:t>
      </w:r>
      <w:r>
        <w:rPr>
          <w:rFonts w:hint="default"/>
          <w:b w:val="0"/>
          <w:bCs/>
          <w:sz w:val="24"/>
          <w:szCs w:val="24"/>
          <w:highlight w:val="none"/>
          <w:u w:val="single"/>
        </w:rPr>
        <w:t xml:space="preserve">, Cod licitație: </w:t>
      </w:r>
      <w:r>
        <w:rPr>
          <w:rFonts w:hint="default"/>
          <w:b/>
          <w:bCs w:val="0"/>
          <w:sz w:val="24"/>
          <w:szCs w:val="24"/>
          <w:highlight w:val="none"/>
          <w:u w:val="single"/>
        </w:rPr>
        <w:t>1/23</w:t>
      </w:r>
      <w:r>
        <w:rPr>
          <w:b/>
          <w:sz w:val="24"/>
          <w:szCs w:val="24"/>
          <w:highlight w:val="none"/>
          <w:lang w:val="zh-CN"/>
        </w:rPr>
        <w:br w:type="textWrapping"/>
      </w:r>
      <w:r>
        <w:rPr>
          <w:szCs w:val="24"/>
          <w:highlight w:val="none"/>
          <w:lang w:val="zh-CN"/>
        </w:rPr>
        <w:t>(se indică obiectul achiziției)</w:t>
      </w:r>
      <w:r>
        <w:rPr>
          <w:b/>
          <w:sz w:val="24"/>
          <w:szCs w:val="24"/>
          <w:highlight w:val="none"/>
          <w:lang w:val="zh-CN"/>
        </w:rPr>
        <w:br w:type="textWrapping"/>
      </w:r>
      <w:r>
        <w:rPr>
          <w:b/>
          <w:sz w:val="24"/>
          <w:szCs w:val="24"/>
          <w:highlight w:val="none"/>
          <w:lang w:val="zh-CN"/>
        </w:rPr>
        <w:t>prin procedura de achiziție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licitație deschisă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</w:t>
      </w:r>
      <w:r>
        <w:rPr>
          <w:b/>
          <w:sz w:val="24"/>
          <w:szCs w:val="24"/>
          <w:highlight w:val="none"/>
          <w:lang w:val="zh-CN"/>
        </w:rPr>
        <w:br w:type="textWrapping"/>
      </w:r>
      <w:r>
        <w:rPr>
          <w:szCs w:val="24"/>
          <w:highlight w:val="none"/>
          <w:lang w:val="zh-CN"/>
        </w:rPr>
        <w:t>(tipul procedurii de achiziție)</w:t>
      </w:r>
    </w:p>
    <w:p>
      <w:pPr>
        <w:shd w:val="clear"/>
        <w:spacing w:before="12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Procedura de achiziție este aplicată sub incidența actului normativ:</w:t>
      </w:r>
    </w:p>
    <w:p>
      <w:pPr>
        <w:shd w:val="clear"/>
        <w:spacing w:before="120"/>
        <w:rPr>
          <w:highlight w:val="none"/>
          <w:lang w:val="zh-CN"/>
        </w:rPr>
      </w:pPr>
      <w:r>
        <w:rPr>
          <w:sz w:val="24"/>
          <w:szCs w:val="24"/>
          <w:highlight w:val="none"/>
          <w:lang w:val="zh-CN"/>
        </w:rPr>
        <w:sym w:font="Wingdings 2" w:char="0052"/>
      </w:r>
      <w:r>
        <w:rPr>
          <w:sz w:val="24"/>
          <w:szCs w:val="24"/>
          <w:highlight w:val="none"/>
          <w:lang w:val="zh-CN"/>
        </w:rPr>
        <w:t>Legea  privind achizițiile în sectoarele energeticii, apei, transporturilor și serviciilor poștale 74/2020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Denumirea en</w:t>
      </w:r>
      <w:r>
        <w:rPr>
          <w:b/>
          <w:sz w:val="24"/>
          <w:szCs w:val="24"/>
          <w:highlight w:val="none"/>
          <w:lang w:val="ro-RO"/>
        </w:rPr>
        <w:t>tității</w:t>
      </w:r>
      <w:r>
        <w:rPr>
          <w:b/>
          <w:sz w:val="24"/>
          <w:szCs w:val="24"/>
          <w:highlight w:val="none"/>
          <w:lang w:val="zh-CN"/>
        </w:rPr>
        <w:t xml:space="preserve"> contractante:</w:t>
      </w:r>
      <w:r>
        <w:rPr>
          <w:b/>
          <w:sz w:val="24"/>
          <w:szCs w:val="24"/>
          <w:highlight w:val="none"/>
          <w:shd w:val="clear"/>
          <w:lang w:val="zh-CN"/>
        </w:rPr>
        <w:t xml:space="preserve">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</w:t>
      </w:r>
      <w:r>
        <w:rPr>
          <w:rFonts w:hint="default" w:ascii="Times New Roman" w:hAnsi="Times New Roman" w:cs="Times New Roman"/>
          <w:sz w:val="24"/>
          <w:szCs w:val="24"/>
          <w:highlight w:val="none"/>
          <w:u w:val="single"/>
          <w:shd w:val="clear"/>
        </w:rPr>
        <w:t>SA „CET-Nord”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IDNO: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>1002602003945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Adresa:</w:t>
      </w:r>
      <w:r>
        <w:rPr>
          <w:b/>
          <w:sz w:val="24"/>
          <w:szCs w:val="24"/>
          <w:highlight w:val="none"/>
          <w:shd w:val="clear"/>
          <w:lang w:val="zh-CN"/>
        </w:rPr>
        <w:t xml:space="preserve">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>MD-3100, mun. Bălți, str. Ștefan cel Mare, 168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Numărul de telefon/fax: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>023153359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Adresa de e-mail și de internet a entității contractante:</w:t>
      </w:r>
    </w:p>
    <w:p>
      <w:pPr>
        <w:numPr>
          <w:ilvl w:val="0"/>
          <w:numId w:val="0"/>
        </w:numPr>
        <w:shd w:val="clear"/>
        <w:tabs>
          <w:tab w:val="left" w:pos="284"/>
          <w:tab w:val="right" w:pos="9531"/>
        </w:tabs>
        <w:spacing w:before="120"/>
        <w:ind w:leftChars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 </w:t>
      </w:r>
      <w:r>
        <w:rPr>
          <w:rFonts w:hint="default"/>
          <w:b/>
          <w:sz w:val="24"/>
          <w:szCs w:val="24"/>
          <w:highlight w:val="none"/>
          <w:shd w:val="clear"/>
        </w:rPr>
        <w:t xml:space="preserve"> </w:t>
      </w:r>
      <w:r>
        <w:rPr>
          <w:b/>
          <w:sz w:val="24"/>
          <w:szCs w:val="24"/>
          <w:highlight w:val="none"/>
          <w:u w:val="single"/>
          <w:shd w:val="clear" w:color="auto"/>
          <w:lang w:val="zh-CN"/>
        </w:rPr>
        <w:fldChar w:fldCharType="begin"/>
      </w:r>
      <w:r>
        <w:rPr>
          <w:b/>
          <w:sz w:val="24"/>
          <w:szCs w:val="24"/>
          <w:highlight w:val="none"/>
          <w:u w:val="single"/>
          <w:shd w:val="clear" w:color="auto"/>
          <w:lang w:val="zh-CN"/>
        </w:rPr>
        <w:instrText xml:space="preserve"> HYPERLINK "mailto:____office@cet-nord.md," </w:instrText>
      </w:r>
      <w:r>
        <w:rPr>
          <w:b/>
          <w:sz w:val="24"/>
          <w:szCs w:val="24"/>
          <w:highlight w:val="none"/>
          <w:u w:val="single"/>
          <w:shd w:val="clear" w:color="auto"/>
          <w:lang w:val="zh-CN"/>
        </w:rPr>
        <w:fldChar w:fldCharType="separate"/>
      </w:r>
      <w:r>
        <w:rPr>
          <w:rStyle w:val="6"/>
          <w:b/>
          <w:sz w:val="24"/>
          <w:szCs w:val="24"/>
          <w:highlight w:val="none"/>
          <w:u w:val="single"/>
          <w:shd w:val="clear" w:color="auto"/>
          <w:lang w:val="zh-CN"/>
        </w:rPr>
        <w:t>____</w:t>
      </w:r>
      <w:r>
        <w:rPr>
          <w:rStyle w:val="6"/>
          <w:rFonts w:hint="default" w:ascii="Times New Roman" w:hAnsi="Times New Roman" w:cs="Times New Roman"/>
          <w:sz w:val="24"/>
          <w:szCs w:val="24"/>
          <w:u w:val="single"/>
          <w:shd w:val="clear"/>
        </w:rPr>
        <w:t>office@cet-nord.md,</w:t>
      </w:r>
      <w:r>
        <w:rPr>
          <w:b/>
          <w:sz w:val="24"/>
          <w:szCs w:val="24"/>
          <w:highlight w:val="none"/>
          <w:u w:val="single"/>
          <w:shd w:val="clear" w:color="auto"/>
          <w:lang w:val="zh-CN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www.cet-nord.md</w:t>
      </w:r>
      <w:r>
        <w:rPr>
          <w:b/>
          <w:sz w:val="24"/>
          <w:szCs w:val="24"/>
          <w:highlight w:val="none"/>
          <w:u w:val="single"/>
          <w:shd w:val="clear" w:color="auto"/>
          <w:lang w:val="zh-CN"/>
        </w:rPr>
        <w:t>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Adresa de e-mail sau de internet de la care se va putea obține accesul la documentația de atribuire: </w:t>
      </w:r>
      <w:r>
        <w:rPr>
          <w:b w:val="0"/>
          <w:bCs/>
          <w:i/>
          <w:sz w:val="24"/>
          <w:szCs w:val="24"/>
          <w:highlight w:val="none"/>
          <w:u w:val="single"/>
          <w:lang w:val="zh-CN"/>
        </w:rPr>
        <w:t>documentația de atribuire este anexată în cadrul procedurii în SIA RSAP</w:t>
      </w:r>
      <w:r>
        <w:rPr>
          <w:rFonts w:hint="default"/>
          <w:b w:val="0"/>
          <w:bCs/>
          <w:i/>
          <w:sz w:val="24"/>
          <w:szCs w:val="24"/>
          <w:highlight w:val="none"/>
          <w:u w:val="single"/>
        </w:rPr>
        <w:t xml:space="preserve">  (achiziții.md), cât și pe pagina web a entității contractante: https://cet-nord.md/ro/logistic/all-tenders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</w:p>
    <w:p>
      <w:pPr>
        <w:pStyle w:val="14"/>
        <w:numPr>
          <w:ilvl w:val="0"/>
          <w:numId w:val="2"/>
        </w:numPr>
        <w:shd w:val="clear"/>
        <w:ind w:right="-1"/>
        <w:jc w:val="both"/>
        <w:rPr>
          <w:sz w:val="24"/>
          <w:szCs w:val="24"/>
          <w:highlight w:val="none"/>
          <w:lang w:val="zh-CN" w:eastAsia="ro-RO"/>
        </w:rPr>
      </w:pPr>
      <w:r>
        <w:rPr>
          <w:sz w:val="24"/>
          <w:szCs w:val="24"/>
          <w:highlight w:val="none"/>
          <w:lang w:val="zh-CN" w:eastAsia="ro-RO"/>
        </w:rPr>
        <w:t xml:space="preserve">Activitățile licențiate din sectorul termoenergetic </w:t>
      </w:r>
      <w:r>
        <w:rPr>
          <w:sz w:val="24"/>
          <w:szCs w:val="24"/>
          <w:highlight w:val="none"/>
          <w:lang w:val="zh-CN" w:eastAsia="ro-RO"/>
        </w:rPr>
        <w:sym w:font="Wingdings 2" w:char="0052"/>
      </w:r>
    </w:p>
    <w:p>
      <w:pPr>
        <w:pStyle w:val="14"/>
        <w:numPr>
          <w:ilvl w:val="0"/>
          <w:numId w:val="2"/>
        </w:numPr>
        <w:shd w:val="clear"/>
        <w:ind w:right="-1"/>
        <w:jc w:val="both"/>
        <w:rPr>
          <w:sz w:val="24"/>
          <w:szCs w:val="24"/>
          <w:highlight w:val="none"/>
          <w:lang w:val="zh-CN" w:eastAsia="ro-RO"/>
        </w:rPr>
      </w:pPr>
      <w:r>
        <w:rPr>
          <w:sz w:val="24"/>
          <w:szCs w:val="24"/>
          <w:highlight w:val="none"/>
          <w:lang w:val="zh-CN" w:eastAsia="ro-RO"/>
        </w:rPr>
        <w:t xml:space="preserve">Activitățile licențiate din sectorul electroenergetic </w:t>
      </w:r>
      <w:r>
        <w:rPr>
          <w:sz w:val="24"/>
          <w:szCs w:val="24"/>
          <w:highlight w:val="none"/>
          <w:lang w:val="zh-CN" w:eastAsia="ro-RO"/>
        </w:rPr>
        <w:sym w:font="Wingdings 2" w:char="0052"/>
      </w:r>
    </w:p>
    <w:p>
      <w:pPr>
        <w:numPr>
          <w:ilvl w:val="0"/>
          <w:numId w:val="1"/>
        </w:numPr>
        <w:shd w:val="clear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5"/>
        <w:tblW w:w="10463" w:type="dxa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701"/>
        <w:gridCol w:w="2115"/>
        <w:gridCol w:w="585"/>
        <w:gridCol w:w="870"/>
        <w:gridCol w:w="3870"/>
        <w:gridCol w:w="17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 xml:space="preserve">Nr.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  <w:t>Lot</w:t>
            </w: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Cod CPV</w:t>
            </w: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Denumirea bunurilor solicitate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  <w:t>U/m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Cantitatea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Specificarea tehnică deplină solicitată, Standarde de referință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Valoarea estimată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  <w:t>a lotului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>
            <w:pPr>
              <w:shd w:val="clear"/>
              <w:spacing w:before="120"/>
              <w:ind w:left="113" w:right="113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42130000-9</w:t>
            </w: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Клапан запорный 15Б1П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15,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Клапан латунный проходной муфтовый по ТУ 3700-001-91353141, среда -</w:t>
            </w:r>
            <w:r>
              <w:rPr>
                <w:rFonts w:ascii="Open Sans" w:hAnsi="Open Sans" w:cs="Open Sans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вода, пар; температура рабочей среды - 0-200°С, герметичность затвора - класс «С» по ГОСТ 9544-93, присоединение к трубопроводу - муфтовое по ГОСТ 6527-68.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5 381,25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Клапан запорный 15Б1П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20,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Клапан латунный проходной муфтовый по ТУ 3700-001-91353141, среда -</w:t>
            </w:r>
            <w:r>
              <w:rPr>
                <w:rFonts w:ascii="Open Sans" w:hAnsi="Open Sans" w:cs="Open Sans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вода, пар; температура рабочей среды - 0-200°С, герметичность затвора - класс «С» по ГОСТ 9544-93, присоединение к трубопроводу - муфтовое по ГОСТ 6527-68.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7 875,00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Клапан импульсный пружинный 8с-3-1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40,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20,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max</w:t>
            </w:r>
            <w:r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ТУ 3740-002-15365247-2004, Присоединение к трубопроводу - под приварку. Герметичность затвора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класс «В»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 ГОСТ 9544-2015. Рабочая среда -пар, материал корпуса - Сталь 20.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12 750,00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Задвижка 30с64нж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50,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клиновая двухдисковая стальная по ТУ 3741-002-01515108-2004, присоединение к трубопроводу – фланцевое. Рабочая среда -вода, пар, газ. Температура среды – до 425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>, привод -ручной с выдвижным шпинделем. Класс герметичности по ГОСТ 9544-93: «А». Присоединительные размеры фланцев по ГОСТ 33259-2015.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12 300,00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Задвижка 30с64нж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80,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клиновая двухдисковая стальная по ТУ 3741-002-01515108-2004, присоединение к трубопроводу – фланцевое. Рабочая среда -вода, пар, газ. Температура среды – до 425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>, привод -ручной с выдвижным шпинделем. Класс герметичности по ГОСТ 9544-93: «А». Присоединительные размеры фланцев по ГОСТ 33259-2015.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15 270,00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Задвижка 30с64нж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100,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клиновая двухдисковая стальная по ТУ 3741-002-01515108-2004, присоединение к трубопроводу – фланцевое. Рабочая среда -вода, пар, газ. Температура среды – до 425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>, привод -ручной с выдвижным шпинделем. Класс герметичности по ГОСТ 9544-93: «А». Присоединительные размеры фланцев по ГОСТ 33259-2015.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21 500,00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Клапан запорный 998-20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20,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Клапан (вентиль) запорный по ТУ 2913-001-15365247-2004. Способ присоединения – под сварку. Рабочая среда – вода. Температура среды – до 280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>. Способ управления - маховик. Герметичность затвора: по классу А ГОСТ 9544-2015.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122 500,00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Клапан запорный 999-20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20,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Клапан (вентиль) запорный по ТУ 2913-001-15365247-2004. Способ присоединения – под сварку. Рабочая среда – пар. Температура среды – до 545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>. Способ управления - маховик. Герметичность затвора: по классу А ГОСТ 9544-2015.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253 500,00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Клапан запорный Т 107Б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50,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sz w:val="22"/>
                <w:szCs w:val="22"/>
                <w:lang w:val="ro"/>
              </w:rPr>
              <w:t>Клапан запорный (вентиль) с маховиком по ТУ 3740-001-92174297-2013</w:t>
            </w:r>
            <w:r>
              <w:rPr>
                <w:rFonts w:ascii="Times New Roman" w:hAnsi="Times New Roman"/>
                <w:sz w:val="22"/>
                <w:szCs w:val="22"/>
              </w:rPr>
              <w:t>, Материал изделия (корпус) – сталь 25Л. Способ присоединения – под сварку. Рабочая среда – пар, вода. Температура среды – до 450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>. Управление – ручное. Герметизация подвижного соединения – сальниковая.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193 250,00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Ремонтный комплект уплотнений к задвижке 2С-29-2Н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200,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к-кт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запорная изготовлена по ТУ 3740-002-15365247-2004 Барнаульским котельным заводом. Заводской номер №958.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1 050,00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50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чугунная клиновая фланцевая с выдвижным шпинделем по ГОСТ 5762-2002 и ТУ 3721-001-00324292-2011. Вид управления - ручной привод. Рабочая среда – пар, вода. Температура среды – 225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Присоединение – фланцевое. Размеры фланцев по ГОСТ 33259-2015. Материал -корпус -серый чугун, уплотнительная поверхность - латунь. Уплотнение по шпинделю – сальниковое, между корпусом и крышкой - паронит. Герметичность затвора: по классу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ГОСТ 9544-2015. 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17 500,00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80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чугунная клиновая фланцевая с выдвижным шпинделем по ГОСТ 5762-2002 и ТУ 3721-001-00324292-2011. Вид управления - ручной привод. Рабочая среда – пар, вода. Температура среды – 225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Присоединение – фланцевое. Размеры фланцев по ГОСТ 33259-2015. Материал -корпус -серый чугун, уплотнительная поверхность - латунь. Уплотнение по шпинделю – сальниковое, между корпусом и крышкой - паронит. Герметичность затвора:по классу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ГОСТ 9544-2015. 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21 000,00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чугунная клиновая фланцевая с выдвижным шпинделем по ГОСТ 5762-2002 и ТУ 3721-001-00324292-2011. Вид управления - ручной привод. Рабочая среда – пар, вода. Температура среды – 225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Присоединение – фланцевое. Размеры фланцев по ГОСТ 33259-2015. Материал -корпус -серый чугун, уплотнительная поверхность - латунь. Уплотнение по шпинделю – сальниковое, между корпусом и крышкой - паронит. Герметичность затвора:по классу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ГОСТ 9544-2015. 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29 350,00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чугунная клиновая фланцевая с выдвижным шпинделем по ГОСТ 5762-2002 и ТУ 3721-001-00324292-2011. Вид управления - ручной привод. Рабочая среда – пар, вода. Температура среды – 225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Присоединение – фланцевое. Размеры фланцев по ГОСТ 33259-2015. Материал -корпус -серый чугун, уплотнительная поверхность - латунь. Уплотнение по шпинделю – сальниковое, между корпусом и крышкой - паронит. Герметичность затвора:по классу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ГОСТ 9544-2015.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43 500,00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t>40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Задвижка чугунная клиновая фланцевая с выдвижным шпинделем по ГОСТ 5762-2002 и ТУ 3721-001-00324292-2011. Вид управления - ручной привод. Рабочая среда – пар, вода. Температура среды – 225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°С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Присоединение – фланцевое. Размеры фланцев по ГОСТ 33259-2015. Материал -корпус -серый чугун, уплотнительная поверхность - латунь. Уплотнение по шпинделю – сальниковое, между корпусом и крышкой - паронит. Герметичность затвора: по классу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ГОСТ 9544-2015. 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26 150,00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Кран шаровой газовый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Dn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25,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Pn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25,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L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80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mm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10.00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6 750,00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Запорное устройство указателя уровня 12б2бк Ду-20, Ру-16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К-т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2.00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Кран шаровой сварной полнопроходной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Dn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150,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Pn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26.00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344 500,00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Кран шаровой сварной полнопроходной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Dn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100,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Pn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18.00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177 390,00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Кран шаровой фланцевый полнопроходной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Dn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50,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Pn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94.00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632 150,00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Кран шаровой сварной полнопроходной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Dn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 xml:space="preserve">200,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Pn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4.00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76 000,00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Кран шаровой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 xml:space="preserve"> Dn15mm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10.00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baseline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eastAsia="zh-CN" w:bidi="ar"/>
              </w:rPr>
              <w:t>Кран шаровой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 xml:space="preserve"> Dn20mm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10.00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2 750,00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baseline"/>
                <w:lang w:eastAsia="ro-RO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80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5.00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10 500,00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baseline"/>
                <w:lang w:eastAsia="ro-RO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125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2.00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5 230,00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baseline"/>
                <w:lang w:eastAsia="ro-RO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10.00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29 300,00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3"/>
              </w:numPr>
              <w:shd w:val="clear"/>
              <w:tabs>
                <w:tab w:val="clear" w:pos="425"/>
              </w:tabs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baseline"/>
                <w:lang w:eastAsia="ro-RO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Задвижка 30Ч6Бр D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150P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en-US"/>
              </w:rPr>
              <w:t>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шт.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right"/>
              <w:textAlignment w:val="bottom"/>
              <w:rPr>
                <w:rFonts w:hint="default" w:cs="Times New Roman"/>
                <w:sz w:val="22"/>
                <w:szCs w:val="22"/>
                <w:lang w:eastAsia="ro-RO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  <w:t>3.00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12 885,00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0"/>
              </w:numPr>
              <w:shd w:val="clear"/>
              <w:spacing w:before="120"/>
              <w:ind w:lef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zh-CN"/>
              </w:rPr>
            </w:pPr>
          </w:p>
        </w:tc>
        <w:tc>
          <w:tcPr>
            <w:tcW w:w="81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ind w:firstLine="2090" w:firstLineChars="950"/>
              <w:jc w:val="both"/>
              <w:rPr>
                <w:rFonts w:hint="default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Valoarea totală estimată fără TVA</w:t>
            </w:r>
            <w:r>
              <w:rPr>
                <w:rFonts w:hint="default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2 085 331,25</w: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</w:rPr>
              <w:t xml:space="preserve"> lei</w:t>
            </w:r>
          </w:p>
        </w:tc>
      </w:tr>
    </w:tbl>
    <w:p>
      <w:pPr>
        <w:numPr>
          <w:ilvl w:val="0"/>
          <w:numId w:val="0"/>
        </w:numPr>
        <w:shd w:val="clear"/>
        <w:tabs>
          <w:tab w:val="right" w:pos="426"/>
        </w:tabs>
        <w:spacing w:before="120"/>
        <w:ind w:leftChars="0"/>
        <w:rPr>
          <w:b/>
          <w:sz w:val="24"/>
          <w:szCs w:val="24"/>
          <w:highlight w:val="none"/>
          <w:lang w:val="zh-CN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*Notă: Fiecare poziție din tabel reprezintă Lot aparte și ofertă va putea fi depusă pentru fiecare Lot în parte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În cazul în care contractul este împărțit pe loturi un operator economic poate depune oferta (se va selecta):</w:t>
      </w:r>
    </w:p>
    <w:p>
      <w:pPr>
        <w:pStyle w:val="14"/>
        <w:numPr>
          <w:ilvl w:val="0"/>
          <w:numId w:val="0"/>
        </w:numPr>
        <w:shd w:val="clear" w:color="auto"/>
        <w:tabs>
          <w:tab w:val="right" w:pos="426"/>
        </w:tabs>
        <w:ind w:left="360" w:leftChars="0"/>
        <w:contextualSpacing w:val="0"/>
        <w:rPr>
          <w:rFonts w:hint="default"/>
          <w:sz w:val="24"/>
          <w:szCs w:val="24"/>
          <w:highlight w:val="none"/>
          <w:u w:val="single"/>
        </w:rPr>
      </w:pPr>
      <w:r>
        <w:rPr>
          <w:sz w:val="24"/>
          <w:szCs w:val="24"/>
          <w:highlight w:val="none"/>
          <w:u w:val="single"/>
          <w:lang w:val="zh-CN"/>
        </w:rPr>
        <w:t xml:space="preserve">Pentru </w:t>
      </w:r>
      <w:r>
        <w:rPr>
          <w:rFonts w:hint="default"/>
          <w:sz w:val="24"/>
          <w:szCs w:val="24"/>
          <w:highlight w:val="none"/>
          <w:u w:val="single"/>
        </w:rPr>
        <w:t>mai multe loturi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Admiterea sau interzicerea ofertelor alternative:</w:t>
      </w:r>
      <w:r>
        <w:rPr>
          <w:b/>
          <w:sz w:val="24"/>
          <w:szCs w:val="24"/>
          <w:highlight w:val="none"/>
          <w:shd w:val="clear"/>
          <w:lang w:val="zh-CN"/>
        </w:rPr>
        <w:t xml:space="preserve"> </w:t>
      </w:r>
      <w:r>
        <w:rPr>
          <w:rFonts w:hint="default"/>
          <w:b/>
          <w:sz w:val="24"/>
          <w:szCs w:val="24"/>
          <w:highlight w:val="none"/>
          <w:shd w:val="clear"/>
        </w:rPr>
        <w:t xml:space="preserve">          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</w:t>
      </w:r>
      <w:r>
        <w:rPr>
          <w:b w:val="0"/>
          <w:bCs/>
          <w:sz w:val="24"/>
          <w:szCs w:val="24"/>
          <w:highlight w:val="none"/>
          <w:shd w:val="clear" w:color="auto"/>
          <w:lang w:val="zh-CN"/>
        </w:rPr>
        <w:t>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nu se admite</w:t>
      </w:r>
      <w:r>
        <w:rPr>
          <w:b w:val="0"/>
          <w:bCs/>
          <w:sz w:val="24"/>
          <w:szCs w:val="24"/>
          <w:highlight w:val="none"/>
          <w:shd w:val="clear" w:color="auto"/>
          <w:lang w:val="zh-CN"/>
        </w:rPr>
        <w:t>_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</w:t>
      </w:r>
    </w:p>
    <w:p>
      <w:pPr>
        <w:shd w:val="clear"/>
        <w:tabs>
          <w:tab w:val="right" w:pos="426"/>
        </w:tabs>
        <w:ind w:left="6206"/>
        <w:rPr>
          <w:szCs w:val="24"/>
          <w:highlight w:val="none"/>
          <w:lang w:val="zh-CN"/>
        </w:rPr>
      </w:pPr>
      <w:r>
        <w:rPr>
          <w:szCs w:val="24"/>
          <w:highlight w:val="none"/>
          <w:lang w:val="zh-CN"/>
        </w:rPr>
        <w:t>(indicați se admite sau nu se admite)</w:t>
      </w:r>
    </w:p>
    <w:p>
      <w:pPr>
        <w:numPr>
          <w:ilvl w:val="0"/>
          <w:numId w:val="1"/>
        </w:numPr>
        <w:shd w:val="clear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Termenii și condițiile de livrare/prestare/executare solicitați: 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sz w:val="24"/>
          <w:szCs w:val="24"/>
          <w:u w:val="single"/>
        </w:rPr>
        <w:t>Livrarea se va efectua din contul și cu transportul vânzătorului, la depozitul cumpărătorului. Bunurile se vor livra</w:t>
      </w:r>
      <w:r>
        <w:rPr>
          <w:rFonts w:hint="default" w:cs="Times New Roman"/>
          <w:sz w:val="24"/>
          <w:szCs w:val="24"/>
          <w:u w:val="single"/>
        </w:rPr>
        <w:t xml:space="preserve"> integral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, în termen de </w:t>
      </w:r>
      <w:r>
        <w:rPr>
          <w:rFonts w:hint="default" w:cs="Times New Roman"/>
          <w:sz w:val="24"/>
          <w:szCs w:val="24"/>
          <w:u w:val="single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u w:val="single"/>
        </w:rPr>
        <w:t>0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zile d</w:t>
      </w:r>
      <w:r>
        <w:rPr>
          <w:rFonts w:hint="default" w:cs="Times New Roman"/>
          <w:sz w:val="24"/>
          <w:szCs w:val="24"/>
          <w:u w:val="single"/>
        </w:rPr>
        <w:t>in data semnării contractului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>. Bunurile livrate vor fi însoțite de următoarele documente: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sz w:val="24"/>
          <w:szCs w:val="24"/>
          <w:u w:val="single"/>
        </w:rPr>
        <w:t>- factura fiscală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b/>
          <w:sz w:val="24"/>
          <w:szCs w:val="24"/>
          <w:highlight w:val="none"/>
          <w:u w:val="single"/>
          <w:lang w:val="zh-CN"/>
        </w:rPr>
      </w:pPr>
      <w:r>
        <w:rPr>
          <w:rFonts w:hint="default" w:ascii="Times New Roman" w:hAnsi="Times New Roman" w:cs="Times New Roman"/>
          <w:sz w:val="24"/>
          <w:szCs w:val="24"/>
          <w:u w:val="single"/>
        </w:rPr>
        <w:t>- certificat de calitate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highlight w:val="none"/>
        </w:rPr>
        <w:t xml:space="preserve">Condiții și termeni de achitare: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  <w:u w:val="single"/>
        </w:rPr>
        <w:t xml:space="preserve">Achitarea bunurilor se va efectua în lei MD, prin virament, în decurs de până la </w:t>
      </w:r>
      <w:r>
        <w:rPr>
          <w:rFonts w:hint="default" w:cs="Times New Roman"/>
          <w:b w:val="0"/>
          <w:bCs/>
          <w:sz w:val="24"/>
          <w:szCs w:val="24"/>
          <w:highlight w:val="none"/>
          <w:u w:val="single"/>
        </w:rPr>
        <w:t>6</w:t>
      </w:r>
      <w:r>
        <w:rPr>
          <w:rFonts w:hint="default" w:ascii="Times New Roman" w:hAnsi="Times New Roman" w:cs="Times New Roman"/>
          <w:b w:val="0"/>
          <w:bCs/>
          <w:color w:val="auto"/>
          <w:sz w:val="24"/>
          <w:szCs w:val="24"/>
          <w:highlight w:val="none"/>
          <w:u w:val="single"/>
        </w:rPr>
        <w:t>0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  <w:u w:val="single"/>
        </w:rPr>
        <w:t xml:space="preserve"> zile calendaristice, din momentul semnării facturii fiscale şi documentelor confirmative de executare a contractului.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Termenul de valabilitate a contractulu</w:t>
      </w:r>
      <w:r>
        <w:rPr>
          <w:b/>
          <w:sz w:val="24"/>
          <w:szCs w:val="24"/>
          <w:highlight w:val="none"/>
          <w:shd w:val="clear"/>
          <w:lang w:val="zh-CN"/>
        </w:rPr>
        <w:t>i</w:t>
      </w:r>
      <w:r>
        <w:rPr>
          <w:b/>
          <w:sz w:val="24"/>
          <w:szCs w:val="24"/>
          <w:highlight w:val="none"/>
          <w:shd w:val="clear" w:color="auto"/>
          <w:lang w:val="zh-CN"/>
        </w:rPr>
        <w:t>:__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31.12.2023</w:t>
      </w:r>
      <w:r>
        <w:rPr>
          <w:b w:val="0"/>
          <w:bCs/>
          <w:sz w:val="24"/>
          <w:szCs w:val="24"/>
          <w:highlight w:val="none"/>
          <w:u w:val="single"/>
          <w:shd w:val="clear" w:color="auto"/>
          <w:lang w:val="zh-CN"/>
        </w:rPr>
        <w:t>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</w:t>
      </w:r>
      <w:r>
        <w:rPr>
          <w:rFonts w:hint="default"/>
          <w:b/>
          <w:sz w:val="24"/>
          <w:szCs w:val="24"/>
          <w:highlight w:val="none"/>
          <w:u w:val="single"/>
          <w:shd w:val="clear" w:color="auto"/>
        </w:rPr>
        <w:t>NU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</w:t>
      </w:r>
    </w:p>
    <w:p>
      <w:pPr>
        <w:pStyle w:val="14"/>
        <w:shd w:val="clear"/>
        <w:tabs>
          <w:tab w:val="right" w:pos="426"/>
        </w:tabs>
        <w:ind w:left="7560" w:hanging="630"/>
        <w:rPr>
          <w:szCs w:val="24"/>
          <w:highlight w:val="none"/>
          <w:lang w:val="zh-CN"/>
        </w:rPr>
      </w:pPr>
      <w:r>
        <w:rPr>
          <w:szCs w:val="24"/>
          <w:highlight w:val="none"/>
          <w:lang w:val="zh-CN"/>
        </w:rPr>
        <w:t>(indicați da sau nu)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Prestarea serviciului este rezervată unei anumite profesii în temeiul unor acte cu putere de lege sau al unor acte administrative (după caz): </w:t>
      </w:r>
    </w:p>
    <w:p>
      <w:pPr>
        <w:numPr>
          <w:ilvl w:val="0"/>
          <w:numId w:val="0"/>
        </w:numPr>
        <w:shd w:val="clear"/>
        <w:tabs>
          <w:tab w:val="right" w:pos="426"/>
        </w:tabs>
        <w:spacing w:before="120"/>
        <w:ind w:leftChars="0"/>
        <w:rPr>
          <w:rFonts w:hint="default"/>
          <w:b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  <w:shd w:val="clear" w:color="auto"/>
          <w:lang w:val="zh-CN"/>
        </w:rPr>
        <w:t>__________</w:t>
      </w:r>
      <w:r>
        <w:rPr>
          <w:rFonts w:hint="default"/>
          <w:b/>
          <w:sz w:val="24"/>
          <w:szCs w:val="24"/>
          <w:highlight w:val="none"/>
          <w:u w:val="single"/>
          <w:shd w:val="clear" w:color="auto"/>
        </w:rPr>
        <w:t>Nu se aplică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</w:t>
      </w:r>
      <w:r>
        <w:rPr>
          <w:rFonts w:hint="default"/>
          <w:b/>
          <w:sz w:val="24"/>
          <w:szCs w:val="24"/>
          <w:highlight w:val="none"/>
          <w:shd w:val="clear" w:color="auto"/>
        </w:rPr>
        <w:t>____________________</w:t>
      </w:r>
    </w:p>
    <w:p>
      <w:pPr>
        <w:pStyle w:val="14"/>
        <w:shd w:val="clear"/>
        <w:tabs>
          <w:tab w:val="right" w:pos="426"/>
        </w:tabs>
        <w:ind w:left="0"/>
        <w:jc w:val="center"/>
        <w:rPr>
          <w:szCs w:val="24"/>
          <w:highlight w:val="none"/>
          <w:lang w:val="zh-CN"/>
        </w:rPr>
      </w:pPr>
      <w:r>
        <w:rPr>
          <w:szCs w:val="24"/>
          <w:highlight w:val="none"/>
          <w:lang w:val="zh-CN"/>
        </w:rPr>
        <w:t>(se menționează respectivele acte cu putere de lege și acte administrative)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3641"/>
        <w:gridCol w:w="3840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Nr. d/o</w:t>
            </w:r>
          </w:p>
        </w:tc>
        <w:tc>
          <w:tcPr>
            <w:tcW w:w="3641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Descrierea criteriului/cerinței</w:t>
            </w:r>
          </w:p>
        </w:tc>
        <w:tc>
          <w:tcPr>
            <w:tcW w:w="3840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Mod de demonstrare a îndeplinirii criteriului/cerinței:</w:t>
            </w:r>
          </w:p>
        </w:tc>
        <w:tc>
          <w:tcPr>
            <w:tcW w:w="1697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Nivelul minim/</w:t>
            </w: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Obligativitatea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1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Date generale despre ofertant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Formular i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nformație generală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2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Capacitatea de exercitare a activității profesionale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Extras din registrul de stat al persoanelor juridice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3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Experiența similară în ultimii 3 ani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Formular experiența similară în ultimii 3 ani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4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Lipsa restanțelor față de bugetul de stat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Declarația pe propria răspundere</w:t>
            </w: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 xml:space="preserve"> sau certificat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5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Angajament de integritate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Formular angajament de integritate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6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Declarația privind eligibilitatea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Formular declarația privind eligibilitatea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77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7</w:t>
            </w:r>
          </w:p>
        </w:tc>
        <w:tc>
          <w:tcPr>
            <w:tcW w:w="3641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Corespunderea bunului cu cerințele solicitate</w:t>
            </w:r>
          </w:p>
        </w:tc>
        <w:tc>
          <w:tcPr>
            <w:tcW w:w="3840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 xml:space="preserve">Certificat de </w:t>
            </w: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 xml:space="preserve">calitate / </w:t>
            </w: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conformitate</w:t>
            </w:r>
          </w:p>
        </w:tc>
        <w:tc>
          <w:tcPr>
            <w:tcW w:w="1697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</w:tbl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Motivul recurgerii la procedura accelerată (în cazul licitației deschise, restr</w:t>
      </w:r>
      <w:r>
        <w:rPr>
          <w:rFonts w:hint="default"/>
          <w:b/>
          <w:sz w:val="24"/>
          <w:szCs w:val="24"/>
          <w:highlight w:val="none"/>
        </w:rPr>
        <w:t>â</w:t>
      </w:r>
      <w:r>
        <w:rPr>
          <w:b/>
          <w:sz w:val="24"/>
          <w:szCs w:val="24"/>
          <w:highlight w:val="none"/>
          <w:lang w:val="zh-CN"/>
        </w:rPr>
        <w:t>nse și al procedurii negociate), după caz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Nu se aplică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 w:val="0"/>
          <w:bCs/>
          <w:sz w:val="24"/>
          <w:szCs w:val="24"/>
          <w:highlight w:val="none"/>
          <w:u w:val="single"/>
          <w:shd w:val="clear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licitație electronică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Condiții speciale de care depinde îndeplinirea contractului (</w:t>
      </w:r>
      <w:r>
        <w:rPr>
          <w:sz w:val="24"/>
          <w:szCs w:val="24"/>
          <w:highlight w:val="none"/>
          <w:lang w:val="zh-CN"/>
        </w:rPr>
        <w:t>indicați după caz</w:t>
      </w:r>
      <w:r>
        <w:rPr>
          <w:b/>
          <w:sz w:val="24"/>
          <w:szCs w:val="24"/>
          <w:highlight w:val="none"/>
          <w:lang w:val="zh-CN"/>
        </w:rPr>
        <w:t xml:space="preserve">): </w:t>
      </w:r>
    </w:p>
    <w:p>
      <w:pPr>
        <w:numPr>
          <w:ilvl w:val="0"/>
          <w:numId w:val="0"/>
        </w:numPr>
        <w:shd w:val="clear"/>
        <w:tabs>
          <w:tab w:val="right" w:pos="426"/>
        </w:tabs>
        <w:spacing w:before="120"/>
        <w:ind w:leftChars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shd w:val="clear" w:color="auto"/>
          <w:lang w:val="zh-CN"/>
        </w:rPr>
        <w:t>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Nu se aplică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Criteriul de evaluare aplicat pentru adjudecarea contractului: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zh-CN"/>
        </w:rPr>
        <w:t>Cel mai</w:t>
      </w:r>
      <w:r>
        <w:rPr>
          <w:rFonts w:hint="default" w:cs="Times New Roman"/>
          <w:sz w:val="24"/>
          <w:szCs w:val="24"/>
          <w:u w:val="single"/>
        </w:rPr>
        <w:t xml:space="preserve"> mic preț</w:t>
      </w:r>
      <w:r>
        <w:rPr>
          <w:rFonts w:hint="default" w:ascii="Times New Roman" w:hAnsi="Times New Roman" w:cs="Times New Roman"/>
          <w:sz w:val="24"/>
          <w:szCs w:val="24"/>
          <w:lang w:val="zh-CN"/>
        </w:rPr>
        <w:t xml:space="preserve"> 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Factorii de evaluare a ofertei celei mai avantajoase din punct de vedere economic, precum și ponderile lor: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6787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038" w:type="dxa"/>
            <w:shd w:val="clear" w:color="auto" w:fill="D8D8D8" w:themeFill="background1" w:themeFillShade="D9"/>
          </w:tcPr>
          <w:p>
            <w:pPr>
              <w:shd w:val="clear"/>
              <w:tabs>
                <w:tab w:val="left" w:pos="612"/>
              </w:tabs>
              <w:spacing w:before="120" w:after="120"/>
              <w:rPr>
                <w:b/>
                <w:iCs/>
                <w:highlight w:val="none"/>
                <w:lang w:val="zh-CN"/>
              </w:rPr>
            </w:pPr>
            <w:r>
              <w:rPr>
                <w:b/>
                <w:iCs/>
                <w:highlight w:val="none"/>
                <w:lang w:val="zh-CN"/>
              </w:rPr>
              <w:t>Nr. d/o</w:t>
            </w:r>
          </w:p>
        </w:tc>
        <w:tc>
          <w:tcPr>
            <w:tcW w:w="6787" w:type="dxa"/>
            <w:shd w:val="clear" w:color="auto" w:fill="D8D8D8" w:themeFill="background1" w:themeFillShade="D9"/>
          </w:tcPr>
          <w:p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none"/>
                <w:lang w:val="zh-CN"/>
              </w:rPr>
            </w:pPr>
            <w:r>
              <w:rPr>
                <w:b/>
                <w:iCs/>
                <w:highlight w:val="none"/>
                <w:lang w:val="zh-CN"/>
              </w:rPr>
              <w:t>Denumirea factorului de evaluare</w:t>
            </w:r>
          </w:p>
        </w:tc>
        <w:tc>
          <w:tcPr>
            <w:tcW w:w="1800" w:type="dxa"/>
            <w:shd w:val="clear" w:color="auto" w:fill="D8D8D8" w:themeFill="background1" w:themeFillShade="D9"/>
          </w:tcPr>
          <w:p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none"/>
                <w:lang w:val="zh-CN"/>
              </w:rPr>
            </w:pPr>
            <w:r>
              <w:rPr>
                <w:b/>
                <w:iCs/>
                <w:highlight w:val="none"/>
                <w:lang w:val="zh-CN"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38" w:type="dxa"/>
            <w:shd w:val="clear" w:color="auto" w:fill="auto"/>
          </w:tcPr>
          <w:p>
            <w:pPr>
              <w:shd w:val="clear"/>
              <w:tabs>
                <w:tab w:val="left" w:pos="612"/>
              </w:tabs>
              <w:spacing w:before="120" w:after="120"/>
              <w:rPr>
                <w:rFonts w:hint="default"/>
                <w:iCs/>
                <w:sz w:val="24"/>
                <w:szCs w:val="24"/>
                <w:highlight w:val="none"/>
              </w:rPr>
            </w:pPr>
            <w:r>
              <w:rPr>
                <w:rFonts w:hint="default"/>
                <w:iCs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787" w:type="dxa"/>
            <w:shd w:val="clear" w:color="auto" w:fill="auto"/>
          </w:tcPr>
          <w:p>
            <w:pPr>
              <w:shd w:val="clear"/>
              <w:tabs>
                <w:tab w:val="left" w:pos="612"/>
              </w:tabs>
              <w:spacing w:before="120" w:after="120"/>
              <w:rPr>
                <w:rFonts w:hint="default"/>
                <w:iCs/>
                <w:sz w:val="24"/>
                <w:szCs w:val="24"/>
                <w:highlight w:val="none"/>
              </w:rPr>
            </w:pPr>
            <w:r>
              <w:rPr>
                <w:rFonts w:hint="default"/>
                <w:iCs/>
                <w:sz w:val="24"/>
                <w:szCs w:val="24"/>
                <w:highlight w:val="none"/>
              </w:rPr>
              <w:t>Prețul</w:t>
            </w:r>
          </w:p>
        </w:tc>
        <w:tc>
          <w:tcPr>
            <w:tcW w:w="1800" w:type="dxa"/>
            <w:shd w:val="clear" w:color="auto" w:fill="auto"/>
          </w:tcPr>
          <w:p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rFonts w:hint="default"/>
                <w:iCs/>
                <w:sz w:val="24"/>
                <w:szCs w:val="24"/>
                <w:highlight w:val="none"/>
              </w:rPr>
            </w:pPr>
            <w:r>
              <w:rPr>
                <w:rFonts w:hint="default"/>
                <w:iCs/>
                <w:sz w:val="24"/>
                <w:szCs w:val="24"/>
                <w:highlight w:val="none"/>
              </w:rPr>
              <w:t>100%</w:t>
            </w:r>
          </w:p>
        </w:tc>
      </w:tr>
    </w:tbl>
    <w:p>
      <w:pPr>
        <w:numPr>
          <w:ilvl w:val="0"/>
          <w:numId w:val="0"/>
        </w:numPr>
        <w:shd w:val="clear"/>
        <w:tabs>
          <w:tab w:val="right" w:pos="426"/>
        </w:tabs>
        <w:spacing w:before="120"/>
        <w:ind w:leftChars="0"/>
        <w:rPr>
          <w:rFonts w:hint="default"/>
          <w:b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sz w:val="24"/>
          <w:szCs w:val="24"/>
          <w:highlight w:val="none"/>
        </w:rPr>
        <w:t>* Oferta desemnată câștigătoare va fi cea care corespunde specificațiilor tehnice și va avea cel mai mic preț.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Termenul limită de depunere/deschidere a ofertelor:</w:t>
      </w:r>
    </w:p>
    <w:p>
      <w:pPr>
        <w:pStyle w:val="14"/>
        <w:numPr>
          <w:ilvl w:val="0"/>
          <w:numId w:val="4"/>
        </w:numPr>
        <w:shd w:val="clear"/>
        <w:tabs>
          <w:tab w:val="right" w:pos="426"/>
        </w:tabs>
        <w:spacing w:before="120"/>
        <w:contextualSpacing w:val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până la: </w:t>
      </w:r>
      <w:r>
        <w:rPr>
          <w:b/>
          <w:i/>
          <w:sz w:val="24"/>
          <w:szCs w:val="24"/>
          <w:highlight w:val="none"/>
          <w:lang w:val="zh-CN"/>
        </w:rPr>
        <w:t>[ora exactă]</w:t>
      </w:r>
      <w:r>
        <w:rPr>
          <w:b/>
          <w:sz w:val="24"/>
          <w:szCs w:val="24"/>
          <w:highlight w:val="none"/>
          <w:shd w:val="clear"/>
          <w:lang w:val="zh-CN"/>
        </w:rPr>
        <w:t xml:space="preserve">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</w:t>
      </w:r>
      <w:r>
        <w:rPr>
          <w:rFonts w:hint="default"/>
          <w:b/>
          <w:sz w:val="24"/>
          <w:szCs w:val="24"/>
          <w:highlight w:val="none"/>
          <w:u w:val="single"/>
          <w:shd w:val="clear" w:color="auto"/>
        </w:rPr>
        <w:t>14:00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__________________________________________</w:t>
      </w:r>
    </w:p>
    <w:p>
      <w:pPr>
        <w:pStyle w:val="14"/>
        <w:numPr>
          <w:ilvl w:val="0"/>
          <w:numId w:val="4"/>
        </w:numPr>
        <w:shd w:val="clear"/>
        <w:tabs>
          <w:tab w:val="right" w:pos="426"/>
        </w:tabs>
        <w:spacing w:before="120"/>
        <w:contextualSpacing w:val="0"/>
        <w:rPr>
          <w:b/>
          <w:sz w:val="24"/>
          <w:szCs w:val="24"/>
          <w:highlight w:val="none"/>
          <w:shd w:val="clear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pe: </w:t>
      </w:r>
      <w:r>
        <w:rPr>
          <w:b/>
          <w:i/>
          <w:sz w:val="24"/>
          <w:szCs w:val="24"/>
          <w:highlight w:val="none"/>
          <w:lang w:val="zh-CN"/>
        </w:rPr>
        <w:t>[data]</w:t>
      </w:r>
      <w:r>
        <w:rPr>
          <w:b/>
          <w:sz w:val="24"/>
          <w:szCs w:val="24"/>
          <w:highlight w:val="none"/>
          <w:shd w:val="clear"/>
          <w:lang w:val="zh-CN"/>
        </w:rPr>
        <w:t xml:space="preserve">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</w:t>
      </w:r>
      <w:r>
        <w:rPr>
          <w:rFonts w:hint="default"/>
          <w:b/>
          <w:bCs w:val="0"/>
          <w:sz w:val="24"/>
          <w:szCs w:val="24"/>
          <w:highlight w:val="none"/>
          <w:u w:val="single"/>
          <w:shd w:val="clear" w:color="auto"/>
        </w:rPr>
        <w:t>22.03.2023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Adresa la care trebuie transmise ofertele sau cererile de participare: </w:t>
      </w:r>
    </w:p>
    <w:p>
      <w:pPr>
        <w:shd w:val="clear"/>
        <w:tabs>
          <w:tab w:val="right" w:pos="426"/>
        </w:tabs>
        <w:spacing w:before="120"/>
        <w:ind w:left="450"/>
        <w:rPr>
          <w:rFonts w:hint="default"/>
          <w:b/>
          <w:sz w:val="24"/>
          <w:szCs w:val="24"/>
          <w:highlight w:val="none"/>
        </w:rPr>
      </w:pPr>
      <w:r>
        <w:rPr>
          <w:b/>
          <w:i/>
          <w:sz w:val="24"/>
          <w:szCs w:val="24"/>
          <w:highlight w:val="none"/>
          <w:lang w:val="zh-CN"/>
        </w:rPr>
        <w:t xml:space="preserve">Ofertele vor fi depuse electronic prin intermediul </w:t>
      </w:r>
      <w:r>
        <w:rPr>
          <w:rFonts w:hint="default"/>
          <w:b/>
          <w:i/>
          <w:sz w:val="24"/>
          <w:szCs w:val="24"/>
          <w:highlight w:val="none"/>
        </w:rPr>
        <w:t>SIA „RSAP”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Termenul de valabilitate a ofertelor: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60 zile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Locul deschiderii ofertelor: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SIA RSAP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</w:t>
      </w:r>
    </w:p>
    <w:p>
      <w:pPr>
        <w:pStyle w:val="14"/>
        <w:shd w:val="clear"/>
        <w:tabs>
          <w:tab w:val="right" w:pos="426"/>
        </w:tabs>
        <w:ind w:left="3240"/>
        <w:jc w:val="center"/>
        <w:rPr>
          <w:szCs w:val="24"/>
          <w:highlight w:val="none"/>
          <w:lang w:val="zh-CN"/>
        </w:rPr>
      </w:pPr>
      <w:r>
        <w:rPr>
          <w:szCs w:val="24"/>
          <w:highlight w:val="none"/>
          <w:lang w:val="zh-CN"/>
        </w:rPr>
        <w:t>(SIA RSAP sau adresa deschiderii)</w:t>
      </w:r>
    </w:p>
    <w:p>
      <w:pPr>
        <w:pStyle w:val="14"/>
        <w:shd w:val="clear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highlight w:val="none"/>
          <w:lang w:val="zh-CN"/>
        </w:rPr>
      </w:pPr>
      <w:r>
        <w:rPr>
          <w:b/>
          <w:i/>
          <w:sz w:val="24"/>
          <w:szCs w:val="24"/>
          <w:highlight w:val="none"/>
          <w:lang w:val="zh-CN"/>
        </w:rPr>
        <w:t>Ofertele înt</w:t>
      </w:r>
      <w:r>
        <w:rPr>
          <w:rFonts w:hint="default"/>
          <w:b/>
          <w:i/>
          <w:sz w:val="24"/>
          <w:szCs w:val="24"/>
          <w:highlight w:val="none"/>
        </w:rPr>
        <w:t>â</w:t>
      </w:r>
      <w:r>
        <w:rPr>
          <w:b/>
          <w:i/>
          <w:sz w:val="24"/>
          <w:szCs w:val="24"/>
          <w:highlight w:val="none"/>
          <w:lang w:val="zh-CN"/>
        </w:rPr>
        <w:t xml:space="preserve">rziate vor fi respinse. 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450" w:hanging="45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Persoanele autorizate să asiste la deschiderea ofertelor: </w:t>
      </w:r>
      <w:r>
        <w:rPr>
          <w:b/>
          <w:sz w:val="24"/>
          <w:szCs w:val="24"/>
          <w:highlight w:val="none"/>
          <w:lang w:val="zh-CN"/>
        </w:rPr>
        <w:br w:type="textWrapping"/>
      </w:r>
      <w:r>
        <w:rPr>
          <w:b/>
          <w:i/>
          <w:sz w:val="24"/>
          <w:szCs w:val="24"/>
          <w:highlight w:val="none"/>
          <w:lang w:val="zh-CN"/>
        </w:rPr>
        <w:t xml:space="preserve">Ofertanții sau reprezentanții acestora au dreptul să participe la deschiderea ofertelor, cu excepția cazului </w:t>
      </w:r>
      <w:r>
        <w:rPr>
          <w:b/>
          <w:i/>
          <w:sz w:val="24"/>
          <w:szCs w:val="24"/>
          <w:highlight w:val="none"/>
        </w:rPr>
        <w:t>când</w:t>
      </w:r>
      <w:r>
        <w:rPr>
          <w:b/>
          <w:i/>
          <w:sz w:val="24"/>
          <w:szCs w:val="24"/>
          <w:highlight w:val="none"/>
          <w:lang w:val="zh-CN"/>
        </w:rPr>
        <w:t xml:space="preserve"> ofertele au fost depuse prin SIA “RSAP”</w:t>
      </w:r>
      <w:r>
        <w:rPr>
          <w:b/>
          <w:sz w:val="24"/>
          <w:szCs w:val="24"/>
          <w:highlight w:val="none"/>
          <w:lang w:val="zh-CN"/>
        </w:rPr>
        <w:t>.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450" w:hanging="45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Limba sau limbile în care trebuie redactate ofertele sau cererile de participare: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Limba de stat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____________________________________________</w:t>
      </w:r>
      <w:r>
        <w:rPr>
          <w:b/>
          <w:sz w:val="24"/>
          <w:szCs w:val="24"/>
          <w:highlight w:val="none"/>
          <w:lang w:val="zh-CN"/>
        </w:rPr>
        <w:t xml:space="preserve"> 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Respectivul contract se referă la un proiect și/sau program finanțat din fonduri ale Uniunii Europene: </w:t>
      </w:r>
      <w:r>
        <w:rPr>
          <w:rFonts w:hint="default"/>
          <w:b/>
          <w:sz w:val="24"/>
          <w:szCs w:val="24"/>
          <w:highlight w:val="none"/>
        </w:rPr>
        <w:t xml:space="preserve">  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Nu se aplică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</w:t>
      </w:r>
    </w:p>
    <w:p>
      <w:pPr>
        <w:pStyle w:val="14"/>
        <w:shd w:val="clear"/>
        <w:tabs>
          <w:tab w:val="right" w:pos="426"/>
        </w:tabs>
        <w:ind w:left="1980"/>
        <w:jc w:val="center"/>
        <w:rPr>
          <w:szCs w:val="24"/>
          <w:highlight w:val="none"/>
          <w:lang w:val="zh-CN"/>
        </w:rPr>
      </w:pPr>
      <w:r>
        <w:rPr>
          <w:szCs w:val="24"/>
          <w:highlight w:val="none"/>
          <w:lang w:val="zh-CN"/>
        </w:rPr>
        <w:t>(se specifică denumirea</w:t>
      </w:r>
      <w:r>
        <w:rPr>
          <w:sz w:val="24"/>
          <w:szCs w:val="24"/>
          <w:highlight w:val="none"/>
          <w:lang w:val="zh-CN"/>
        </w:rPr>
        <w:t xml:space="preserve"> </w:t>
      </w:r>
      <w:r>
        <w:rPr>
          <w:szCs w:val="24"/>
          <w:highlight w:val="none"/>
          <w:lang w:val="zh-CN"/>
        </w:rPr>
        <w:t>proiectului și/sau programului)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Denumirea și adresa organismului competent de soluționare a contestațiilor: </w:t>
      </w:r>
    </w:p>
    <w:p>
      <w:pPr>
        <w:shd w:val="clear"/>
        <w:tabs>
          <w:tab w:val="right" w:pos="426"/>
        </w:tabs>
        <w:ind w:left="450"/>
        <w:rPr>
          <w:b/>
          <w:i/>
          <w:sz w:val="24"/>
          <w:szCs w:val="24"/>
          <w:highlight w:val="none"/>
          <w:lang w:val="zh-CN"/>
        </w:rPr>
      </w:pPr>
      <w:r>
        <w:rPr>
          <w:b/>
          <w:i/>
          <w:sz w:val="24"/>
          <w:szCs w:val="24"/>
          <w:highlight w:val="none"/>
          <w:lang w:val="zh-CN"/>
        </w:rPr>
        <w:t>Agenția Națională pentru Soluționarea Contestațiilor</w:t>
      </w:r>
    </w:p>
    <w:p>
      <w:pPr>
        <w:shd w:val="clear"/>
        <w:tabs>
          <w:tab w:val="right" w:pos="426"/>
        </w:tabs>
        <w:ind w:left="450"/>
        <w:rPr>
          <w:b/>
          <w:i/>
          <w:sz w:val="24"/>
          <w:szCs w:val="24"/>
          <w:highlight w:val="none"/>
          <w:lang w:val="zh-CN"/>
        </w:rPr>
      </w:pPr>
      <w:r>
        <w:rPr>
          <w:b/>
          <w:i/>
          <w:sz w:val="24"/>
          <w:szCs w:val="24"/>
          <w:highlight w:val="none"/>
          <w:lang w:val="zh-CN"/>
        </w:rPr>
        <w:t>Adresa: mun. Chișinău, bd. Ștefan cel Mare și Sfânt nr.124 (et.4), MD 2001;</w:t>
      </w:r>
    </w:p>
    <w:p>
      <w:pPr>
        <w:shd w:val="clear"/>
        <w:tabs>
          <w:tab w:val="right" w:pos="426"/>
        </w:tabs>
        <w:ind w:left="450"/>
        <w:rPr>
          <w:b/>
          <w:i/>
          <w:sz w:val="24"/>
          <w:szCs w:val="24"/>
          <w:highlight w:val="none"/>
          <w:lang w:val="zh-CN"/>
        </w:rPr>
      </w:pPr>
      <w:r>
        <w:rPr>
          <w:b/>
          <w:i/>
          <w:sz w:val="24"/>
          <w:szCs w:val="24"/>
          <w:highlight w:val="none"/>
          <w:lang w:val="zh-CN"/>
        </w:rPr>
        <w:t>Tel/Fax/email:</w:t>
      </w:r>
      <w:r>
        <w:rPr>
          <w:b/>
          <w:i/>
          <w:color w:val="000000"/>
          <w:sz w:val="27"/>
          <w:szCs w:val="27"/>
          <w:highlight w:val="none"/>
          <w:shd w:val="clear" w:color="auto" w:fill="FFFFFF"/>
          <w:lang w:val="zh-CN"/>
        </w:rPr>
        <w:t xml:space="preserve"> </w:t>
      </w:r>
      <w:r>
        <w:rPr>
          <w:b/>
          <w:i/>
          <w:sz w:val="24"/>
          <w:szCs w:val="24"/>
          <w:highlight w:val="none"/>
          <w:lang w:val="zh-CN"/>
        </w:rPr>
        <w:t>022-820 652, 022 820-651, contestatii@ansc.md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highlight w:val="none"/>
          <w:shd w:val="clear" w:color="auto"/>
          <w:lang w:val="zh-CN"/>
        </w:rPr>
        <w:t>):_______________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Nu se aplică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În cazul achizițiilor periodice, calendarul estimat pentru publicarea anunțurilor viitoare</w:t>
      </w:r>
      <w:r>
        <w:rPr>
          <w:b/>
          <w:sz w:val="24"/>
          <w:szCs w:val="24"/>
          <w:highlight w:val="none"/>
          <w:shd w:val="clear" w:color="auto"/>
          <w:lang w:val="zh-CN"/>
        </w:rPr>
        <w:t>:_____________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Nu se aplică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highlight w:val="none"/>
          <w:shd w:val="clear" w:color="auto"/>
          <w:lang w:val="zh-CN"/>
        </w:rPr>
        <w:t>:</w:t>
      </w:r>
      <w:r>
        <w:rPr>
          <w:rFonts w:hint="default"/>
          <w:b/>
          <w:sz w:val="24"/>
          <w:szCs w:val="24"/>
          <w:highlight w:val="none"/>
          <w:shd w:val="clear" w:color="auto"/>
        </w:rPr>
        <w:t xml:space="preserve">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03.02.2023</w:t>
      </w:r>
      <w:r>
        <w:rPr>
          <w:b/>
          <w:sz w:val="24"/>
          <w:szCs w:val="24"/>
          <w:highlight w:val="none"/>
          <w:shd w:val="clear" w:color="auto"/>
          <w:lang w:val="zh-CN"/>
        </w:rPr>
        <w:t>____</w:t>
      </w:r>
      <w:r>
        <w:rPr>
          <w:rFonts w:hint="default"/>
          <w:b/>
          <w:sz w:val="24"/>
          <w:szCs w:val="24"/>
          <w:highlight w:val="none"/>
          <w:shd w:val="clear" w:color="auto"/>
        </w:rPr>
        <w:t>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Data transmiterii spre publicare a anunțului de participare</w:t>
      </w:r>
      <w:r>
        <w:rPr>
          <w:b/>
          <w:sz w:val="24"/>
          <w:szCs w:val="24"/>
          <w:highlight w:val="none"/>
          <w:shd w:val="clear" w:color="auto"/>
          <w:lang w:val="zh-CN"/>
        </w:rPr>
        <w:t>:_____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02.03.2023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În cadrul procedurii de achiziție publică/sectorială se va utiliza/accepta:</w:t>
      </w:r>
    </w:p>
    <w:tbl>
      <w:tblPr>
        <w:tblStyle w:val="9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9"/>
        <w:gridCol w:w="31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  <w:shd w:val="clear" w:color="auto" w:fill="E7E6E6" w:themeFill="background2"/>
          </w:tcPr>
          <w:p>
            <w:pPr>
              <w:shd w:val="clear"/>
              <w:tabs>
                <w:tab w:val="right" w:pos="426"/>
              </w:tabs>
              <w:rPr>
                <w:b/>
                <w:sz w:val="24"/>
                <w:szCs w:val="24"/>
                <w:highlight w:val="none"/>
                <w:lang w:val="zh-CN"/>
              </w:rPr>
            </w:pPr>
            <w:r>
              <w:rPr>
                <w:b/>
                <w:sz w:val="24"/>
                <w:szCs w:val="24"/>
                <w:highlight w:val="none"/>
                <w:lang w:val="zh-CN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 w:themeFill="background2"/>
          </w:tcPr>
          <w:p>
            <w:pPr>
              <w:shd w:val="clear"/>
              <w:tabs>
                <w:tab w:val="right" w:pos="426"/>
              </w:tabs>
              <w:rPr>
                <w:b/>
                <w:sz w:val="24"/>
                <w:szCs w:val="24"/>
                <w:highlight w:val="none"/>
                <w:lang w:val="zh-CN"/>
              </w:rPr>
            </w:pPr>
            <w:r>
              <w:rPr>
                <w:b/>
                <w:sz w:val="24"/>
                <w:szCs w:val="24"/>
                <w:highlight w:val="none"/>
                <w:lang w:val="zh-CN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4"/>
                <w:szCs w:val="24"/>
                <w:highlight w:val="none"/>
                <w:lang w:val="zh-CN"/>
              </w:rPr>
            </w:pPr>
            <w:r>
              <w:rPr>
                <w:sz w:val="24"/>
                <w:szCs w:val="24"/>
                <w:highlight w:val="none"/>
                <w:lang w:val="zh-CN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hint="default"/>
                <w:sz w:val="24"/>
                <w:szCs w:val="24"/>
                <w:highlight w:val="none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4"/>
                <w:szCs w:val="24"/>
                <w:highlight w:val="none"/>
                <w:lang w:val="zh-CN"/>
              </w:rPr>
            </w:pPr>
            <w:r>
              <w:rPr>
                <w:sz w:val="24"/>
                <w:szCs w:val="24"/>
                <w:highlight w:val="none"/>
                <w:lang w:val="zh-CN"/>
              </w:rPr>
              <w:t>sistemul de comenzi electronice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hint="default"/>
                <w:sz w:val="24"/>
                <w:szCs w:val="24"/>
                <w:highlight w:val="none"/>
              </w:rPr>
              <w:t>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4"/>
                <w:szCs w:val="24"/>
                <w:highlight w:val="none"/>
                <w:lang w:val="zh-CN"/>
              </w:rPr>
            </w:pPr>
            <w:r>
              <w:rPr>
                <w:sz w:val="24"/>
                <w:szCs w:val="24"/>
                <w:highlight w:val="none"/>
                <w:lang w:val="zh-CN"/>
              </w:rPr>
              <w:t>facturarea electronică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hint="default"/>
                <w:sz w:val="24"/>
                <w:szCs w:val="24"/>
                <w:highlight w:val="none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4"/>
                <w:szCs w:val="24"/>
                <w:highlight w:val="none"/>
                <w:lang w:val="zh-CN"/>
              </w:rPr>
            </w:pPr>
            <w:r>
              <w:rPr>
                <w:sz w:val="24"/>
                <w:szCs w:val="24"/>
                <w:highlight w:val="none"/>
                <w:lang w:val="zh-CN"/>
              </w:rPr>
              <w:t>plățile electronice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hint="default"/>
                <w:sz w:val="24"/>
                <w:szCs w:val="24"/>
                <w:highlight w:val="none"/>
              </w:rPr>
              <w:t>Da</w:t>
            </w:r>
          </w:p>
        </w:tc>
      </w:tr>
    </w:tbl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Nu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</w:t>
      </w:r>
    </w:p>
    <w:p>
      <w:pPr>
        <w:pStyle w:val="14"/>
        <w:shd w:val="clear"/>
        <w:tabs>
          <w:tab w:val="right" w:pos="426"/>
        </w:tabs>
        <w:ind w:left="3960"/>
        <w:jc w:val="center"/>
        <w:rPr>
          <w:szCs w:val="24"/>
          <w:highlight w:val="none"/>
          <w:lang w:val="zh-CN"/>
        </w:rPr>
      </w:pPr>
      <w:r>
        <w:rPr>
          <w:szCs w:val="24"/>
          <w:highlight w:val="none"/>
          <w:lang w:val="zh-CN"/>
        </w:rPr>
        <w:t>(se specifică da sau nu)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ro-RO"/>
        </w:rPr>
        <w:t xml:space="preserve">Codul NUTS al locului principal de executare a lucrărilor, în cazul lucrărilor, ori codul NUTS al locului principal de furnizare sau de prestare, în cazul bunurilor și serviciilor </w:t>
      </w:r>
      <w:r>
        <w:rPr>
          <w:i/>
          <w:sz w:val="24"/>
          <w:szCs w:val="24"/>
          <w:highlight w:val="none"/>
          <w:lang w:val="ro-RO"/>
        </w:rPr>
        <w:t>(se indică pentru achiziții sectoriale)</w:t>
      </w:r>
      <w:r>
        <w:rPr>
          <w:b/>
          <w:sz w:val="24"/>
          <w:szCs w:val="24"/>
          <w:highlight w:val="none"/>
          <w:lang w:val="ro-RO"/>
        </w:rPr>
        <w:t>:</w:t>
      </w:r>
      <w:r>
        <w:rPr>
          <w:sz w:val="24"/>
          <w:szCs w:val="24"/>
          <w:highlight w:val="none"/>
          <w:lang w:val="ro-RO"/>
        </w:rPr>
        <w:t xml:space="preserve"> _______________________________________________________________________________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>Informația privind garanțiile solicitate: _</w:t>
      </w:r>
      <w:r>
        <w:rPr>
          <w:rFonts w:hint="default"/>
          <w:b w:val="0"/>
          <w:bCs/>
          <w:sz w:val="24"/>
          <w:szCs w:val="24"/>
          <w:highlight w:val="none"/>
          <w:u w:val="single"/>
        </w:rPr>
        <w:t>Garanția de bună execuție de 15% la semnarea contractului</w:t>
      </w:r>
      <w:r>
        <w:rPr>
          <w:b/>
          <w:sz w:val="24"/>
          <w:szCs w:val="24"/>
          <w:highlight w:val="none"/>
          <w:lang w:val="zh-CN"/>
        </w:rPr>
        <w:t>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none"/>
          <w:lang w:val="zh-CN"/>
        </w:rPr>
      </w:pPr>
      <w:r>
        <w:rPr>
          <w:b/>
          <w:sz w:val="24"/>
          <w:szCs w:val="24"/>
          <w:highlight w:val="none"/>
          <w:lang w:val="zh-CN"/>
        </w:rPr>
        <w:t xml:space="preserve">Alte informații relevante: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</w:t>
      </w:r>
      <w:r>
        <w:rPr>
          <w:b w:val="0"/>
          <w:bCs/>
          <w:sz w:val="24"/>
          <w:szCs w:val="24"/>
          <w:highlight w:val="none"/>
          <w:shd w:val="clear" w:color="auto"/>
          <w:lang w:val="zh-CN"/>
        </w:rPr>
        <w:t>_</w:t>
      </w:r>
      <w:r>
        <w:rPr>
          <w:b w:val="0"/>
          <w:bCs/>
          <w:sz w:val="24"/>
          <w:szCs w:val="24"/>
          <w:highlight w:val="none"/>
          <w:u w:val="single"/>
          <w:shd w:val="clear" w:color="auto"/>
          <w:lang w:val="zh-CN"/>
        </w:rPr>
        <w:t>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-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___________________________________</w:t>
      </w:r>
    </w:p>
    <w:p>
      <w:pPr>
        <w:shd w:val="clear"/>
        <w:spacing w:before="120" w:after="120"/>
        <w:rPr>
          <w:b/>
          <w:sz w:val="24"/>
          <w:szCs w:val="24"/>
          <w:highlight w:val="none"/>
          <w:lang w:val="zh-CN"/>
        </w:rPr>
      </w:pPr>
    </w:p>
    <w:p>
      <w:pPr>
        <w:shd w:val="clear"/>
        <w:spacing w:before="120" w:after="120"/>
        <w:rPr>
          <w:b/>
          <w:sz w:val="24"/>
          <w:szCs w:val="24"/>
          <w:highlight w:val="none"/>
          <w:lang w:val="zh-CN"/>
        </w:rPr>
      </w:pPr>
    </w:p>
    <w:p>
      <w:pPr>
        <w:shd w:val="clear"/>
        <w:spacing w:before="120" w:after="120"/>
        <w:rPr>
          <w:rFonts w:hint="default"/>
          <w:b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  <w:lang w:val="zh-CN"/>
        </w:rPr>
        <w:t xml:space="preserve">Conducătorul grupului de lucru:  </w:t>
      </w:r>
      <w:r>
        <w:rPr>
          <w:rFonts w:hint="default"/>
          <w:b/>
          <w:sz w:val="24"/>
          <w:szCs w:val="24"/>
          <w:highlight w:val="none"/>
        </w:rPr>
        <w:t xml:space="preserve">       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</w:t>
      </w:r>
      <w:r>
        <w:rPr>
          <w:b/>
          <w:sz w:val="24"/>
          <w:szCs w:val="24"/>
          <w:highlight w:val="none"/>
          <w:lang w:val="zh-CN"/>
        </w:rPr>
        <w:t xml:space="preserve">  </w:t>
      </w:r>
      <w:r>
        <w:rPr>
          <w:rFonts w:hint="default"/>
          <w:b/>
          <w:sz w:val="24"/>
          <w:szCs w:val="24"/>
          <w:highlight w:val="none"/>
        </w:rPr>
        <w:t xml:space="preserve">  </w:t>
      </w:r>
      <w:r>
        <w:rPr>
          <w:b/>
          <w:sz w:val="24"/>
          <w:szCs w:val="24"/>
          <w:highlight w:val="none"/>
          <w:lang w:val="zh-CN"/>
        </w:rPr>
        <w:t xml:space="preserve">  </w:t>
      </w:r>
      <w:r>
        <w:rPr>
          <w:rFonts w:hint="default"/>
          <w:b/>
          <w:sz w:val="24"/>
          <w:szCs w:val="24"/>
          <w:highlight w:val="none"/>
        </w:rPr>
        <w:t xml:space="preserve">    </w:t>
      </w:r>
      <w:r>
        <w:rPr>
          <w:b/>
          <w:sz w:val="24"/>
          <w:szCs w:val="24"/>
          <w:highlight w:val="none"/>
          <w:lang w:val="zh-CN"/>
        </w:rPr>
        <w:t xml:space="preserve">         </w:t>
      </w:r>
      <w:r>
        <w:rPr>
          <w:rFonts w:hint="default"/>
          <w:b/>
          <w:sz w:val="24"/>
          <w:szCs w:val="24"/>
          <w:highlight w:val="none"/>
        </w:rPr>
        <w:t>Alexandr Carabulea</w:t>
      </w:r>
    </w:p>
    <w:p>
      <w:pPr>
        <w:shd w:val="clear"/>
        <w:spacing w:before="120" w:after="120"/>
        <w:rPr>
          <w:rFonts w:hint="default"/>
          <w:b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b w:val="0"/>
          <w:bCs/>
          <w:i/>
          <w:iCs/>
          <w:sz w:val="20"/>
          <w:szCs w:val="20"/>
          <w:highlight w:val="none"/>
        </w:rPr>
      </w:pPr>
      <w:r>
        <w:rPr>
          <w:rFonts w:hint="default"/>
          <w:b w:val="0"/>
          <w:bCs/>
          <w:i/>
          <w:iCs/>
          <w:sz w:val="20"/>
          <w:szCs w:val="20"/>
          <w:highlight w:val="none"/>
        </w:rPr>
        <w:t>Ex. Ana Bulat, Agentă achiziții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b w:val="0"/>
          <w:bCs/>
          <w:i/>
          <w:iCs/>
          <w:sz w:val="20"/>
          <w:szCs w:val="20"/>
          <w:highlight w:val="none"/>
        </w:rPr>
      </w:pPr>
      <w:r>
        <w:rPr>
          <w:rFonts w:hint="default"/>
          <w:b w:val="0"/>
          <w:bCs/>
          <w:i/>
          <w:iCs/>
          <w:sz w:val="20"/>
          <w:szCs w:val="20"/>
          <w:highlight w:val="none"/>
        </w:rPr>
        <w:t>0231 53361 / ana.bulat@cet-nord.md</w:t>
      </w:r>
    </w:p>
    <w:sectPr>
      <w:footerReference r:id="rId5" w:type="default"/>
      <w:pgSz w:w="11906" w:h="16838"/>
      <w:pgMar w:top="567" w:right="567" w:bottom="56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BCA22E"/>
    <w:multiLevelType w:val="singleLevel"/>
    <w:tmpl w:val="37BCA22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3990101A"/>
    <w:multiLevelType w:val="multilevel"/>
    <w:tmpl w:val="3990101A"/>
    <w:lvl w:ilvl="0" w:tentative="0">
      <w:start w:val="5"/>
      <w:numFmt w:val="bullet"/>
      <w:lvlText w:val="-"/>
      <w:lvlJc w:val="left"/>
      <w:pPr>
        <w:ind w:left="648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36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08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0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52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24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96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68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08" w:hanging="360"/>
      </w:pPr>
      <w:rPr>
        <w:rFonts w:hint="default" w:ascii="Wingdings" w:hAnsi="Wingdings"/>
      </w:rPr>
    </w:lvl>
  </w:abstractNum>
  <w:abstractNum w:abstractNumId="2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0AD3"/>
    <w:rsid w:val="000600A6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C380A"/>
    <w:rsid w:val="002D66C0"/>
    <w:rsid w:val="002E606A"/>
    <w:rsid w:val="002F3A70"/>
    <w:rsid w:val="00305BE2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03596"/>
    <w:rsid w:val="007201DC"/>
    <w:rsid w:val="0072330A"/>
    <w:rsid w:val="0074622B"/>
    <w:rsid w:val="00794E2A"/>
    <w:rsid w:val="00796324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A19BE"/>
    <w:rsid w:val="00BC3DE8"/>
    <w:rsid w:val="00BD4B32"/>
    <w:rsid w:val="00C03320"/>
    <w:rsid w:val="00C22322"/>
    <w:rsid w:val="00C55B3E"/>
    <w:rsid w:val="00D06E18"/>
    <w:rsid w:val="00D10289"/>
    <w:rsid w:val="00D17B85"/>
    <w:rsid w:val="00D459A3"/>
    <w:rsid w:val="00D85B8C"/>
    <w:rsid w:val="00DB2FA4"/>
    <w:rsid w:val="00DD6A5F"/>
    <w:rsid w:val="00DE22D2"/>
    <w:rsid w:val="00E3120B"/>
    <w:rsid w:val="00E35526"/>
    <w:rsid w:val="00E55E71"/>
    <w:rsid w:val="00ED4D8D"/>
    <w:rsid w:val="00EF7226"/>
    <w:rsid w:val="00F1644B"/>
    <w:rsid w:val="00F33CA7"/>
    <w:rsid w:val="00F37E25"/>
    <w:rsid w:val="00F37FB9"/>
    <w:rsid w:val="00F424E8"/>
    <w:rsid w:val="00F53932"/>
    <w:rsid w:val="00F539AB"/>
    <w:rsid w:val="00F91604"/>
    <w:rsid w:val="00FB099F"/>
    <w:rsid w:val="00FD69A6"/>
    <w:rsid w:val="036007D7"/>
    <w:rsid w:val="03A701FE"/>
    <w:rsid w:val="09FD4D50"/>
    <w:rsid w:val="0C5B26BF"/>
    <w:rsid w:val="0CA108A0"/>
    <w:rsid w:val="10B1170D"/>
    <w:rsid w:val="1904356C"/>
    <w:rsid w:val="273C101F"/>
    <w:rsid w:val="274D0951"/>
    <w:rsid w:val="40AD7236"/>
    <w:rsid w:val="472E113B"/>
    <w:rsid w:val="5A57205F"/>
    <w:rsid w:val="60860907"/>
    <w:rsid w:val="60997EB4"/>
    <w:rsid w:val="60C61358"/>
    <w:rsid w:val="66C52CF3"/>
    <w:rsid w:val="6CDA4AAA"/>
    <w:rsid w:val="70247132"/>
    <w:rsid w:val="73746D82"/>
    <w:rsid w:val="77C323AB"/>
    <w:rsid w:val="782761A9"/>
    <w:rsid w:val="78831F86"/>
    <w:rsid w:val="7980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1"/>
    <w:basedOn w:val="3"/>
    <w:next w:val="1"/>
    <w:link w:val="10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semiHidden/>
    <w:unhideWhenUsed/>
    <w:qFormat/>
    <w:uiPriority w:val="99"/>
    <w:pPr>
      <w:spacing w:after="120"/>
    </w:p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  <w:style w:type="paragraph" w:styleId="7">
    <w:name w:val="Balloon Text"/>
    <w:basedOn w:val="1"/>
    <w:link w:val="13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11"/>
    <w:qFormat/>
    <w:uiPriority w:val="0"/>
    <w:pPr>
      <w:tabs>
        <w:tab w:val="center" w:pos="4677"/>
        <w:tab w:val="right" w:pos="9355"/>
      </w:tabs>
    </w:pPr>
  </w:style>
  <w:style w:type="table" w:styleId="9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Heading 1 Char"/>
    <w:basedOn w:val="4"/>
    <w:link w:val="2"/>
    <w:qFormat/>
    <w:uiPriority w:val="0"/>
    <w:rPr>
      <w:rFonts w:ascii="Times New Roman" w:hAnsi="Times New Roman" w:eastAsia="Times New Roman" w:cs="Times New Roman"/>
      <w:b/>
      <w:sz w:val="32"/>
      <w:szCs w:val="32"/>
      <w:lang w:eastAsia="ru-RU"/>
    </w:rPr>
  </w:style>
  <w:style w:type="character" w:customStyle="1" w:styleId="11">
    <w:name w:val="Footer Char"/>
    <w:basedOn w:val="4"/>
    <w:link w:val="8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2">
    <w:name w:val="Body Text Char"/>
    <w:basedOn w:val="4"/>
    <w:link w:val="3"/>
    <w:semiHidden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3">
    <w:name w:val="Balloon Text Char"/>
    <w:basedOn w:val="4"/>
    <w:link w:val="7"/>
    <w:semiHidden/>
    <w:qFormat/>
    <w:uiPriority w:val="99"/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styleId="15">
    <w:name w:val="Placeholder Text"/>
    <w:basedOn w:val="4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AAP</Company>
  <Pages>3</Pages>
  <Words>1230</Words>
  <Characters>7014</Characters>
  <Lines>58</Lines>
  <Paragraphs>16</Paragraphs>
  <TotalTime>0</TotalTime>
  <ScaleCrop>false</ScaleCrop>
  <LinksUpToDate>false</LinksUpToDate>
  <CharactersWithSpaces>8228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2021-06-23T09:47:00Z</dcterms:created>
  <dc:creator>Computer</dc:creator>
  <cp:lastModifiedBy>WPS_1662711387</cp:lastModifiedBy>
  <cp:lastPrinted>2022-08-08T12:21:00Z</cp:lastPrinted>
  <dcterms:modified xsi:type="dcterms:W3CDTF">2023-03-02T13:57:03Z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79FCC2CD608B4AE3A2566F8D71046DE7</vt:lpwstr>
  </property>
</Properties>
</file>