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18" w:rsidRPr="00250718" w:rsidRDefault="00250718" w:rsidP="00250718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lang w:val="ro-RO"/>
        </w:rPr>
      </w:pPr>
      <w:r w:rsidRPr="00250718">
        <w:rPr>
          <w:rFonts w:ascii="Times New Roman" w:eastAsia="Calibri" w:hAnsi="Times New Roman" w:cs="Times New Roman"/>
          <w:b/>
          <w:sz w:val="28"/>
          <w:lang w:val="ro-RO"/>
        </w:rPr>
        <w:t>CAIET DE SARCINI</w:t>
      </w:r>
    </w:p>
    <w:p w:rsidR="00250718" w:rsidRPr="00250718" w:rsidRDefault="00250718" w:rsidP="00250718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250718" w:rsidRPr="00250718" w:rsidRDefault="00250718" w:rsidP="00250718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25071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Obiectul: </w:t>
      </w:r>
      <w:r w:rsidRPr="0025071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Echipament pentru baza de date a laboratorului ADN al Centrului tehnico-criminalistic și expertize judiciare al IGP</w:t>
      </w:r>
    </w:p>
    <w:p w:rsidR="00250718" w:rsidRPr="00250718" w:rsidRDefault="00250718" w:rsidP="00250718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25071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Pr="0025071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Inspectoratul General al Poliției</w:t>
      </w:r>
    </w:p>
    <w:p w:rsidR="00250718" w:rsidRPr="00250718" w:rsidRDefault="00250718" w:rsidP="00250718">
      <w:pPr>
        <w:spacing w:after="0" w:line="259" w:lineRule="auto"/>
        <w:rPr>
          <w:rFonts w:ascii="Times New Roman" w:eastAsia="Calibri" w:hAnsi="Times New Roman" w:cs="Times New Roman"/>
          <w:lang w:val="ro-RO"/>
        </w:rPr>
      </w:pPr>
    </w:p>
    <w:tbl>
      <w:tblPr>
        <w:tblStyle w:val="a3"/>
        <w:tblW w:w="14048" w:type="dxa"/>
        <w:jc w:val="center"/>
        <w:tblInd w:w="-885" w:type="dxa"/>
        <w:tblLook w:val="04A0" w:firstRow="1" w:lastRow="0" w:firstColumn="1" w:lastColumn="0" w:noHBand="0" w:noVBand="1"/>
      </w:tblPr>
      <w:tblGrid>
        <w:gridCol w:w="696"/>
        <w:gridCol w:w="1682"/>
        <w:gridCol w:w="10253"/>
        <w:gridCol w:w="1417"/>
      </w:tblGrid>
      <w:tr w:rsidR="00250718" w:rsidRPr="00250718" w:rsidTr="008F67D5">
        <w:trPr>
          <w:trHeight w:val="60"/>
          <w:jc w:val="center"/>
        </w:trPr>
        <w:tc>
          <w:tcPr>
            <w:tcW w:w="696" w:type="dxa"/>
            <w:shd w:val="clear" w:color="auto" w:fill="DBE5F1" w:themeFill="accent1" w:themeFillTint="33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Nr. lot</w:t>
            </w:r>
          </w:p>
        </w:tc>
        <w:tc>
          <w:tcPr>
            <w:tcW w:w="1682" w:type="dxa"/>
            <w:shd w:val="clear" w:color="auto" w:fill="DBE5F1" w:themeFill="accent1" w:themeFillTint="33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Denumirea bunului</w:t>
            </w:r>
          </w:p>
        </w:tc>
        <w:tc>
          <w:tcPr>
            <w:tcW w:w="10253" w:type="dxa"/>
            <w:shd w:val="clear" w:color="auto" w:fill="DBE5F1" w:themeFill="accent1" w:themeFillTint="33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Cerințe tehnice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Cantitatea</w:t>
            </w:r>
          </w:p>
        </w:tc>
      </w:tr>
      <w:tr w:rsidR="00250718" w:rsidRPr="00250718" w:rsidTr="008F67D5">
        <w:trPr>
          <w:jc w:val="center"/>
        </w:trPr>
        <w:tc>
          <w:tcPr>
            <w:tcW w:w="696" w:type="dxa"/>
            <w:vAlign w:val="center"/>
          </w:tcPr>
          <w:p w:rsidR="00250718" w:rsidRPr="00250718" w:rsidRDefault="00250718" w:rsidP="00250718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82" w:type="dxa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Amplificator</w:t>
            </w:r>
          </w:p>
        </w:tc>
        <w:tc>
          <w:tcPr>
            <w:tcW w:w="10253" w:type="dxa"/>
            <w:vAlign w:val="center"/>
          </w:tcPr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Dispozitiv pentru efectuarea reacției de polimerizare în lanț(PCR)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Modulul de reacție pentru 96 (8x12) probe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Posibilitatea de a înlocuire a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blocului termic de 96 godeuri cu alt bloc, de o altă capacitate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Încălzire și răcire prin elemente de tip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Peltier</w:t>
            </w:r>
            <w:proofErr w:type="spellEnd"/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Gama de volume a amestecului de reacție în eprubete pentru realizarea reacției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polimerazei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nu mai mic de 10 - 80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μl</w:t>
            </w:r>
            <w:proofErr w:type="spellEnd"/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Domeniul de temperatură al fiecărui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termobloc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nu este mai mic de 4 - 100 ° С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Uniformitatea temperaturii pentru fiecare dintre blocurile termice la 95 ° С, nu mai mult de ± 0,5 ° С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Încălzirea capacului modulului de reacție la o temperatură de cel puțin 105 ° С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Dispozitivul trebuie să aibă o validare oficială pentru kituri pentru studiul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locusurilor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STR, validare care trebuie să reflectată în instrucțiunile (documentația tehnică) pentru kituri 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Garanție cel puțin 24 de luni după punerea în funcțiune a dispozitivului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Certificat de validare a instrumentului pentru scopuri criminalistice( HID -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testing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Specificații tehnice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ce vor fi propuse de ofertant, obligatoriu trebuie să conțină referințe exacte la pagina de prospect/manual și/sau numărul de product/obiect din catalog, care confirmă specificația tehnică propusă.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Obligatoriu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să fiu anexate standarde ISO pentru producătorul utilajului și certificate de validare în domeniu HID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pentru echipamentul propus.</w:t>
            </w:r>
          </w:p>
        </w:tc>
        <w:tc>
          <w:tcPr>
            <w:tcW w:w="1417" w:type="dxa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lang w:val="ro-RO"/>
              </w:rPr>
              <w:t>1 buc.</w:t>
            </w:r>
          </w:p>
        </w:tc>
      </w:tr>
      <w:tr w:rsidR="00250718" w:rsidRPr="00250718" w:rsidTr="008F67D5">
        <w:trPr>
          <w:jc w:val="center"/>
        </w:trPr>
        <w:tc>
          <w:tcPr>
            <w:tcW w:w="696" w:type="dxa"/>
            <w:vAlign w:val="center"/>
          </w:tcPr>
          <w:p w:rsidR="00250718" w:rsidRPr="00250718" w:rsidRDefault="00250718" w:rsidP="00250718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82" w:type="dxa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Analizator genetic</w:t>
            </w:r>
          </w:p>
        </w:tc>
        <w:tc>
          <w:tcPr>
            <w:tcW w:w="10253" w:type="dxa"/>
            <w:vAlign w:val="center"/>
          </w:tcPr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Analizor genetic pentru identificarea ADN-ului uman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Analizor genetic pentru identificarea ADN-ului unei persoane cu stație de lucru(PC) si soft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Efectuarea analizei fragmentelor și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secvențierea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de tip Sanger a moleculelor de ADN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Sursă de excitație fluorescentă - laser în stare solidă(solid state), sau analog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Sistem de detectare a semnalului – camera de tip CCD, sau analog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Posibilitatea de analiza simultană a prezenței nu mai puțin de 6 coloranți fluorescenți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Numărul de capilare fără acoperire interioară cel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putin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8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Numărul de poziții pentru plăcile cu 96 de godeuri de 0,2ml -  nu mai puțin de 2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Funcționare automată în timpul unei analize(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run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) (umplere capilară,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preelectroforeză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injecție de probe, electroforeză de denaturare și colectare de date) pentru un număr programat de probe.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Recomandări(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wizards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în software pentru întreținerea dispozitivului (spălarea pompei, reînnoirea polimerului, îndepărtarea bulelor din pompă, conservarea dispozitivului, schimbarea tipului de polimer)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Posibilitatea de a adăuga o placă în timpul unei analize(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run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prin funcția „PAUZĂ”.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Domeniu dinamic extins, de cel puțin 60.000 RFU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Reducerea numărului de voalări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pull-up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utilizând calibrarea spectrală primară și corecția spectrală secundară, luând în considerare caracteristicile fiecărei injecții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Stație(calculator) de lucru pentru controlul instrumentului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Livrat cu kit de instalare, care să conțină toate cele necesare pentru instalare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prezentatrea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descrierii detaliate)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Sistem de analiză(software) a datelor„brute”(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raw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data) pentru analiză a fragmentelor de molecule de AND cu cel puțin 5 licențe de utilizator (clienți), cu posibilitatea de a lucra simultan în rețea, cu mărirea numărului de licențe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pîna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la 10 în total.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 Lucrul direct cu fișierele .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hid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nu necesita convertor suplimentar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2. Bază de date pentru stocarea proiectelor(testărilor) și setărilor necesare analizei și interpretării rezultatelor.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3. Determinarea calității standardului dimensional intern în probe și prezența scării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alelice</w:t>
            </w:r>
            <w:proofErr w:type="spellEnd"/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4. Determinarea calității scării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alelice</w:t>
            </w:r>
            <w:proofErr w:type="spellEnd"/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5. Determinarea automată a mărimii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bp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fragmentelor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6.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Genotiparea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automată a probelor prin compararea dimensiunilor fragmentelor cu scara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alelică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7. Vizualizarea rezultatelor obținute sub formă de tabele și grafice.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8. Determinarea calității controalelor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9. Determinarea calității probelor la nivelul markerului și, în general, al probei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10. Crearea unei baze de date interne de genotipuri de referință atât prin import din proiect(experiment), cât și sub forma unui fișier text.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11. Compararea genotipurilor probelor într-un proiect cu o bază de date internă de referință, cu capacitatea de a exporta rezultatele obținute pentru fiecare probă separat.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12. Indicarea markerului cu genotip parțial pe grafic.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13. Lucrul cu „date brute”(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raw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data) într-un interval dinamic extins de cel puțin 60.000 RFU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14. Stație de lucru(calculator)</w:t>
            </w:r>
            <w:r w:rsidR="0043470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– compatibil conform recomandărilor producătorului.</w:t>
            </w:r>
            <w:bookmarkStart w:id="0" w:name="_GoBack"/>
            <w:bookmarkEnd w:id="0"/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Dispozitivul trebuie să aibă o validare oficială pentru kituri pentru studiul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locusurilor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STR, validare care trebuie să reflectată în instrucțiunile (documentația tehnică) pentru kituri 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Garanție cel puțin 24 de luni după punerea în funcțiune a dispozitivului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Certificate de validare a instrumentului(analizorului genetic) și software-ului pentru scopuri criminalistice( HID -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testing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Specificații tehnice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ce vor fi propuse de ofertant, obligatoriu trebuie să conțină referințe exacte la pagina de prospect/manual și/sau numărul de product/obiect din catalog, care confirmă specificația tehnică propusă.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Obligatoriu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să fiu anexate standarde ISO pentru producătorul utilajului și certificate de validare în domeniu HID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pentru echipamentul propus.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Specificații tehnice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ce vor fi propuse de ofertant, obligatoriu trebuie să conțină referințe exacte la pagina de prospect/manual și/sau numărul de product/obiect din catalog, care confirmă specificația tehnică propusă.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Obligatoriu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să fiu anexate standarde ISO pentru producătorul utilajului și certificate de validare în domeniu HID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pentru echipamentul propus.</w:t>
            </w:r>
          </w:p>
        </w:tc>
        <w:tc>
          <w:tcPr>
            <w:tcW w:w="1417" w:type="dxa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lang w:val="ro-RO"/>
              </w:rPr>
              <w:lastRenderedPageBreak/>
              <w:t>1 buc.</w:t>
            </w:r>
          </w:p>
        </w:tc>
      </w:tr>
      <w:tr w:rsidR="00250718" w:rsidRPr="00250718" w:rsidTr="008F67D5">
        <w:trPr>
          <w:jc w:val="center"/>
        </w:trPr>
        <w:tc>
          <w:tcPr>
            <w:tcW w:w="696" w:type="dxa"/>
            <w:vAlign w:val="center"/>
          </w:tcPr>
          <w:p w:rsidR="00250718" w:rsidRPr="00250718" w:rsidRDefault="00250718" w:rsidP="00250718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1682" w:type="dxa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proofErr w:type="spellStart"/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>Puncher</w:t>
            </w:r>
            <w:proofErr w:type="spellEnd"/>
            <w:r w:rsidRPr="00250718">
              <w:rPr>
                <w:rFonts w:ascii="Times New Roman" w:eastAsia="Calibri" w:hAnsi="Times New Roman" w:cs="Times New Roman"/>
                <w:b/>
                <w:lang w:val="ro-RO"/>
              </w:rPr>
              <w:t xml:space="preserve"> automat</w:t>
            </w:r>
          </w:p>
        </w:tc>
        <w:tc>
          <w:tcPr>
            <w:tcW w:w="10253" w:type="dxa"/>
            <w:vAlign w:val="center"/>
          </w:tcPr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shd w:val="clear" w:color="auto" w:fill="FFFFFF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 xml:space="preserve">Dispozitiv </w:t>
            </w:r>
            <w:proofErr w:type="spellStart"/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Puncher</w:t>
            </w:r>
            <w:proofErr w:type="spellEnd"/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 xml:space="preserve"> - </w:t>
            </w:r>
            <w:proofErr w:type="spellStart"/>
            <w:r w:rsidRPr="00250718">
              <w:rPr>
                <w:rFonts w:ascii="Times New Roman" w:eastAsia="Calibri" w:hAnsi="Times New Roman" w:cs="Times New Roman"/>
                <w:b/>
                <w:bCs/>
                <w:spacing w:val="15"/>
                <w:sz w:val="20"/>
                <w:szCs w:val="20"/>
                <w:lang w:val="ro-RO"/>
              </w:rPr>
              <w:t>Card</w:t>
            </w:r>
            <w:proofErr w:type="spellEnd"/>
            <w:r w:rsidRPr="00250718">
              <w:rPr>
                <w:rFonts w:ascii="Times New Roman" w:eastAsia="Calibri" w:hAnsi="Times New Roman" w:cs="Times New Roman"/>
                <w:b/>
                <w:bCs/>
                <w:spacing w:val="15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b/>
                <w:bCs/>
                <w:spacing w:val="15"/>
                <w:sz w:val="20"/>
                <w:szCs w:val="20"/>
                <w:lang w:val="ro-RO"/>
              </w:rPr>
              <w:t>Processing</w:t>
            </w:r>
            <w:proofErr w:type="spellEnd"/>
            <w:r w:rsidRPr="00250718">
              <w:rPr>
                <w:rFonts w:ascii="Times New Roman" w:eastAsia="Calibri" w:hAnsi="Times New Roman" w:cs="Times New Roman"/>
                <w:b/>
                <w:bCs/>
                <w:spacing w:val="15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b/>
                <w:bCs/>
                <w:spacing w:val="15"/>
                <w:sz w:val="20"/>
                <w:szCs w:val="20"/>
                <w:lang w:val="ro-RO"/>
              </w:rPr>
              <w:t>Automation</w:t>
            </w:r>
            <w:proofErr w:type="spellEnd"/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Pentru plăcile cu 96 de godeuri;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Acceptarea tuturor formatelor de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carduri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 (hârtie de filtru,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carduri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 FTA sau analog sau fără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cardu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);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Posibilitatea de reprocesare a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cardurilor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 deja perforate;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Tipuri de eșantioane acceptate – probe de salivă și de sânge colectate pe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carduri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de tip FTA sau echivalent;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Dimensiuni de perforare - 1.2mm, 2.0mm, 3.0mm și 4.0mm;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Cameră de control a prezenței eșantionului;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Scanner de coduri de bare de pe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cardurile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eșantion;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Compatibil cu sistemul LIMS;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Permite exportarea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fișierilor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în format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txt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sau echivalent, compatibile u analizator genetic;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Dispune de ionizator care elimină sarcina statică și sistem de vidare pentru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îndepartarea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resturilor din perforator.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Garanție minim 24 luni din momentul instalării cu deservirea echipamentului pe perioada de garanție inclusă în preț.</w:t>
            </w:r>
          </w:p>
          <w:p w:rsidR="00250718" w:rsidRPr="00250718" w:rsidRDefault="00250718" w:rsidP="00250718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Certificate de validare a instrumentului și software-ului pentru scopuri criminalistice (HID -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testing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Specificații tehnice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, ce vor fi propuse de ofertant, obligatoriu trebuie să conțină referințe exacte la pagina de prospect/manual și/sau numărul de product/obiect din catalog, care confirmă specificația tehnică propusă.</w:t>
            </w:r>
          </w:p>
          <w:p w:rsidR="00250718" w:rsidRPr="00250718" w:rsidRDefault="00250718" w:rsidP="00250718">
            <w:pPr>
              <w:spacing w:line="25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Obligatoriu</w:t>
            </w:r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să fiu anexate standarde ISO pentru producătorul utilajului și certificate de validare în domeniu HID (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Human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Identification</w:t>
            </w:r>
            <w:proofErr w:type="spellEnd"/>
            <w:r w:rsidRPr="0025071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) pentru echipamentul propus.</w:t>
            </w:r>
          </w:p>
        </w:tc>
        <w:tc>
          <w:tcPr>
            <w:tcW w:w="1417" w:type="dxa"/>
            <w:vAlign w:val="center"/>
          </w:tcPr>
          <w:p w:rsidR="00250718" w:rsidRPr="00250718" w:rsidRDefault="00250718" w:rsidP="00250718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50718">
              <w:rPr>
                <w:rFonts w:ascii="Times New Roman" w:eastAsia="Calibri" w:hAnsi="Times New Roman" w:cs="Times New Roman"/>
                <w:lang w:val="ro-RO"/>
              </w:rPr>
              <w:t>1 buc.</w:t>
            </w:r>
          </w:p>
        </w:tc>
      </w:tr>
    </w:tbl>
    <w:p w:rsidR="007E14FA" w:rsidRDefault="007E14FA"/>
    <w:sectPr w:rsidR="007E14FA" w:rsidSect="00250718">
      <w:pgSz w:w="15840" w:h="12240" w:orient="landscape" w:code="1"/>
      <w:pgMar w:top="568" w:right="1077" w:bottom="851" w:left="107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2208B"/>
    <w:multiLevelType w:val="hybridMultilevel"/>
    <w:tmpl w:val="0CFEB6B8"/>
    <w:lvl w:ilvl="0" w:tplc="03C614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4D4AB4"/>
    <w:multiLevelType w:val="hybridMultilevel"/>
    <w:tmpl w:val="3EB2AF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4FA"/>
    <w:rsid w:val="000D4E95"/>
    <w:rsid w:val="00250718"/>
    <w:rsid w:val="0043470D"/>
    <w:rsid w:val="007E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071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071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1074</Words>
  <Characters>6125</Characters>
  <Application>Microsoft Office Word</Application>
  <DocSecurity>0</DocSecurity>
  <Lines>51</Lines>
  <Paragraphs>14</Paragraphs>
  <ScaleCrop>false</ScaleCrop>
  <Company/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3</cp:revision>
  <dcterms:created xsi:type="dcterms:W3CDTF">2023-02-20T14:07:00Z</dcterms:created>
  <dcterms:modified xsi:type="dcterms:W3CDTF">2023-02-20T14:14:00Z</dcterms:modified>
</cp:coreProperties>
</file>