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120" w:line="276" w:lineRule="auto"/>
        <w:ind/>
        <w:jc w:val="center"/>
        <w:rPr>
          <w:lang w:val="en-US"/>
        </w:rPr>
      </w:pPr>
      <w:r>
        <w:rPr>
          <w:rFonts w:eastAsia="Times New Roman"/>
          <w:b/>
          <w:color w:val="000000"/>
          <w:lang w:val="en-US"/>
        </w:rPr>
        <w:t xml:space="preserve">ANUNȚ DE PARTICIPARE INCLUSIV PENTRU PROCEDURILE DE PRESELECȚIE/PROCEDURILE NEGOCIATE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privind achiziționarea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</w:t>
      </w:r>
      <w:r>
        <w:rPr>
          <w:rFonts w:eastAsia="Times New Roman"/>
          <w:b/>
          <w:color w:val="000000"/>
          <w:sz w:val="24"/>
          <w:lang w:val="ro-RO"/>
        </w:rPr>
        <w:t xml:space="preserve">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CĂRBUNE (AM) și LEMNE DE FOC (specii tari, despicate)                                                          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u w:val="none"/>
          <w:lang w:val="ro-RO"/>
        </w:rPr>
        <w:t xml:space="preserve">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pentru </w:t>
      </w:r>
      <w:r>
        <w:rPr>
          <w:rFonts w:ascii="Times New Roman" w:hAnsi="Times New Roman" w:eastAsia="Times New Roman" w:cs="Times New Roman"/>
          <w:b/>
          <w:color w:val="000000" w:themeColor="text1"/>
          <w:spacing w:val="-6"/>
          <w:sz w:val="24"/>
          <w:szCs w:val="24"/>
          <w:highlight w:val="white"/>
          <w:u w:val="single"/>
        </w:rPr>
        <w:t xml:space="preserve">necesitățile </w:t>
      </w:r>
      <w:r>
        <w:rPr>
          <w:rFonts w:ascii="Times New Roman" w:hAnsi="Times New Roman" w:eastAsia="Times New Roman" w:cs="Times New Roman"/>
          <w:b/>
          <w:color w:val="000000" w:themeColor="text1"/>
          <w:spacing w:val="-6"/>
          <w:sz w:val="24"/>
          <w:szCs w:val="24"/>
          <w:highlight w:val="white"/>
          <w:u w:val="single"/>
          <w:lang w:val="ro-RO"/>
        </w:rPr>
        <w:t xml:space="preserve">Serviciilor Sociale</w:t>
      </w:r>
      <w:r>
        <w:rPr>
          <w:rFonts w:ascii="Times New Roman" w:hAnsi="Times New Roman" w:eastAsia="Times New Roman" w:cs="Times New Roman"/>
          <w:b/>
          <w:color w:val="000000" w:themeColor="text1"/>
          <w:spacing w:val="-6"/>
          <w:sz w:val="24"/>
          <w:szCs w:val="24"/>
          <w:highlight w:val="white"/>
          <w:u w:val="single"/>
        </w:rPr>
        <w:t xml:space="preserve"> din cadrul STAS-lor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,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arondate ATAS NORD VEST,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u w:val="none"/>
          <w:lang w:val="ro-RO"/>
        </w:rPr>
        <w:t xml:space="preserve">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în perioada sezonului rece 2026-2027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 w14:paraId="7263D9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-425"/>
        <w:rPr>
          <w:rFonts w:eastAsia="Times New Roman"/>
          <w:b/>
          <w:bCs/>
          <w:color w:val="000000"/>
          <w:sz w:val="24"/>
          <w:szCs w:val="24"/>
          <w:u w:val="single"/>
        </w:rPr>
      </w:pPr>
      <w:r>
        <w:rPr>
          <w:rFonts w:eastAsia="Times New Roman"/>
          <w:b/>
          <w:color w:val="000000"/>
          <w:sz w:val="24"/>
          <w:u w:val="single"/>
          <w:lang w:val="ro-RO"/>
        </w:rPr>
      </w:r>
      <w:r>
        <w:rPr>
          <w:rFonts w:eastAsia="Times New Roman"/>
          <w:b/>
          <w:i/>
          <w:iCs/>
          <w:color w:val="000000"/>
          <w:sz w:val="24"/>
          <w:lang w:val="en-US"/>
        </w:rPr>
        <w:t xml:space="preserve">prin procedura de achiziție</w:t>
      </w:r>
      <w:r>
        <w:rPr>
          <w:rFonts w:eastAsia="Times New Roman"/>
          <w:b/>
          <w:i/>
          <w:iCs/>
          <w:color w:val="000000"/>
          <w:sz w:val="24"/>
          <w:lang w:val="ro-RO"/>
        </w:rPr>
        <w:t xml:space="preserve">: 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Cererea Ofertelor de Prețuri</w:t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</w:rPr>
      </w:r>
    </w:p>
    <w:p>
      <w:pPr>
        <w:pStyle w:val="794"/>
        <w:pBdr/>
        <w:spacing w:line="276" w:lineRule="auto"/>
        <w:ind/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*Procedura a fost inclusă în planul de achiziții publice a autorității contractante (Da/Nu):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white"/>
          <w:u w:val="single"/>
          <w:lang w:val="ro-RO"/>
        </w:rPr>
        <w:t xml:space="preserve">DA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pP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en-US"/>
        </w:rPr>
        <w:t xml:space="preserve">Link-ul către planul de achiziții publice publicat:</w:t>
      </w:r>
      <w:r>
        <w:rPr>
          <w:rFonts w:ascii="Times New Roman" w:hAnsi="Times New Roman" w:eastAsia="Times New Roman"/>
          <w:color w:val="000000"/>
          <w:sz w:val="24"/>
          <w:szCs w:val="24"/>
          <w:highlight w:val="white"/>
          <w:lang w:val="ro-RO"/>
        </w:rPr>
        <w:t xml:space="preserve"> </w:t>
      </w:r>
      <w:r>
        <w:fldChar w:fldCharType="begin"/>
      </w:r>
      <w:r>
        <w:rPr>
          <w:lang w:val="en-US"/>
        </w:rPr>
        <w:instrText xml:space="preserve"> HYPERLINK "https://restart.gov.md/" \o "https://restart.gov.md/"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szCs w:val="24"/>
          <w:lang w:val="ro-RO"/>
        </w:rPr>
        <w:t xml:space="preserve">https://restart.gov.md/</w:t>
      </w:r>
      <w:r>
        <w:rPr>
          <w:rStyle w:val="935"/>
          <w:rFonts w:ascii="Times New Roman" w:hAnsi="Times New Roman" w:eastAsia="Times New Roman"/>
          <w:b/>
          <w:sz w:val="24"/>
          <w:szCs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sz w:val="24"/>
          <w:szCs w:val="24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  <w:r>
        <w:rPr>
          <w:rFonts w:ascii="Times New Roman" w:hAnsi="Times New Roman"/>
          <w:color w:val="000000"/>
          <w:sz w:val="24"/>
          <w:szCs w:val="24"/>
          <w:highlight w:val="white"/>
          <w:lang w:val="en-US"/>
        </w:rPr>
      </w:r>
    </w:p>
    <w:p>
      <w:pPr>
        <w:pStyle w:val="794"/>
        <w:pBdr/>
        <w:spacing/>
        <w:ind w:left="-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794"/>
        <w:pBdr/>
        <w:spacing/>
        <w:ind w:left="-142"/>
        <w:rPr>
          <w:rFonts w:ascii="Times New Roman" w:hAnsi="Times New Roman" w:eastAsia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1.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Denumirea autorității contractante:</w:t>
      </w:r>
      <w:r>
        <w:rPr>
          <w:rFonts w:ascii="Times New Roman" w:hAnsi="Times New Roman" w:eastAsia="Times New Roman"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val="en-US"/>
        </w:rPr>
      </w:r>
    </w:p>
    <w:p>
      <w:pPr>
        <w:pStyle w:val="794"/>
        <w:pBdr/>
        <w:tabs>
          <w:tab w:val="left" w:leader="none" w:pos="10063"/>
        </w:tabs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                                              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AGENȚIA TERITORIALĂ DE ASISTENȚĂ SOCIALĂ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NORD VEST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right="-283"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2. </w:t>
      </w:r>
      <w:r>
        <w:rPr>
          <w:rFonts w:eastAsia="Times New Roman"/>
          <w:color w:val="000000"/>
          <w:sz w:val="24"/>
          <w:lang w:val="en-US"/>
        </w:rPr>
        <w:t xml:space="preserve">IDNO: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1023601000201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3. </w:t>
      </w:r>
      <w:r>
        <w:rPr>
          <w:rFonts w:eastAsia="Times New Roman"/>
          <w:color w:val="000000"/>
          <w:sz w:val="24"/>
          <w:lang w:val="en-US"/>
        </w:rPr>
        <w:t xml:space="preserve">Adresa: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or.Fălești, str.Ștefan cel Mare, 81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 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063"/>
        </w:tabs>
        <w:spacing w:after="0" w:before="120"/>
        <w:ind w:left="-142"/>
        <w:rPr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4. </w:t>
      </w:r>
      <w:r>
        <w:rPr>
          <w:rFonts w:eastAsia="Times New Roman"/>
          <w:color w:val="000000"/>
          <w:sz w:val="24"/>
          <w:lang w:val="en-US"/>
        </w:rPr>
        <w:t xml:space="preserve">Numărul de telefon/fax:</w:t>
      </w:r>
      <w:r>
        <w:rPr>
          <w:rFonts w:eastAsia="Times New Roman"/>
          <w:color w:val="000000"/>
          <w:sz w:val="24"/>
          <w:lang w:val="ro-RO"/>
        </w:rPr>
        <w:t xml:space="preserve">                                                                       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0-69387879, 0-78825043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794"/>
        <w:pBdr/>
        <w:spacing/>
        <w:ind w:hanging="142"/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5.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Adresa de e-mail și de internet a autorității contractante: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   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fldChar w:fldCharType="begin"/>
      </w:r>
      <w:r>
        <w:rPr>
          <w:lang w:val="en-US"/>
        </w:rPr>
        <w:instrText xml:space="preserve"> HYPERLINK "mailto:atas.nord-vest@social.gov.md" \o "mailto:atas.nord-vest@social.gov.md"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lang w:val="en-US"/>
        </w:rPr>
        <w:t xml:space="preserve">atas.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t xml:space="preserve">nord-vest</w:t>
      </w:r>
      <w:r>
        <w:rPr>
          <w:rStyle w:val="935"/>
          <w:rFonts w:ascii="Times New Roman" w:hAnsi="Times New Roman" w:eastAsia="Times New Roman"/>
          <w:b/>
          <w:sz w:val="24"/>
          <w:lang w:val="en-US"/>
        </w:rPr>
        <w:t xml:space="preserve">@social.gov.md</w:t>
      </w:r>
      <w:r>
        <w:rPr>
          <w:rStyle w:val="935"/>
          <w:rFonts w:ascii="Times New Roman" w:hAnsi="Times New Roman" w:eastAsia="Times New Roman"/>
          <w:b/>
          <w:sz w:val="24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u w:val="single"/>
          <w:lang w:val="ro-RO"/>
        </w:rPr>
      </w:r>
    </w:p>
    <w:p>
      <w:pPr>
        <w:pStyle w:val="794"/>
        <w:pBdr/>
        <w:spacing/>
        <w:ind w:hanging="142"/>
        <w:rPr>
          <w:lang w:val="ro-RO"/>
        </w:rPr>
      </w:pPr>
      <w:r>
        <w:fldChar w:fldCharType="begin"/>
      </w:r>
      <w:r>
        <w:rPr>
          <w:lang w:val="en-US"/>
        </w:rPr>
        <w:instrText xml:space="preserve"> HYPERLINK "mailto:larisa.bazilevschi@atas.gov.md" \o "mailto:larisa.bazilevschi@atas.gov.md"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b/>
          <w:sz w:val="24"/>
          <w:u w:val="none"/>
          <w:lang w:val="ro-RO"/>
        </w:rPr>
        <w:t xml:space="preserve">                                                                                                                    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t xml:space="preserve">larisa.bazilevschi@atas.gov.md</w:t>
      </w:r>
      <w:r>
        <w:rPr>
          <w:rStyle w:val="935"/>
          <w:rFonts w:ascii="Times New Roman" w:hAnsi="Times New Roman" w:eastAsia="Times New Roman"/>
          <w:b/>
          <w:sz w:val="24"/>
          <w:lang w:val="ro-RO"/>
        </w:rPr>
        <w:fldChar w:fldCharType="end"/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lang w:val="ro-RO"/>
        </w:rPr>
      </w:r>
      <w:r>
        <w:rPr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850" w:left="-142"/>
        <w:rPr>
          <w:szCs w:val="24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6. </w:t>
      </w:r>
      <w:r>
        <w:rPr>
          <w:rFonts w:eastAsia="Times New Roman"/>
          <w:color w:val="000000"/>
          <w:sz w:val="24"/>
          <w:lang w:val="en-US"/>
        </w:rPr>
        <w:t xml:space="preserve">Adresa de e-mail sau de internet de la care se va putea obține accesul la documentația de atribuire: </w:t>
      </w:r>
      <w:r>
        <w:rPr>
          <w:rFonts w:eastAsia="Times New Roman"/>
          <w:b/>
          <w:color w:val="000000"/>
          <w:sz w:val="24"/>
          <w:lang w:val="ro-RO"/>
        </w:rPr>
        <w:t xml:space="preserve">   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D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ocumentația de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A</w:t>
      </w:r>
      <w:r>
        <w:rPr>
          <w:rFonts w:eastAsia="Times New Roman"/>
          <w:b/>
          <w:color w:val="000000"/>
          <w:sz w:val="24"/>
          <w:szCs w:val="24"/>
          <w:u w:val="single"/>
          <w:lang w:val="en-US"/>
        </w:rPr>
        <w:t xml:space="preserve">tribuire este anexată în cadrul procedurii în SIA RSAP </w:t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și  </w:t>
      </w:r>
      <w:r>
        <w:fldChar w:fldCharType="begin"/>
      </w:r>
      <w:r>
        <w:rPr>
          <w:lang w:val="en-US"/>
        </w:rPr>
        <w:instrText xml:space="preserve"> HYPERLINK "https://restart.gov.md/" \o "https://restart.gov.md/" </w:instrText>
      </w:r>
      <w:r>
        <w:fldChar w:fldCharType="separate"/>
      </w:r>
      <w:r>
        <w:rPr>
          <w:rStyle w:val="935"/>
          <w:b/>
          <w:sz w:val="24"/>
          <w:szCs w:val="24"/>
          <w:lang w:val="ro-RO"/>
        </w:rPr>
        <w:t xml:space="preserve">https://restart.gov.md/</w:t>
      </w:r>
      <w:r>
        <w:rPr>
          <w:rStyle w:val="935"/>
          <w:b/>
          <w:sz w:val="24"/>
          <w:szCs w:val="24"/>
          <w:lang w:val="ro-RO"/>
        </w:rPr>
        <w:fldChar w:fldCharType="end"/>
      </w:r>
      <w:r>
        <w:rPr>
          <w:rFonts w:eastAsia="Times New Roman"/>
          <w:b/>
          <w:color w:val="000000"/>
          <w:sz w:val="24"/>
          <w:szCs w:val="24"/>
          <w:u w:val="single"/>
          <w:lang w:val="ro-RO"/>
        </w:rPr>
        <w:t xml:space="preserve"> </w:t>
      </w:r>
      <w:r>
        <w:rPr>
          <w:szCs w:val="24"/>
          <w:lang w:val="en-US"/>
        </w:rPr>
      </w:r>
      <w:r>
        <w:rPr>
          <w:szCs w:val="24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b/>
          <w:sz w:val="24"/>
          <w:szCs w:val="24"/>
          <w:u w:val="single"/>
          <w:lang w:val="ro-RO"/>
        </w:rPr>
      </w:pPr>
      <w:r>
        <w:rPr>
          <w:rFonts w:eastAsia="Times New Roman"/>
          <w:color w:val="000000"/>
          <w:sz w:val="24"/>
          <w:lang w:val="ro-RO"/>
        </w:rPr>
        <w:t xml:space="preserve">7. </w:t>
      </w:r>
      <w:r>
        <w:rPr>
          <w:rFonts w:eastAsia="Times New Roman"/>
          <w:color w:val="000000"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i/>
          <w:iCs/>
          <w:sz w:val="24"/>
          <w:szCs w:val="24"/>
          <w:u w:val="single"/>
          <w:lang w:val="ro-RO"/>
        </w:rPr>
        <w:t xml:space="preserve"> </w:t>
      </w:r>
      <w:r>
        <w:rPr>
          <w:b/>
          <w:bCs/>
          <w:sz w:val="24"/>
          <w:szCs w:val="24"/>
          <w:u w:val="single"/>
          <w:lang w:val="ro-RO"/>
        </w:rPr>
        <w:t xml:space="preserve"> Instituție bugetară cu obiectul principal de activitate – acordarea asistenței în domeniul social, protecției familiei și a copilului.</w:t>
      </w:r>
      <w:r>
        <w:rPr>
          <w:b/>
          <w:sz w:val="24"/>
          <w:szCs w:val="24"/>
          <w:u w:val="single"/>
          <w:lang w:val="ro-RO"/>
        </w:rPr>
      </w:r>
      <w:r>
        <w:rPr>
          <w:b/>
          <w:sz w:val="24"/>
          <w:szCs w:val="24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 w:right="-283" w:left="-142"/>
        <w:rPr>
          <w:rFonts w:eastAsia="Times New Roman"/>
          <w:color w:val="000000"/>
          <w:sz w:val="24"/>
          <w:szCs w:val="24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8. </w:t>
      </w:r>
      <w:r>
        <w:rPr>
          <w:rFonts w:eastAsia="Times New Roman"/>
          <w:color w:val="000000"/>
          <w:sz w:val="24"/>
          <w:lang w:val="en-US"/>
        </w:rPr>
        <w:t xml:space="preserve">Cumpărătorul invită operatorii economici interesați, care îi pot satisface necesitățile, să participe la procedura de achiziție privind livrarea bunurilor:</w:t>
      </w:r>
      <w:r>
        <w:rPr>
          <w:rFonts w:eastAsia="Times New Roman"/>
          <w:color w:val="000000"/>
          <w:sz w:val="24"/>
          <w:szCs w:val="24"/>
          <w:lang w:val="en-US"/>
        </w:rPr>
      </w:r>
      <w:r>
        <w:rPr>
          <w:rFonts w:eastAsia="Times New Roman"/>
          <w:color w:val="000000"/>
          <w:sz w:val="24"/>
          <w:szCs w:val="24"/>
          <w:lang w:val="en-US"/>
        </w:rPr>
      </w:r>
    </w:p>
    <w:tbl>
      <w:tblPr>
        <w:tblInd w:w="-24" w:type="dxa"/>
        <w:tblW w:w="10609" w:type="dxa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Look w:val="04A0" w:firstRow="1" w:lastRow="0" w:firstColumn="1" w:lastColumn="0" w:noHBand="0" w:noVBand="1"/>
      </w:tblPr>
      <w:tblGrid>
        <w:gridCol w:w="533"/>
        <w:gridCol w:w="425"/>
        <w:gridCol w:w="3695"/>
        <w:gridCol w:w="921"/>
        <w:gridCol w:w="1242"/>
        <w:gridCol w:w="3793"/>
      </w:tblGrid>
      <w:tr>
        <w:trPr>
          <w:trHeight w:val="1134"/>
        </w:trPr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3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 w:right="0" w:firstLine="0"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Nr</w:t>
            </w:r>
            <w:r>
              <w:rPr>
                <w:b/>
                <w:sz w:val="18"/>
                <w:szCs w:val="18"/>
                <w:lang w:val="ro-RO"/>
              </w:rPr>
              <w:t xml:space="preserve">.</w:t>
            </w:r>
            <w:r>
              <w:rPr>
                <w:b/>
                <w:sz w:val="18"/>
                <w:szCs w:val="18"/>
              </w:rPr>
              <w:t xml:space="preserve">d/</w:t>
            </w:r>
            <w:r>
              <w:rPr>
                <w:b/>
                <w:sz w:val="18"/>
                <w:szCs w:val="18"/>
                <w:lang w:val="ro-RO"/>
              </w:rPr>
              <w:t xml:space="preserve">o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" w:type="dxa"/>
            <w:vAlign w:val="center"/>
            <w:textDirection w:val="btLr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Cod CPV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Denumirea bunurilor solicitate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 w:right="-108" w:left="-108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Unitatea </w:t>
            </w:r>
            <w:r>
              <w:rPr>
                <w:b/>
                <w:sz w:val="20"/>
                <w:szCs w:val="20"/>
                <w:lang w:val="ro-RO"/>
              </w:rPr>
              <w:t xml:space="preserve">            </w:t>
            </w:r>
            <w:r>
              <w:rPr>
                <w:b/>
                <w:sz w:val="20"/>
                <w:szCs w:val="20"/>
              </w:rPr>
              <w:t xml:space="preserve">de</w:t>
            </w:r>
            <w:r>
              <w:rPr>
                <w:b/>
                <w:sz w:val="20"/>
                <w:szCs w:val="20"/>
                <w:lang w:val="ro-RO"/>
              </w:rPr>
              <w:t xml:space="preserve">                  </w:t>
            </w:r>
            <w:r>
              <w:rPr>
                <w:b/>
                <w:sz w:val="20"/>
                <w:szCs w:val="20"/>
              </w:rPr>
              <w:t xml:space="preserve"> măsur</w:t>
            </w:r>
            <w:r>
              <w:rPr>
                <w:b/>
                <w:sz w:val="24"/>
                <w:szCs w:val="24"/>
              </w:rPr>
              <w:t xml:space="preserve">ă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Cantitatea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Specificarea tehnică deplină solicitată,                           Standarde de referință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trHeight w:val="889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btLr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</w:rPr>
              <w:t xml:space="preserve">09111100-1</w:t>
            </w:r>
            <w:r>
              <w:rPr>
                <w:b w:val="0"/>
                <w:bCs w:val="0"/>
                <w:sz w:val="14"/>
                <w:szCs w:val="14"/>
              </w:rPr>
            </w:r>
            <w:r>
              <w:rPr>
                <w:b w:val="0"/>
                <w:bCs w:val="0"/>
                <w:sz w:val="14"/>
                <w:szCs w:val="1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58" w:type="dxa"/>
            <w:vAlign w:val="center"/>
            <w:textDirection w:val="lrTb"/>
            <w:noWrap w:val="false"/>
          </w:tcPr>
          <w:p>
            <w:pPr>
              <w:pStyle w:val="741"/>
              <w:pBdr/>
              <w:tabs>
                <w:tab w:val="left" w:leader="none" w:pos="142"/>
              </w:tabs>
              <w:spacing/>
              <w:ind w:left="142"/>
              <w:rPr>
                <w:bCs/>
                <w:i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nr.1                                                                                    </w:t>
            </w:r>
            <w:r>
              <w:rPr>
                <w:b/>
                <w:sz w:val="24"/>
                <w:szCs w:val="24"/>
                <w:lang w:val="en-US"/>
              </w:rPr>
              <w:t xml:space="preserve">CĂRBUNE</w:t>
            </w:r>
            <w:r>
              <w:rPr>
                <w:b/>
                <w:sz w:val="24"/>
                <w:szCs w:val="24"/>
                <w:lang w:val="ro-RO"/>
              </w:rPr>
              <w:t xml:space="preserve"> (AM)</w:t>
            </w:r>
            <w:r>
              <w:rPr>
                <w:b/>
                <w:sz w:val="24"/>
                <w:szCs w:val="24"/>
                <w:lang w:val="en-US"/>
              </w:rPr>
              <w:t xml:space="preserve">,</w:t>
            </w: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                                        </w:t>
            </w:r>
            <w:r>
              <w:rPr>
                <w:i/>
                <w:iCs/>
                <w:sz w:val="24"/>
                <w:szCs w:val="24"/>
              </w:rPr>
              <w:t xml:space="preserve">inclusiv pentru </w:t>
            </w:r>
            <w:r>
              <w:rPr>
                <w:rFonts w:eastAsia="Times New Roman"/>
                <w:i/>
                <w:iCs/>
                <w:color w:val="000000"/>
                <w:sz w:val="24"/>
                <w:lang w:val="ro-RO"/>
              </w:rPr>
              <w:t xml:space="preserve">Serviciile arondate ATAS NORD VEST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:</w:t>
            </w:r>
            <w:r>
              <w:rPr>
                <w:bCs/>
                <w:i/>
              </w:rPr>
            </w:r>
            <w:r>
              <w:rPr>
                <w:bCs/>
                <w:i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1. Marca AM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  <w:lang w:val="en-US"/>
              </w:rPr>
              <w:t xml:space="preserve">Dimensiunea -13-25 mm,                  fără praf,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  <w:lang w:val="en-US"/>
              </w:rPr>
              <w:t xml:space="preserve">GOST: SM 259:2005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2. Cărbunele trebuie să fie ambalat în saci rezistenţi,                      c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ro-RO"/>
              </w:rPr>
              <w:t xml:space="preserve">â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te 40 kg/sac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  <w:lang w:val="en-US"/>
              </w:rPr>
              <w:t xml:space="preserve">.</w:t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u w:val="none"/>
                <w:lang w:val="en-US"/>
              </w:rPr>
              <w:t xml:space="preserve">3.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en-US"/>
              </w:rPr>
              <w:t xml:space="preserve">Livrarea Cărbunelui se efectuează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cu transportul Vânzătorului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en-US"/>
              </w:rPr>
              <w:t xml:space="preserve">pînă la depozitele 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Serviciilor,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u w:val="none"/>
                <w:lang w:val="ro-RO"/>
              </w:rPr>
              <w:t xml:space="preserve">arondate ATAS NORD VEST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en-US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u w:val="none"/>
                <w:lang w:val="en-US"/>
              </w:rPr>
              <w:t xml:space="preserve"> conform listei.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b/>
                <w:bCs/>
                <w:highlight w:val="whit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/>
                <w:b/>
                <w:bCs/>
                <w:highlight w:val="white"/>
                <w:u w:val="none"/>
              </w:rPr>
            </w:r>
            <w:r>
              <w:rPr>
                <w:rFonts w:ascii="Times New Roman" w:hAnsi="Times New Roman"/>
                <w:b/>
                <w:bCs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ro-RO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.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Termen de livrare pînă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ro-RO"/>
              </w:rPr>
              <w:t xml:space="preserve">                       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 la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ro-RO"/>
              </w:rPr>
              <w:t xml:space="preserve">31 iulie 2026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</w:rPr>
            </w:r>
          </w:p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highlight w:val="white"/>
                <w:u w:val="none"/>
              </w:rPr>
            </w:pPr>
            <w:r>
              <w:rPr>
                <w:rFonts w:ascii="Times New Roman" w:hAnsi="Times New Roman"/>
                <w:highlight w:val="white"/>
                <w:u w:val="none"/>
              </w:rPr>
            </w:r>
            <w:r>
              <w:rPr>
                <w:rFonts w:ascii="Times New Roman" w:hAnsi="Times New Roman"/>
                <w:highlight w:val="white"/>
                <w:u w:val="none"/>
              </w:rPr>
            </w:r>
            <w:r>
              <w:rPr>
                <w:rFonts w:ascii="Times New Roman" w:hAnsi="Times New Roman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/>
              <w:rPr>
                <w:u w:val="none"/>
              </w:rPr>
            </w:pPr>
            <w:r>
              <w:rPr>
                <w:u w:val="none"/>
              </w:rPr>
            </w:r>
            <w:r>
              <w:rPr>
                <w:u w:val="none"/>
              </w:rPr>
            </w:r>
            <w:r>
              <w:rPr>
                <w:u w:val="none"/>
              </w:rPr>
            </w:r>
          </w:p>
        </w:tc>
      </w:tr>
      <w:tr>
        <w:trPr>
          <w:trHeight w:val="397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1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 w:before="120"/>
              <w:ind w:right="-108" w:left="-82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02EBC04A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„ProSperare”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din cadrul STAS Fălești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2234E10F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s. Bocșa,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com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Risipeni,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 w14:paraId="37796E2F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 xml:space="preserve">tone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  <w:highlight w:val="non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13,00</w:t>
            </w: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  <w:highlight w:val="none"/>
                <w:lang w:val="ro-RO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0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2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 w:before="120"/>
              <w:ind w:right="-108" w:left="-82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741C0A2A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  <w:t xml:space="preserve">„Nufărul Alb”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din cadrul Direcției protecția copilului și a familiei a STAS-ului Fălești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(cu statut de serviciu)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611A4B86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s. Glinjeni,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tone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  <w:highlight w:val="non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25,00</w:t>
            </w: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  <w:highlight w:val="none"/>
                <w:lang w:val="ro-RO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0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8" w:type="dxa"/>
            <w:vAlign w:val="center"/>
            <w:vMerge w:val="restart"/>
            <w:textDirection w:val="lrTb"/>
            <w:noWrap w:val="false"/>
          </w:tcPr>
          <w:p w14:paraId="4E12F83A">
            <w:pPr>
              <w:pStyle w:val="741"/>
              <w:pBdr/>
              <w:spacing w:before="120"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3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95" w:type="dxa"/>
            <w:vAlign w:val="top"/>
            <w:vMerge w:val="restart"/>
            <w:textDirection w:val="lrTb"/>
            <w:noWrap w:val="false"/>
          </w:tcPr>
          <w:p w14:paraId="0F835835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„Împreună”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persoanelor în vârstă și a persoanelor cu dizabilități a STAS-ului Fălești                 (cu statut de serviciu),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 w14:paraId="434F6804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s. Ciolacu Nou,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 w14:paraId="43A26B1E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1" w:type="dxa"/>
            <w:vAlign w:val="top"/>
            <w:vMerge w:val="restart"/>
            <w:textDirection w:val="lrTb"/>
            <w:noWrap w:val="false"/>
          </w:tcPr>
          <w:p w14:paraId="7BD88AFC"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 w14:paraId="2F13AE3E">
            <w:pPr>
              <w:pBdr/>
              <w:spacing/>
              <w:ind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5,00</w:t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right w:val="single" w:color="000000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 w14:paraId="1B8F549E"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1559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4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 w:before="120"/>
              <w:ind w:right="-108" w:left="-82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615C5172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plasament pentru copii separați de părinți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„Raza Soarelui”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copilului și a familiei a STAS-ului Sîngerei (cu statut de serviciu),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5A1F6841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o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r. Sîngerei,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str. Independenței, 223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 w14:paraId="6BD03AA1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tone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  <w:highlight w:val="none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27,00</w:t>
            </w: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  <w:highlight w:val="none"/>
                <w:lang w:val="ro-RO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  <w:lang w:val="ro-RO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>
          <w:trHeight w:val="373"/>
        </w:trPr>
        <w:tc>
          <w:tcPr>
            <w:gridSpan w:val="3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5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 w:left="14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Valoarea estimativă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/>
              </w:rPr>
              <w:t xml:space="preserve">pe lotul nr.1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val="en-US"/>
              </w:rPr>
              <w:t xml:space="preserve">CĂRBUNE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lang w:val="ro-RO"/>
              </w:rPr>
              <w:t xml:space="preserve"> (AM)</w:t>
            </w:r>
            <w:r>
              <w:rPr>
                <w:rFonts w:ascii="Times New Roman" w:hAnsi="Times New Roman" w:eastAsia="Times New Roman"/>
                <w:b/>
                <w:color w:val="000000"/>
                <w:sz w:val="24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eastAsia="ru-RU"/>
              </w:rPr>
              <w:t xml:space="preserve"> fără TV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/>
              </w:rPr>
              <w:t xml:space="preserve">A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spacing w:before="120"/>
              <w:ind w:left="142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 xml:space="preserve">tone</w:t>
            </w:r>
            <w:r>
              <w:rPr>
                <w:b/>
                <w:iCs/>
                <w:sz w:val="26"/>
                <w:szCs w:val="26"/>
              </w:rPr>
            </w:r>
            <w:r>
              <w:rPr>
                <w:b/>
                <w:iCs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spacing w:before="120"/>
              <w:ind w:left="142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 xml:space="preserve">70,0</w:t>
            </w:r>
            <w:r>
              <w:rPr>
                <w:b/>
                <w:iCs/>
                <w:sz w:val="26"/>
                <w:szCs w:val="26"/>
              </w:rPr>
            </w:r>
            <w:r>
              <w:rPr>
                <w:b/>
                <w:iCs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/>
                <w:bCs/>
                <w:sz w:val="26"/>
                <w:szCs w:val="26"/>
                <w:u w:val="none"/>
              </w:rPr>
            </w:pPr>
            <w:r>
              <w:rPr>
                <w:b/>
                <w:bCs/>
                <w:sz w:val="26"/>
                <w:szCs w:val="26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strike w:val="0"/>
                <w:color w:val="000000"/>
                <w:sz w:val="26"/>
                <w:szCs w:val="26"/>
                <w:u w:val="none"/>
                <w:vertAlign w:val="baseline"/>
                <w:lang w:val="ro-RO"/>
              </w:rPr>
              <w:t xml:space="preserve">350000,00</w:t>
            </w:r>
            <w:r>
              <w:rPr>
                <w:b/>
                <w:bCs/>
                <w:sz w:val="26"/>
                <w:szCs w:val="26"/>
                <w:u w:val="none"/>
              </w:rPr>
            </w:r>
            <w:r>
              <w:rPr>
                <w:b/>
                <w:bCs/>
                <w:sz w:val="26"/>
                <w:szCs w:val="26"/>
                <w:u w:val="none"/>
              </w:rPr>
            </w:r>
          </w:p>
        </w:tc>
      </w:tr>
      <w:tr>
        <w:trPr>
          <w:trHeight w:val="917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btLr"/>
            <w:noWrap w:val="false"/>
          </w:tcPr>
          <w:p>
            <w:pPr>
              <w:pStyle w:val="741"/>
              <w:pBdr/>
              <w:spacing/>
              <w:ind w:right="113" w:left="142"/>
              <w:jc w:val="center"/>
              <w:rPr>
                <w:b w:val="0"/>
                <w:bCs w:val="0"/>
                <w:sz w:val="14"/>
                <w:szCs w:val="14"/>
              </w:rPr>
            </w:pPr>
            <w:r>
              <w:rPr>
                <w:b w:val="0"/>
                <w:bCs w:val="0"/>
                <w:sz w:val="14"/>
                <w:szCs w:val="14"/>
                <w:lang w:val="ro-RO"/>
              </w:rPr>
              <w:t xml:space="preserve">03413000-8</w:t>
            </w:r>
            <w:r>
              <w:rPr>
                <w:b w:val="0"/>
                <w:bCs w:val="0"/>
                <w:sz w:val="14"/>
                <w:szCs w:val="14"/>
              </w:rPr>
            </w:r>
            <w:r>
              <w:rPr>
                <w:b w:val="0"/>
                <w:bCs w:val="0"/>
                <w:sz w:val="14"/>
                <w:szCs w:val="14"/>
              </w:rPr>
            </w:r>
          </w:p>
        </w:tc>
        <w:tc>
          <w:tcPr>
            <w:gridSpan w:val="3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58" w:type="dxa"/>
            <w:vAlign w:val="top"/>
            <w:textDirection w:val="lrTb"/>
            <w:noWrap w:val="false"/>
          </w:tcPr>
          <w:p>
            <w:pPr>
              <w:pStyle w:val="741"/>
              <w:pBdr/>
              <w:tabs>
                <w:tab w:val="left" w:leader="none" w:pos="142"/>
              </w:tabs>
              <w:spacing/>
              <w:ind w:left="142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Lotul nr.2                                                                                       </w:t>
            </w:r>
            <w:r>
              <w:rPr>
                <w:b/>
                <w:sz w:val="24"/>
                <w:szCs w:val="24"/>
                <w:u w:val="none"/>
                <w:lang w:val="ro-RO"/>
              </w:rPr>
              <w:t xml:space="preserve">LEMNE DE FOC (</w:t>
            </w:r>
            <w:r>
              <w:rPr>
                <w:rFonts w:eastAsia="Times New Roman"/>
                <w:b/>
                <w:color w:val="000000"/>
                <w:sz w:val="24"/>
                <w:u w:val="none"/>
                <w:lang w:val="ro-RO"/>
              </w:rPr>
              <w:t xml:space="preserve">specii tari, despicate</w:t>
            </w:r>
            <w:r>
              <w:rPr>
                <w:rFonts w:eastAsia="Times New Roman"/>
                <w:b/>
                <w:color w:val="000000"/>
                <w:sz w:val="24"/>
                <w:u w:val="none"/>
                <w:lang w:val="ro-RO"/>
              </w:rPr>
              <w:t xml:space="preserve">)</w:t>
            </w:r>
            <w:r>
              <w:rPr>
                <w:b/>
                <w:sz w:val="24"/>
                <w:szCs w:val="24"/>
                <w:u w:val="none"/>
                <w:lang w:val="en-US"/>
              </w:rPr>
              <w:t xml:space="preserve">, </w:t>
            </w:r>
            <w:r>
              <w:rPr>
                <w:b/>
                <w:sz w:val="24"/>
                <w:szCs w:val="24"/>
                <w:u w:val="none"/>
                <w:lang w:val="ro-RO"/>
              </w:rPr>
              <w:t xml:space="preserve">     </w:t>
            </w: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       </w:t>
            </w:r>
            <w:r>
              <w:rPr>
                <w:i/>
                <w:iCs/>
                <w:sz w:val="24"/>
                <w:szCs w:val="24"/>
              </w:rPr>
              <w:t xml:space="preserve">inclusiv pentru </w:t>
            </w:r>
            <w:r>
              <w:rPr>
                <w:rFonts w:eastAsia="Times New Roman"/>
                <w:i/>
                <w:iCs/>
                <w:color w:val="000000"/>
                <w:sz w:val="24"/>
                <w:lang w:val="ro-RO"/>
              </w:rPr>
              <w:t xml:space="preserve">Serviciile arondate ATAS NORD VEST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:</w:t>
            </w:r>
            <w:r>
              <w:rPr>
                <w:b/>
                <w:bCs/>
                <w:sz w:val="24"/>
                <w:szCs w:val="24"/>
                <w:lang w:val="ro-RO"/>
              </w:rPr>
            </w:r>
            <w:r>
              <w:rPr>
                <w:b/>
                <w:bCs/>
                <w:sz w:val="24"/>
                <w:szCs w:val="24"/>
                <w:lang w:val="ro-RO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 w14:paraId="72B63A5D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</w:rPr>
              <w:t xml:space="preserve">Lemn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</w:rPr>
              <w:t xml:space="preserve"> de foc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(specii tari,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</w:rPr>
              <w:t xml:space="preserve">despicat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</w:rPr>
              <w:t xml:space="preserve"> si uscat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e)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non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1c1c1c"/>
                <w:sz w:val="24"/>
                <w:szCs w:val="24"/>
                <w:highlight w:val="none"/>
                <w:u w:val="none"/>
                <w:lang w:val="ro-RO"/>
              </w:rPr>
              <w:t xml:space="preserve">cu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u w:val="none"/>
                <w:lang w:val="ro-RO"/>
              </w:rPr>
              <w:t xml:space="preserve"> dimensiuni:</w:t>
            </w:r>
            <w:r>
              <w:rPr>
                <w:rFonts w:ascii="Times New Roman" w:hAnsi="Times New Roman" w:cs="Times New Roman"/>
                <w:b w:val="0"/>
                <w:bCs w:val="0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Cs w:val="24"/>
                <w:u w:val="none"/>
              </w:rPr>
            </w:r>
          </w:p>
          <w:p w14:paraId="55A030A3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Lung: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45-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cm</w:t>
            </w:r>
            <w:r>
              <w:rPr>
                <w:rFonts w:ascii="Times New Roman" w:hAnsi="Times New Roman" w:cs="Times New Roman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szCs w:val="24"/>
                <w:u w:val="none"/>
              </w:rPr>
            </w:r>
          </w:p>
          <w:p w14:paraId="0DFDE40F">
            <w:pPr>
              <w:pStyle w:val="794"/>
              <w:pBdr/>
              <w:spacing/>
              <w:ind w:right="-108" w:firstLine="0" w:left="0"/>
              <w:rPr>
                <w:rFonts w:ascii="Times New Roman" w:hAnsi="Times New Roman" w:cs="Times New Roman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Gros: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de la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6x10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cm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pînă la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8x12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highlight w:val="white"/>
                <w:u w:val="none"/>
              </w:rPr>
              <w:t xml:space="preserve">cm </w:t>
            </w:r>
            <w:r>
              <w:rPr>
                <w:rFonts w:ascii="Times New Roman" w:hAnsi="Times New Roman" w:cs="Times New Roman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szCs w:val="24"/>
                <w:u w:val="none"/>
              </w:rPr>
            </w:r>
          </w:p>
          <w:p w14:paraId="6D207C6A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u w:val="none"/>
              </w:rPr>
            </w:r>
          </w:p>
          <w:p w14:paraId="1651EB88"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u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Lemnele să fie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  <w:lang w:val="ro-RO"/>
              </w:rPr>
              <w:t xml:space="preserve">ambalate </w:t>
            </w:r>
            <w:r>
              <w:rPr>
                <w:rFonts w:ascii="Times New Roman" w:hAnsi="Times New Roman" w:eastAsia="Times New Roman" w:cs="Times New Roman"/>
                <w:b/>
                <w:bCs/>
                <w:color w:val="1c1c1c"/>
                <w:sz w:val="24"/>
                <w:szCs w:val="24"/>
                <w:highlight w:val="white"/>
                <w:u w:val="none"/>
              </w:rPr>
              <w:t xml:space="preserve">in saci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din plasă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highlight w:val="white"/>
              </w:rPr>
              <w:t xml:space="preserve">de înaltă rezistență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, plasa nemetalică, câte 0,5 m/steri în sac.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u w:val="none"/>
                <w:lang w:val="ro-RO"/>
              </w:rPr>
            </w:r>
          </w:p>
          <w:p w14:paraId="2B7DBA78">
            <w:pPr>
              <w:pStyle w:val="794"/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ro-RO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.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en-US"/>
              </w:rPr>
              <w:t xml:space="preserve">Livrarea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ro-RO"/>
              </w:rPr>
              <w:t xml:space="preserve">Lemnelor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en-US"/>
              </w:rPr>
              <w:t xml:space="preserve"> se efectuează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cu transportul Vânzătorului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en-US"/>
              </w:rPr>
              <w:t xml:space="preserve">pînă la depozitele ale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ro-RO"/>
              </w:rPr>
              <w:t xml:space="preserve">Serviciilor,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highlight w:val="white"/>
                <w:u w:val="none"/>
                <w:lang w:val="ro-RO"/>
              </w:rPr>
              <w:t xml:space="preserve"> arondate ATAS NORD VEST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white"/>
                <w:u w:val="none"/>
                <w:lang w:val="en-US"/>
              </w:rPr>
              <w:t xml:space="preserve">,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 conform listei.</w:t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  <w:lang w:val="en-US"/>
              </w:rPr>
            </w: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highlight w:val="none"/>
                <w:u w:val="none"/>
                <w:lang w:val="en-US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highlight w:val="white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/>
                <w:b/>
                <w:sz w:val="24"/>
                <w:szCs w:val="24"/>
                <w:highlight w:val="white"/>
                <w:u w:val="none"/>
              </w:rPr>
            </w:pP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ro-RO"/>
              </w:rPr>
              <w:t xml:space="preserve">4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.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Termen de livrare pînă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ro-RO"/>
              </w:rPr>
              <w:t xml:space="preserve">                   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white"/>
                <w:u w:val="none"/>
                <w:lang w:val="en-US"/>
              </w:rPr>
              <w:t xml:space="preserve">la </w:t>
            </w:r>
            <w:r>
              <w:rPr>
                <w:rFonts w:ascii="Times New Roman" w:hAnsi="Times New Roman" w:eastAsia="Times New Roman"/>
                <w:b/>
                <w:sz w:val="24"/>
                <w:szCs w:val="24"/>
                <w:highlight w:val="none"/>
                <w:u w:val="none"/>
                <w:lang w:val="ro-RO"/>
              </w:rPr>
              <w:t xml:space="preserve">31 iulie 2026</w:t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  <w:u w:val="none"/>
              </w:rPr>
            </w:r>
            <w:r>
              <w:rPr>
                <w:rFonts w:ascii="Times New Roman" w:hAnsi="Times New Roman"/>
                <w:b/>
                <w:sz w:val="24"/>
                <w:szCs w:val="24"/>
                <w:highlight w:val="white"/>
                <w:u w:val="none"/>
              </w:rPr>
            </w:r>
          </w:p>
          <w:p w14:paraId="085F825E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 w14:paraId="2F50BC77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 w14:paraId="74BCA4A7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 w14:paraId="38DC43C6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 w14:paraId="5A7C292C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 w14:paraId="6C5EA31D"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/>
              <w:rPr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  <w:r>
              <w:rPr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right="0" w:firstLine="142" w:left="0"/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highlight w:val="yellow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highlight w:val="yellow"/>
                <w:u w:val="none"/>
                <w:lang w:val="ro-RO"/>
              </w:rPr>
              <w:t xml:space="preserve">*NOTA: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highlight w:val="yellow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highlight w:val="yellow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yellow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sz w:val="24"/>
                <w:szCs w:val="24"/>
                <w:highlight w:val="none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u w:val="none"/>
                <w:lang w:val="ro-RO"/>
              </w:rPr>
              <w:t xml:space="preserve">P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u w:val="none"/>
              </w:rPr>
              <w:t xml:space="preserve">e teritoriul Republicii Moldova,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ro-RO"/>
              </w:rPr>
              <w:t xml:space="preserve">pentru livrarea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yellow"/>
                <w:u w:val="none"/>
                <w:lang w:val="ro-RO"/>
              </w:rPr>
              <w:t xml:space="preserve">Lemnului de foc 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yellow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yellow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yellow"/>
                <w:u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ro-RO"/>
              </w:rPr>
              <w:t xml:space="preserve">Instituțiilor publice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u w:val="none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u w:val="none"/>
              </w:rPr>
            </w:r>
          </w:p>
          <w:p>
            <w:pPr>
              <w:pStyle w:val="794"/>
              <w:pBdr/>
              <w:spacing/>
              <w:ind w:right="0" w:firstLine="0" w:left="0"/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ro-RO"/>
              </w:rPr>
              <w:t xml:space="preserve">este stabilită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ro-RO"/>
              </w:rPr>
              <w:t xml:space="preserve">cota 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yellow"/>
                <w:u w:val="none"/>
                <w:lang w:val="ro-RO"/>
              </w:rPr>
              <w:t xml:space="preserve">TVA</w:t>
            </w:r>
            <w:r>
              <w:rPr>
                <w:rFonts w:ascii="Times New Roman" w:hAnsi="Times New Roman" w:eastAsia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highlight w:val="yellow"/>
                <w:u w:val="none"/>
                <w:lang w:val="ro-RO"/>
              </w:rPr>
              <w:t xml:space="preserve"> 8 %.</w:t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/>
                <w:bCs w:val="0"/>
                <w:i w:val="0"/>
                <w:color w:val="auto"/>
                <w:sz w:val="24"/>
                <w:szCs w:val="24"/>
                <w:highlight w:val="none"/>
                <w:u w:val="none"/>
              </w:rPr>
            </w:r>
          </w:p>
          <w:p>
            <w:pPr>
              <w:pStyle w:val="794"/>
              <w:pBdr/>
              <w:spacing/>
              <w:ind/>
              <w:rPr>
                <w:u w:val="none"/>
              </w:rPr>
            </w:pPr>
            <w:r>
              <w:rPr>
                <w:u w:val="none"/>
              </w:rPr>
            </w:r>
            <w:r>
              <w:rPr>
                <w:u w:val="none"/>
              </w:rPr>
            </w:r>
            <w:r>
              <w:rPr>
                <w:u w:val="none"/>
              </w:rPr>
            </w:r>
          </w:p>
        </w:tc>
      </w:tr>
      <w:tr>
        <w:trPr>
          <w:trHeight w:val="397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1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/>
              <w:ind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02EBC04A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„ProSperare”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din cadrul STAS Fălești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2234E10F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s. Bocșa,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com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Risipeni,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 w14:paraId="37796E2F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/>
            </w:pPr>
            <w:r>
              <w:rPr>
                <w:sz w:val="24"/>
                <w:szCs w:val="24"/>
                <w:lang w:val="ro-RO"/>
              </w:rPr>
              <w:t xml:space="preserve">m/steri</w:t>
            </w:r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1647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2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/>
              <w:ind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741C0A2A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  <w:t xml:space="preserve">„Nufărul Alb”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din cadrul Direcției protecția copilului și a familiei a STAS-ului Fălești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                    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(cu statut de serviciu)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611A4B86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s. Glinjeni,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 w14:paraId="5BBA8B9D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/>
            </w:pPr>
            <w:r>
              <w:rPr>
                <w:sz w:val="24"/>
                <w:szCs w:val="24"/>
                <w:lang w:val="ro-RO"/>
              </w:rPr>
              <w:t xml:space="preserve">m/steri</w:t>
            </w:r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25,00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1647"/>
        </w:trPr>
        <w:tc>
          <w:tcPr>
            <w:gridSpan w:val="2"/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58" w:type="dxa"/>
            <w:vAlign w:val="center"/>
            <w:vMerge w:val="restart"/>
            <w:textDirection w:val="lrTb"/>
            <w:noWrap w:val="false"/>
          </w:tcPr>
          <w:p w14:paraId="48940BF8">
            <w:pPr>
              <w:pStyle w:val="741"/>
              <w:pBdr/>
              <w:spacing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3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95" w:type="dxa"/>
            <w:vAlign w:val="top"/>
            <w:vMerge w:val="restart"/>
            <w:textDirection w:val="lrTb"/>
            <w:noWrap w:val="false"/>
          </w:tcPr>
          <w:p w14:paraId="0F835835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„Împreună”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persoanelor în vârstă și a persoanelor cu dizabilități a STAS-ului Fălești                   (cu statut de serviciu),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 w14:paraId="434F6804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s. Ciolacu Nou,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 w14:paraId="43A26B1E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21" w:type="dxa"/>
            <w:vAlign w:val="top"/>
            <w:vMerge w:val="restart"/>
            <w:textDirection w:val="lrTb"/>
            <w:noWrap w:val="false"/>
          </w:tcPr>
          <w:p w14:paraId="255966B8">
            <w:pPr>
              <w:pStyle w:val="741"/>
              <w:pBdr/>
              <w:spacing/>
              <w:ind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42" w:type="dxa"/>
            <w:vAlign w:val="center"/>
            <w:vMerge w:val="restart"/>
            <w:textDirection w:val="lrTb"/>
            <w:noWrap w:val="false"/>
          </w:tcPr>
          <w:p w14:paraId="161F5505">
            <w:pPr>
              <w:pBdr/>
              <w:spacing/>
              <w:ind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10,00</w:t>
            </w:r>
            <w:r>
              <w:rPr>
                <w:sz w:val="24"/>
                <w:szCs w:val="24"/>
                <w:lang w:val="ro-RO"/>
              </w:rPr>
            </w:r>
            <w:r>
              <w:rPr>
                <w:sz w:val="24"/>
                <w:szCs w:val="24"/>
                <w:lang w:val="ro-RO"/>
              </w:rPr>
            </w:r>
          </w:p>
        </w:tc>
        <w:tc>
          <w:tcPr>
            <w:shd w:val="clear" w:color="ffffff" w:fill="ffffff"/>
            <w:tcBorders>
              <w:left w:val="single" w:color="000000" w:sz="4" w:space="0"/>
              <w:right w:val="single" w:color="000000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 w14:paraId="0529AE6C"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1674"/>
        </w:trPr>
        <w:tc>
          <w:tcPr>
            <w:gridSpan w:val="2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8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lang w:val="ro-RO"/>
              </w:rPr>
              <w:t xml:space="preserve">4</w:t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Style w:val="741"/>
              <w:pBdr/>
              <w:spacing/>
              <w:ind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  <w:p>
            <w:pPr>
              <w:pBdr/>
              <w:spacing/>
              <w:ind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  <w:r>
              <w:rPr>
                <w:b w:val="0"/>
                <w:bCs w:val="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95" w:type="dxa"/>
            <w:vAlign w:val="top"/>
            <w:textDirection w:val="lrTb"/>
            <w:noWrap w:val="false"/>
          </w:tcPr>
          <w:p w14:paraId="615C5172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plasament pentru copii separați de părinți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„Raza Soarelui”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copilului și a familiei a STAS-ului Sîngerei (cu statut de serviciu),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5A1F6841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o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r. Sîngerei,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str. Independenței, 223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 w14:paraId="6BD03AA1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top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/>
            </w:pPr>
            <w:r>
              <w:rPr>
                <w:sz w:val="24"/>
                <w:szCs w:val="24"/>
                <w:lang w:val="ro-RO"/>
              </w:rPr>
              <w:t xml:space="preserve">m/steri</w:t>
            </w:r>
            <w:r/>
          </w:p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 xml:space="preserve">15,00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single" w:color="auto" w:sz="4" w:space="0"/>
              <w:right w:val="single" w:color="auto" w:sz="4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pStyle w:val="741"/>
              <w:pBdr/>
              <w:spacing w:before="120"/>
              <w:ind w:right="113" w:left="113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>
          <w:trHeight w:val="557"/>
        </w:trPr>
        <w:tc>
          <w:tcPr>
            <w:gridSpan w:val="3"/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5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 w:right="-382" w:firstLine="0" w:left="0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Valoarea estimativă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pe lotul nr.2                  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  <w:lang w:val="ro-RO"/>
              </w:rPr>
              <w:t xml:space="preserve">LEMNE DE FOC (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none"/>
                <w:lang w:val="ro-RO"/>
              </w:rPr>
              <w:t xml:space="preserve">specii tari, despicate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u w:val="none"/>
                <w:lang w:val="ro-RO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u w:val="none"/>
                <w:lang w:val="ro-RO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u w:val="none"/>
                <w:lang w:val="ro-RO"/>
              </w:rPr>
              <w:t xml:space="preserve">               fă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ro-RO"/>
              </w:rPr>
              <w:t xml:space="preserve">ră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TVA</w:t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21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 w:right="0" w:firstLine="0" w:left="0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m/</w:t>
            </w:r>
            <w:r>
              <w:rPr>
                <w:b/>
                <w:bCs/>
                <w:sz w:val="24"/>
                <w:szCs w:val="24"/>
                <w:lang w:val="ro-RO"/>
              </w:rPr>
              <w:t xml:space="preserve">steri</w:t>
            </w:r>
            <w:r>
              <w:rPr>
                <w:b/>
                <w:iCs/>
                <w:sz w:val="26"/>
                <w:szCs w:val="26"/>
              </w:rPr>
            </w:r>
            <w:r>
              <w:rPr>
                <w:b/>
                <w:iCs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2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 w:left="142"/>
              <w:jc w:val="center"/>
              <w:rPr>
                <w:b/>
                <w:i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 xml:space="preserve">60,0</w:t>
            </w:r>
            <w:r>
              <w:rPr>
                <w:b/>
                <w:iCs/>
                <w:sz w:val="26"/>
                <w:szCs w:val="26"/>
              </w:rPr>
            </w:r>
            <w:r>
              <w:rPr>
                <w:b/>
                <w:iCs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/>
                <w:bCs/>
                <w:sz w:val="26"/>
                <w:szCs w:val="26"/>
                <w:highlight w:val="none"/>
                <w:lang w:val="ro-RO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 xml:space="preserve">100000,00</w:t>
            </w:r>
            <w:r>
              <w:rPr>
                <w:b/>
                <w:bCs/>
                <w:sz w:val="26"/>
                <w:szCs w:val="26"/>
                <w:highlight w:val="none"/>
                <w:lang w:val="ro-RO"/>
              </w:rPr>
            </w:r>
            <w:r>
              <w:rPr>
                <w:b/>
                <w:bCs/>
                <w:sz w:val="26"/>
                <w:szCs w:val="26"/>
                <w:highlight w:val="none"/>
                <w:lang w:val="ro-RO"/>
              </w:rPr>
            </w:r>
          </w:p>
        </w:tc>
      </w:tr>
      <w:tr>
        <w:trPr>
          <w:trHeight w:val="516"/>
        </w:trPr>
        <w:tc>
          <w:tcPr>
            <w:gridSpan w:val="5"/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816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 w:before="120"/>
              <w:ind/>
              <w:jc w:val="center"/>
              <w:rPr>
                <w:b/>
                <w:i/>
                <w:sz w:val="19"/>
                <w:szCs w:val="19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Valoarea estimativă totală</w:t>
            </w:r>
            <w:r>
              <w:rPr>
                <w:b/>
                <w:bCs/>
                <w:i/>
                <w:iCs/>
                <w:lang w:eastAsia="ru-RU"/>
              </w:rPr>
              <w:t xml:space="preserve">, fără TVA</w:t>
            </w:r>
            <w:r>
              <w:rPr>
                <w:b/>
                <w:bCs/>
                <w:i/>
                <w:iCs/>
                <w:lang w:val="ro-RO"/>
              </w:rPr>
              <w:t xml:space="preserve">, lei</w:t>
            </w:r>
            <w:r>
              <w:rPr>
                <w:b/>
                <w:i/>
                <w:sz w:val="19"/>
                <w:szCs w:val="19"/>
              </w:rPr>
            </w:r>
            <w:r>
              <w:rPr>
                <w:b/>
                <w:i/>
                <w:sz w:val="19"/>
                <w:szCs w:val="19"/>
              </w:rPr>
            </w:r>
          </w:p>
        </w:tc>
        <w:tc>
          <w:tcPr>
            <w:shd w:val="clear" w:color="ffffff" w:fill="d9d9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3" w:type="dxa"/>
            <w:vAlign w:val="center"/>
            <w:textDirection w:val="lrTb"/>
            <w:noWrap w:val="false"/>
          </w:tcPr>
          <w:p>
            <w:pPr>
              <w:pStyle w:val="741"/>
              <w:pBdr/>
              <w:spacing/>
              <w:ind/>
              <w:jc w:val="center"/>
              <w:rPr>
                <w:b/>
                <w:bCs/>
                <w:i/>
                <w:lang w:val="ro-RO"/>
              </w:rPr>
            </w:pPr>
            <w:r>
              <w:rPr>
                <w:b/>
                <w:bCs/>
                <w:i/>
                <w:iCs/>
                <w:lang w:val="ro-RO"/>
              </w:rPr>
              <w:t xml:space="preserve">450000,00</w:t>
            </w:r>
            <w:r>
              <w:rPr>
                <w:b/>
                <w:bCs/>
                <w:i/>
                <w:lang w:val="ro-RO"/>
              </w:rPr>
            </w:r>
            <w:r>
              <w:rPr>
                <w:b/>
                <w:bCs/>
                <w:i/>
                <w:lang w:val="ro-RO"/>
              </w:rPr>
            </w:r>
          </w:p>
        </w:tc>
      </w:tr>
    </w:tbl>
    <w:p w14:paraId="3E86BD2B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i/>
          <w:iCs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color w:val="000000"/>
          <w:sz w:val="24"/>
          <w:lang w:val="ro-RO"/>
        </w:rPr>
        <w:t xml:space="preserve">9. </w:t>
      </w:r>
      <w:r>
        <w:rPr>
          <w:rFonts w:eastAsia="Times New Roman"/>
          <w:color w:val="000000"/>
          <w:sz w:val="24"/>
          <w:lang w:val="en-US"/>
        </w:rPr>
        <w:t xml:space="preserve">În cazul procedurilor de preselecție se indică numărul minim al candidaților şi, dacă este cazul, numărul maxim al acestora.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 w14:paraId="16559F07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 w:bidi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 w:bidi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10.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În cazul în care contractul este împărțit pe loturi un operator economic poate depune oferta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:                   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</w:t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  <w:r>
        <w:rPr>
          <w:rFonts w:ascii="Times New Roman" w:hAnsi="Times New Roman" w:eastAsia="Times New Roman"/>
          <w:bCs/>
          <w:i/>
          <w:color w:val="000000"/>
          <w:sz w:val="16"/>
          <w:szCs w:val="16"/>
          <w:lang w:val="ro-RO"/>
        </w:rPr>
      </w:r>
    </w:p>
    <w:p>
      <w:pPr>
        <w:pStyle w:val="794"/>
        <w:pBdr/>
        <w:spacing/>
        <w:ind/>
        <w:rPr>
          <w:bCs/>
          <w:i/>
          <w:sz w:val="16"/>
          <w:szCs w:val="16"/>
          <w:lang w:val="en-US"/>
        </w:rPr>
      </w:pP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GB"/>
        </w:rPr>
        <w:t xml:space="preserve">                                                         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ro-RO"/>
        </w:rPr>
        <w:t xml:space="preserve">         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(se va selecta):</w:t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>
      <w:pPr>
        <w:pStyle w:val="794"/>
        <w:pBdr/>
        <w:spacing/>
        <w:ind/>
        <w:rPr>
          <w:b/>
          <w:bCs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1)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en-US"/>
        </w:rPr>
        <w:t xml:space="preserve">Pentru un singur lot;</w:t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794"/>
        <w:pBdr/>
        <w:spacing/>
        <w:ind/>
        <w:rPr>
          <w:b/>
          <w:bCs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2)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en-US"/>
        </w:rPr>
        <w:t xml:space="preserve">Pentru mai multe loturi;</w:t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ro-RO"/>
        </w:rPr>
        <w:t xml:space="preserve">3) </w:t>
      </w:r>
      <w:r>
        <w:rPr>
          <w:rFonts w:ascii="Times New Roman" w:hAnsi="Times New Roman" w:eastAsia="Times New Roman"/>
          <w:b/>
          <w:bCs/>
          <w:color w:val="000000"/>
          <w:sz w:val="24"/>
          <w:u w:val="single"/>
          <w:lang w:val="en-US"/>
        </w:rPr>
        <w:t xml:space="preserve">Pentru toate loturile;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94"/>
        <w:pBdr/>
        <w:spacing/>
        <w:ind/>
        <w:rPr>
          <w:b/>
          <w:bCs/>
          <w:u w:val="single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highlight w:val="none"/>
          <w:u w:val="single"/>
          <w:lang w:val="en-US"/>
        </w:rPr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color w:val="000000"/>
          <w:sz w:val="20"/>
          <w:szCs w:val="20"/>
          <w:lang w:val="ro-RO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lang w:val="ro-RO"/>
        </w:rPr>
        <w:t xml:space="preserve">11.</w:t>
      </w:r>
      <w:r>
        <w:rPr>
          <w:rFonts w:ascii="Times New Roman" w:hAnsi="Times New Roman" w:eastAsia="Times New Roman"/>
          <w:b/>
          <w:bCs/>
          <w:color w:val="000000"/>
          <w:sz w:val="24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Admiterea sau interzicerea ofertelor alternative:</w:t>
      </w:r>
      <w:r>
        <w:rPr>
          <w:rFonts w:ascii="Times New Roman" w:hAnsi="Times New Roman" w:eastAsia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 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N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en-US"/>
        </w:rPr>
        <w:t xml:space="preserve">u se</w:t>
      </w:r>
      <w:r>
        <w:rPr>
          <w:rFonts w:ascii="Times New Roman" w:hAnsi="Times New Roman" w:eastAsia="Times New Roman"/>
          <w:b/>
          <w:bCs/>
          <w:i/>
          <w:iCs/>
          <w:color w:val="000000"/>
          <w:sz w:val="24"/>
          <w:szCs w:val="24"/>
          <w:u w:val="single"/>
          <w:lang w:val="ro-RO"/>
        </w:rPr>
        <w:t xml:space="preserve"> admite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               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</w:t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val="ro-RO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pP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</w:t>
      </w:r>
      <w:r>
        <w:rPr>
          <w:rFonts w:ascii="Times New Roman" w:hAnsi="Times New Roman" w:eastAsia="Times New Roman"/>
          <w:color w:val="000000"/>
          <w:sz w:val="20"/>
          <w:lang w:val="ro-RO"/>
        </w:rPr>
        <w:t xml:space="preserve">                                </w:t>
      </w:r>
      <w:r>
        <w:rPr>
          <w:rFonts w:ascii="Times New Roman" w:hAnsi="Times New Roman" w:eastAsia="Times New Roman"/>
          <w:color w:val="000000"/>
          <w:sz w:val="20"/>
          <w:lang w:val="en-US"/>
        </w:rPr>
        <w:t xml:space="preserve">             </w:t>
      </w:r>
      <w:r>
        <w:rPr>
          <w:rFonts w:ascii="Times New Roman" w:hAnsi="Times New Roman" w:eastAsia="Times New Roman"/>
          <w:i/>
          <w:iCs/>
          <w:color w:val="000000"/>
          <w:sz w:val="16"/>
          <w:szCs w:val="16"/>
          <w:lang w:val="en-US"/>
        </w:rPr>
        <w:t xml:space="preserve">    (indicați se admite sau nu se admite)</w:t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  <w:r>
        <w:rPr>
          <w:rFonts w:ascii="Times New Roman" w:hAnsi="Times New Roman" w:eastAsia="Times New Roman"/>
          <w:b/>
          <w:bCs/>
          <w:i/>
          <w:color w:val="000000"/>
          <w:sz w:val="16"/>
          <w:szCs w:val="16"/>
          <w:u w:val="single"/>
          <w:lang w:val="en-US"/>
        </w:rPr>
      </w:r>
    </w:p>
    <w:p>
      <w:pPr>
        <w:pStyle w:val="794"/>
        <w:pBdr/>
        <w:spacing/>
        <w:ind/>
        <w:rPr>
          <w:bCs/>
          <w:i/>
          <w:sz w:val="16"/>
          <w:szCs w:val="16"/>
          <w:lang w:val="en-US"/>
        </w:rPr>
      </w:pP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  <w:r>
        <w:rPr>
          <w:bCs/>
          <w:i/>
          <w:sz w:val="16"/>
          <w:szCs w:val="16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rPr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12.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szCs w:val="24"/>
          <w:lang w:val="en-US"/>
        </w:rPr>
        <w:t xml:space="preserve">Termenii și condițiile de livrare solicitați:  </w:t>
      </w:r>
      <w:r>
        <w:rPr>
          <w:b/>
          <w:i/>
          <w:sz w:val="24"/>
          <w:szCs w:val="24"/>
          <w:highlight w:val="white"/>
          <w:u w:val="single"/>
        </w:rPr>
        <w:t xml:space="preserve">Termenul de livrare pînă la </w:t>
      </w:r>
      <w:r>
        <w:rPr>
          <w:b/>
          <w:i/>
          <w:sz w:val="24"/>
          <w:szCs w:val="24"/>
          <w:highlight w:val="none"/>
          <w:u w:val="single"/>
          <w:lang w:val="ro-RO"/>
        </w:rPr>
        <w:t xml:space="preserve">31 iulie 2026.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/>
        <w:ind/>
        <w:jc w:val="both"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13.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contractului: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31.12.202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6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120" w:line="276" w:lineRule="auto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lang w:val="ro-RO"/>
        </w:rPr>
        <w:t xml:space="preserve">14. </w:t>
      </w:r>
      <w:r>
        <w:rPr>
          <w:rFonts w:eastAsia="Times New Roman"/>
          <w:color w:val="000000"/>
          <w:sz w:val="24"/>
          <w:lang w:val="en-US"/>
        </w:rPr>
        <w:t xml:space="preserve">Contract de achiziție rezervat atelierelor protejate sau că acesta poate fi executat numai în cadrul unor programe de angajare protejată (după caz):</w:t>
      </w:r>
      <w:r>
        <w:rPr>
          <w:rFonts w:eastAsia="Times New Roman"/>
          <w:b/>
          <w:color w:val="000000"/>
          <w:sz w:val="24"/>
          <w:lang w:val="en-US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Prestarea serviciului este rezervată unei anumite profesii în temeiul unor legi sau al unor acte administrative (după caz):</w:t>
      </w:r>
      <w:r>
        <w:rPr>
          <w:rFonts w:eastAsia="Times New Roman"/>
          <w:b/>
          <w:color w:val="000000"/>
          <w:sz w:val="24"/>
          <w:lang w:val="en-US"/>
        </w:rPr>
        <w:t xml:space="preserve"> 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Nu se aplică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 w14:paraId="2552D4D5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276" w:lineRule="auto"/>
        <w:ind w:right="-425"/>
        <w:rPr>
          <w:rFonts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before="120" w:line="360" w:lineRule="auto"/>
        <w:ind w:right="-425"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16. </w:t>
      </w:r>
      <w:r>
        <w:rPr>
          <w:rFonts w:eastAsia="Times New Roman"/>
          <w:b/>
          <w:color w:val="000000"/>
          <w:sz w:val="24"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</w:t>
      </w:r>
      <w:r>
        <w:rPr>
          <w:rFonts w:eastAsia="Times New Roman"/>
          <w:b/>
          <w:color w:val="000000"/>
          <w:sz w:val="24"/>
          <w:lang w:val="en-US"/>
        </w:rPr>
        <w:t xml:space="preserve">al (ale) cerințelor eventual impuse; se menționează informațiile solicitate (DUAE, documentație):   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077"/>
        <w:gridCol w:w="3793"/>
        <w:gridCol w:w="1951"/>
      </w:tblGrid>
      <w:tr>
        <w:trPr/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12"/>
              </w:tabs>
              <w:spacing w:after="0" w:line="276" w:lineRule="auto"/>
              <w:ind/>
              <w:rPr>
                <w:sz w:val="18"/>
                <w:szCs w:val="18"/>
              </w:rPr>
            </w:pPr>
            <w:r>
              <w:rPr>
                <w:rFonts w:eastAsia="Times New Roman"/>
                <w:b/>
                <w:color w:val="000000"/>
                <w:sz w:val="24"/>
                <w:lang w:val="en-US"/>
              </w:rPr>
              <w:t xml:space="preserve"> </w:t>
            </w:r>
            <w:r>
              <w:rPr>
                <w:rFonts w:eastAsia="Times New Roman"/>
                <w:b/>
                <w:color w:val="000000"/>
                <w:sz w:val="18"/>
                <w:szCs w:val="18"/>
              </w:rPr>
              <w:t xml:space="preserve">Nr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val="ro-RO"/>
              </w:rPr>
              <w:t xml:space="preserve">.</w:t>
            </w:r>
            <w:r>
              <w:rPr>
                <w:rFonts w:eastAsia="Times New Roman"/>
                <w:b/>
                <w:color w:val="000000"/>
                <w:sz w:val="18"/>
                <w:szCs w:val="18"/>
              </w:rPr>
              <w:t xml:space="preserve">d/o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12"/>
              </w:tabs>
              <w:spacing w:after="0" w:line="276" w:lineRule="auto"/>
              <w:ind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Descrierea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r>
          </w:p>
          <w:p w14:paraId="0C4EFA7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12"/>
              </w:tabs>
              <w:spacing w:after="0" w:line="276" w:lineRule="auto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criteriului/cerinței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12"/>
              </w:tabs>
              <w:spacing w:after="0" w:line="276" w:lineRule="auto"/>
              <w:ind/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  <w:lang w:val="en-US"/>
              </w:rPr>
              <w:t xml:space="preserve">Mod de demonstrare a îndeplinirii criteriului/cerinței: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12"/>
              </w:tabs>
              <w:spacing w:after="0" w:line="276" w:lineRule="auto"/>
              <w:ind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Nivelul minim/</w:t>
            </w:r>
            <w:r>
              <w:rPr>
                <w:rFonts w:eastAsia="Times New Roman"/>
                <w:b/>
                <w:color w:val="000000"/>
                <w:sz w:val="24"/>
                <w:szCs w:val="24"/>
              </w:rPr>
              <w:br w:type="textWrapping" w:clear="all"/>
            </w: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 Obligativitatea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DUAE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Original, confirmat prin 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Cerere de participare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onform anexei nr.7 din Documentația standard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 nr.115 din 15.09.2021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, confirmat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prin 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Oferta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Original.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Formularul Ofertei F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.3.1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d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in Documentația standard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 nr.115 din 15.09.2021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, confirmat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prin aplicarea semnăturii electronice a Participantului.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Declarația privind valabilitatea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ofertei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Original, c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en-US"/>
              </w:rPr>
              <w:t xml:space="preserve">onform anexei nr.8 din Documentația standard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nr.115 din 15.09.2021.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en-US"/>
              </w:rPr>
              <w:t xml:space="preserve"> Termenul de valabilitate – 30 zile din ziua deschiderii ofertelor, cconfirmat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en-US"/>
              </w:rPr>
              <w:t xml:space="preserve">prin 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 w14:paraId="186FD35C"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 w14:paraId="6D85D5C9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Garanţia pentru ofertă 1% din valoarea ofertei fără TVA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, în forma de scrisoare oficială emisă de o banca comercială.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r>
          </w:p>
          <w:p w14:paraId="62BCE550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white"/>
                <w:lang w:val="ro-RO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 w14:paraId="7A79B0F4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en-GB"/>
              </w:rPr>
              <w:t xml:space="preserve">Original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white"/>
                <w:lang w:val="en-US"/>
              </w:rPr>
              <w:t xml:space="preserve">conform anexei nr.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white"/>
                <w:lang w:val="ro-RO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white"/>
                <w:lang w:val="en-US"/>
              </w:rPr>
              <w:t xml:space="preserve"> din Documentația Standard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white"/>
                <w:lang w:val="ro-RO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en-GB"/>
              </w:rPr>
              <w:t xml:space="preserve">Oferta va fi însoţită de o Garanţie pentru ofertă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,                            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in formă de scrisoare oficială, e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en-GB"/>
              </w:rPr>
              <w:t xml:space="preserve">misă de o bancă comercială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en-GB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en-GB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white"/>
              </w:rPr>
            </w:r>
          </w:p>
          <w:p w14:paraId="4CEE20A8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white"/>
                <w:lang w:val="ro-RO"/>
              </w:rPr>
              <w:t xml:space="preserve">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highlight w:val="white"/>
                <w:lang w:val="en-GB"/>
              </w:rPr>
              <w:t xml:space="preserve">riginal  -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cu semnătura electronică a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operatorului economic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 w14:paraId="271E2F29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Declaraţie privind dotările specifice, utilajul şi echipamentul necesar pentru îndeplinirea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  <w:lang w:val="ro-RO"/>
              </w:rPr>
              <w:t xml:space="preserve"> c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  <w:t xml:space="preserve">orespunzătoare a contractului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onform anexei nr.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 din Documentația standard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 nr.115 din 15.09.2021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, confirmat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ă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prin 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7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Specificația tehnică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conform anexei nr.22 la Documentația Standard nr.115 din 15.09.2021,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8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Specificația de preț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conform anexei nr.23 la Documentația Standard nr.115 din 15.09.2021,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9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Dovada înregistrării persoanei juridice, în conformitate cu prevederile legale din ţara în care ofertantul este stabilit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Copie,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10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Informații generale despre ofertant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11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Certificat de atribuire a contului bancar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Copie, 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85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12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Certificat (VALABIL) de la organele Inspectoratului Fiscal privind lipsa datoriilor față de Bugetul Public Național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Copie,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253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13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Lista fondatorilor operatorilor economici – nume, prenume, cod personal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c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828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14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Certificat de conformitate sau un alt document, echivalent, ce confirmă calitatea bunurilor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rHeight w:val="82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vMerge w:val="restart"/>
            <w:textDirection w:val="lrTb"/>
            <w:noWrap w:val="false"/>
          </w:tcPr>
          <w:p w14:paraId="489D030E"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15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 w14:paraId="56311AE4"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Declarație pe propria răspundere privind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n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eîncadrarea în situațiile ce determină excluderea de la procedura de atribuire, ce vin în aplicarea art.18 din Legea nr.131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din 03.07.2015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 w14:paraId="4F47D826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  <w:highlight w:val="white"/>
                <w:lang w:val="en-GB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 w14:paraId="1D0E8A82"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16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pPr>
            <w:r>
              <w:rPr>
                <w:rStyle w:val="956"/>
                <w:rFonts w:ascii="Times New Roman" w:hAnsi="Times New Roman" w:eastAsia="Times New Roman" w:cs="Times New Roman"/>
                <w:sz w:val="22"/>
                <w:szCs w:val="22"/>
              </w:rPr>
              <w:t xml:space="preserve">Declarație privind confirmarea identității beneficiarilor efectivi și neâncadrarea acestora în situația condamnării pentru participarea la activități ale unei organizații sau grupări criminale, pentru corupție, fraudă și/sau spălare de bani.</w:t>
            </w:r>
            <w:r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iCs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ro-RO"/>
              </w:rPr>
              <w:t xml:space="preserve">Original, confirmată prin 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/>
              </w:rPr>
              <w:t xml:space="preserve">aplicarea semnăturii electronice a Participantului.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r>
          </w:p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</w:rPr>
              <w:t xml:space="preserve">Operatorul economic va completa declarația modelul aferent procedurii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  <w:lang w:val="ro-RO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</w:rPr>
              <w:t xml:space="preserve">probat 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  <w:lang w:val="ro-RO"/>
              </w:rPr>
              <w:t xml:space="preserve">prin 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</w:rPr>
              <w:t xml:space="preserve">Ordinul MF nr.145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  <w:lang w:val="ro-RO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</w:rPr>
              <w:t xml:space="preserve">  din 24.11.2020</w:t>
            </w:r>
            <w:r>
              <w:rPr>
                <w:rFonts w:ascii="Times New Roman" w:hAnsi="Times New Roman" w:eastAsia="Times New Roman" w:cs="Times New Roman"/>
                <w:iCs/>
                <w:sz w:val="22"/>
                <w:szCs w:val="22"/>
                <w:lang w:val="ro-RO"/>
              </w:rPr>
              <w:t xml:space="preserve">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</w:rPr>
              <w:t xml:space="preserve">Obligatoriu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  <w:vMerge w:val="restart"/>
            <w:textDirection w:val="lrTb"/>
            <w:noWrap w:val="false"/>
          </w:tcPr>
          <w:p w14:paraId="2B21ABE2">
            <w:pPr>
              <w:pStyle w:val="794"/>
              <w:pBdr/>
              <w:spacing/>
              <w: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ro-RO"/>
              </w:rPr>
              <w:t xml:space="preserve">17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77" w:type="dxa"/>
            <w:vAlign w:val="center"/>
            <w:vMerge w:val="restart"/>
            <w:textDirection w:val="lrTb"/>
            <w:noWrap w:val="false"/>
          </w:tcPr>
          <w:p w14:paraId="0106D57C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Garanția de buna execuție 5%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ro-RO"/>
              </w:rPr>
              <w:t xml:space="preserve">                       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din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ro-RO"/>
              </w:rPr>
              <w:t xml:space="preserve">valoarea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 contractului cu TVA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                         în forma de scrisoare oficială emisă de o banca comercială.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  <w:tab/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</w:p>
          <w:p w14:paraId="6E82DD9B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793" w:type="dxa"/>
            <w:vAlign w:val="center"/>
            <w:vMerge w:val="restart"/>
            <w:textDirection w:val="lrTb"/>
            <w:noWrap w:val="false"/>
          </w:tcPr>
          <w:p w14:paraId="374E8B75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La semnarea contractului,</w:t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yellow"/>
              </w:rPr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yellow"/>
              </w:rPr>
            </w:r>
          </w:p>
          <w:p w14:paraId="59C0BA1B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  <w:t xml:space="preserve">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peratorul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  <w:t xml:space="preserve">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conomic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  <w:t xml:space="preserve"> desemnat cîștigător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ro-RO"/>
              </w:rPr>
              <w:t xml:space="preserve"> prezintă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Garanția de buna execuție 5% din 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ro-RO"/>
              </w:rPr>
              <w:t xml:space="preserve">valoarea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yellow"/>
                <w:lang w:val="en-US"/>
              </w:rPr>
              <w:t xml:space="preserve"> contractului cu TVA</w:t>
            </w:r>
            <w:r>
              <w:rPr>
                <w:rFonts w:ascii="Times New Roman" w:hAnsi="Times New Roman" w:eastAsia="Times New Roman" w:cs="Times New Roman"/>
                <w:b/>
                <w:bCs/>
                <w:iCs/>
                <w:sz w:val="22"/>
                <w:szCs w:val="22"/>
                <w:highlight w:val="white"/>
                <w:lang w:val="ro-RO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  <w:highlight w:val="white"/>
                <w:lang w:val="ro-RO"/>
              </w:rPr>
              <w:t xml:space="preserve"> în forma de scrisoare oficială emisă de o banca comercială</w:t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951" w:type="dxa"/>
            <w:vAlign w:val="center"/>
            <w:vMerge w:val="restart"/>
            <w:textDirection w:val="lrTb"/>
            <w:noWrap w:val="false"/>
          </w:tcPr>
          <w:p w14:paraId="61F73E67">
            <w:pPr>
              <w:pStyle w:val="794"/>
              <w:pBdr/>
              <w:spacing/>
              <w:ind/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Cs/>
                <w:sz w:val="22"/>
                <w:szCs w:val="22"/>
                <w:highlight w:val="white"/>
                <w:lang w:val="en-US"/>
              </w:rPr>
              <w:t xml:space="preserve">Obligatoriu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  <w:highlight w:val="white"/>
              </w:rPr>
            </w:r>
          </w:p>
        </w:tc>
      </w:tr>
    </w:tbl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left="360"/>
        <w:jc w:val="both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color w:val="000000"/>
          <w:sz w:val="24"/>
        </w:rPr>
        <w:t xml:space="preserve"> </w:t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76" w:lineRule="auto"/>
        <w:ind/>
        <w:jc w:val="both"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17.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Garanția pentru ofertă:</w:t>
      </w:r>
      <w:r>
        <w:rPr>
          <w:rFonts w:ascii="Times New Roman" w:hAnsi="Times New Roman" w:eastAsia="Times New Roman" w:cs="Times New Roman"/>
          <w:b/>
          <w:color w:val="000000"/>
          <w:sz w:val="24"/>
          <w:highlight w:val="white"/>
        </w:rPr>
        <w:t xml:space="preserve">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1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% din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suma ofertei fără TVA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cu termen de valabilitate nu mai mic decât valabilitatea ofertei</w:t>
      </w:r>
      <w:r>
        <w:rPr>
          <w:b w:val="0"/>
          <w:bCs w:val="0"/>
          <w:iCs/>
          <w:sz w:val="24"/>
          <w:szCs w:val="24"/>
          <w:highlight w:val="white"/>
          <w:lang w:val="ro-RO"/>
        </w:rPr>
        <w:t xml:space="preserve">,</w:t>
      </w:r>
      <w:r>
        <w:rPr>
          <w:b w:val="0"/>
          <w:bCs w:val="0"/>
          <w:sz w:val="24"/>
          <w:szCs w:val="24"/>
          <w:highlight w:val="white"/>
          <w:lang w:val="ro-RO"/>
        </w:rPr>
        <w:t xml:space="preserve"> </w:t>
      </w:r>
      <w:r>
        <w:rPr>
          <w:b/>
          <w:bCs/>
          <w:sz w:val="24"/>
          <w:szCs w:val="24"/>
          <w:highlight w:val="white"/>
          <w:lang w:val="ro-RO"/>
        </w:rPr>
        <w:t xml:space="preserve">în forma de scrisoare oficială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b/>
          <w:bCs/>
          <w:sz w:val="24"/>
          <w:szCs w:val="24"/>
          <w:highlight w:val="none"/>
          <w:lang w:val="ro-RO"/>
        </w:rPr>
        <w:t xml:space="preserve">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08"/>
        </w:tabs>
        <w:spacing w:line="276" w:lineRule="auto"/>
        <w:ind/>
        <w:jc w:val="both"/>
        <w:rPr>
          <w:bCs/>
          <w:i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18. </w:t>
      </w:r>
      <w:r>
        <w:rPr>
          <w:rFonts w:eastAsia="Times New Roman"/>
          <w:b/>
          <w:color w:val="000000"/>
          <w:sz w:val="24"/>
          <w:lang w:val="en-US"/>
        </w:rPr>
        <w:t xml:space="preserve">Garanția de bună execuție a contractului</w:t>
      </w:r>
      <w:r>
        <w:rPr>
          <w:rFonts w:eastAsia="Times New Roman"/>
          <w:b/>
          <w:color w:val="000000"/>
          <w:sz w:val="24"/>
          <w:lang w:val="ro-RO"/>
        </w:rPr>
        <w:t xml:space="preserve"> </w:t>
      </w:r>
      <w:r>
        <w:rPr>
          <w:rFonts w:eastAsia="Times New Roman"/>
          <w:b/>
          <w:color w:val="000000"/>
          <w:sz w:val="24"/>
          <w:lang w:val="ro-RO"/>
        </w:rPr>
        <w:t xml:space="preserve">(obligatoriu la semnarea contractului)</w:t>
      </w:r>
      <w:r>
        <w:rPr>
          <w:rFonts w:eastAsia="Times New Roman"/>
          <w:b/>
          <w:color w:val="000000"/>
          <w:sz w:val="24"/>
          <w:lang w:val="en-US"/>
        </w:rPr>
        <w:t xml:space="preserve">: 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5% din 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suma</w:t>
      </w:r>
      <w:r>
        <w:rPr>
          <w:b/>
          <w:bCs/>
          <w:iCs/>
          <w:sz w:val="24"/>
          <w:szCs w:val="24"/>
          <w:highlight w:val="white"/>
          <w:lang w:val="en-US"/>
        </w:rPr>
        <w:t xml:space="preserve"> contractului cu TVA</w:t>
      </w:r>
      <w:r>
        <w:rPr>
          <w:b/>
          <w:bCs/>
          <w:iCs/>
          <w:sz w:val="24"/>
          <w:szCs w:val="24"/>
          <w:highlight w:val="white"/>
          <w:lang w:val="ro-RO"/>
        </w:rPr>
        <w:t xml:space="preserve">,</w:t>
      </w:r>
      <w:r>
        <w:rPr>
          <w:b/>
          <w:bCs/>
          <w:sz w:val="24"/>
          <w:szCs w:val="24"/>
          <w:highlight w:val="white"/>
          <w:lang w:val="ro-RO"/>
        </w:rPr>
        <w:t xml:space="preserve"> în forma de scrisoare oficială</w:t>
      </w:r>
      <w:r>
        <w:rPr>
          <w:b/>
          <w:bCs/>
          <w:sz w:val="24"/>
          <w:szCs w:val="24"/>
          <w:highlight w:val="white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t xml:space="preserve">emisă de către instituția financiară unde se deservește ofertantul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.</w:t>
      </w:r>
      <w:r>
        <w:rPr>
          <w:bCs/>
          <w:i/>
          <w:u w:val="single"/>
          <w:lang w:val="en-US"/>
        </w:rPr>
      </w:r>
      <w:r>
        <w:rPr>
          <w:bCs/>
          <w:i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19.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Motivul recurgerii la procedura accelerată (în cazul licitației deschise, restrânse și a procedurii negociate), după caz:</w:t>
      </w:r>
      <w:r>
        <w:rPr>
          <w:rFonts w:eastAsia="Times New Roman"/>
          <w:b/>
          <w:color w:val="000000"/>
          <w:sz w:val="24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Nu se aplică.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line="276" w:lineRule="auto"/>
        <w:ind/>
        <w:rPr>
          <w:b/>
          <w:bCs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20. </w:t>
      </w:r>
      <w:r>
        <w:rPr>
          <w:rFonts w:eastAsia="Times New Roman"/>
          <w:b/>
          <w:bCs/>
          <w:color w:val="000000"/>
          <w:sz w:val="24"/>
          <w:lang w:val="en-US"/>
        </w:rPr>
        <w:t xml:space="preserve">Tehnici și instrumente specifice de atribuire</w:t>
      </w:r>
      <w:r>
        <w:rPr>
          <w:rFonts w:eastAsia="Times New Roman"/>
          <w:color w:val="000000"/>
          <w:sz w:val="24"/>
          <w:lang w:val="en-US"/>
        </w:rPr>
        <w:t xml:space="preserve"> (dacă este cazul specificați dacă se va utiliza acordul-cadru, sistemul dinamic de achiziție sau licitația electronică): </w:t>
      </w:r>
      <w:r>
        <w:rPr>
          <w:rFonts w:eastAsia="Times New Roman"/>
          <w:b/>
          <w:bCs/>
          <w:color w:val="000000"/>
          <w:sz w:val="24"/>
          <w:highlight w:val="white"/>
          <w:u w:val="single"/>
          <w:lang w:val="en-US"/>
        </w:rPr>
        <w:t xml:space="preserve">licitația electronică</w:t>
      </w:r>
      <w:r>
        <w:rPr>
          <w:rFonts w:eastAsia="Times New Roman"/>
          <w:b/>
          <w:bCs/>
          <w:color w:val="000000"/>
          <w:sz w:val="24"/>
          <w:highlight w:val="white"/>
          <w:u w:val="single"/>
          <w:lang w:val="ro-RO"/>
        </w:rPr>
        <w:t xml:space="preserve">, pasul  1%.</w:t>
      </w:r>
      <w:r>
        <w:rPr>
          <w:b/>
          <w:bCs/>
          <w:u w:val="single"/>
          <w:lang w:val="en-US"/>
        </w:rPr>
      </w:r>
      <w:r>
        <w:rPr>
          <w:b/>
          <w:bCs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 w:line="276" w:lineRule="auto"/>
        <w:ind/>
        <w:rPr>
          <w:rFonts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21. </w:t>
      </w:r>
      <w:r>
        <w:rPr>
          <w:rFonts w:eastAsia="Times New Roman"/>
          <w:b/>
          <w:color w:val="000000"/>
          <w:sz w:val="24"/>
          <w:lang w:val="en-US"/>
        </w:rPr>
        <w:t xml:space="preserve">Condiții speciale de care depinde îndeplinirea contractului (</w:t>
      </w:r>
      <w:r>
        <w:rPr>
          <w:rFonts w:eastAsia="Times New Roman"/>
          <w:color w:val="000000"/>
          <w:sz w:val="24"/>
          <w:lang w:val="en-US"/>
        </w:rPr>
        <w:t xml:space="preserve">indicați după caz</w:t>
      </w:r>
      <w:r>
        <w:rPr>
          <w:rFonts w:eastAsia="Times New Roman"/>
          <w:b/>
          <w:color w:val="000000"/>
          <w:sz w:val="24"/>
          <w:lang w:val="en-US"/>
        </w:rPr>
        <w:t xml:space="preserve">): </w:t>
      </w:r>
      <w:r>
        <w:rPr>
          <w:rFonts w:eastAsia="Times New Roman"/>
          <w:b/>
          <w:bCs/>
          <w:color w:val="000000"/>
          <w:sz w:val="24"/>
          <w:szCs w:val="24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lang w:val="ro-RO"/>
        </w:rPr>
      </w:r>
    </w:p>
    <w:p>
      <w:pPr>
        <w:pStyle w:val="794"/>
        <w:pBdr/>
        <w:spacing w:line="276" w:lineRule="auto"/>
        <w:ind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  <w:lang w:val="ro-RO"/>
        </w:rPr>
        <w:tab/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o-RO"/>
        </w:rPr>
        <w:t xml:space="preserve">Livrarea bunurilor se efectuează cu transportul Vînzătorului, pînă la depozitele a 4 Servicii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Sociale, arondate ATAS NORD VEST (lista se anexează),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conform graficului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(pînă la 31.07.2026)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Style w:val="794"/>
        <w:pBdr/>
        <w:spacing w:line="276" w:lineRule="auto"/>
        <w:ind w:right="-283" w:firstLine="0" w:left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la solicitarea autorității contractante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,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în condițiile DDP-Franco destinație vămuită, Incoterms 2013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.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Solicitarea bunurilor se face prin intermediul poștei electronice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sau telefonic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.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en-US"/>
        </w:rPr>
      </w:r>
    </w:p>
    <w:p w14:paraId="6286D413">
      <w:pPr>
        <w:pStyle w:val="794"/>
        <w:pBdr/>
        <w:spacing w:line="276" w:lineRule="auto"/>
        <w:ind w:right="-283" w:firstLine="0" w:left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en-US"/>
        </w:rPr>
        <w:t xml:space="preserve">Agentul economic este obligat să confirme recepționarea mesajului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val="ro-RO"/>
        </w:rPr>
        <w:t xml:space="preserve">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22. </w:t>
      </w:r>
      <w:r>
        <w:rPr>
          <w:rFonts w:eastAsia="Times New Roman"/>
          <w:b/>
          <w:color w:val="000000"/>
          <w:sz w:val="24"/>
          <w:lang w:val="en-US"/>
        </w:rPr>
        <w:t xml:space="preserve">Ofertele se prezintă în valuta: MD.</w:t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23. </w:t>
      </w:r>
      <w:r>
        <w:rPr>
          <w:rFonts w:eastAsia="Times New Roman"/>
          <w:b/>
          <w:color w:val="000000"/>
          <w:sz w:val="24"/>
          <w:lang w:val="en-US"/>
        </w:rPr>
        <w:t xml:space="preserve">Criteriul de evaluare aplicat pentru atribuirea contractului: </w:t>
      </w:r>
      <w:r>
        <w:rPr>
          <w:rFonts w:eastAsia="Times New Roman"/>
          <w:b/>
          <w:color w:val="000000"/>
          <w:sz w:val="24"/>
          <w:lang w:val="ro-RO"/>
        </w:rPr>
        <w:t xml:space="preserve">                                                                                                   </w:t>
      </w:r>
      <w:r>
        <w:rPr>
          <w:rFonts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     </w:t>
      </w:r>
      <w:r>
        <w:rPr>
          <w:b/>
          <w:bCs/>
          <w:sz w:val="24"/>
          <w:szCs w:val="24"/>
          <w:lang w:val="ro-RO"/>
        </w:rPr>
        <w:t xml:space="preserve">   </w:t>
      </w:r>
      <w:r>
        <w:rPr>
          <w:b/>
          <w:bCs/>
          <w:sz w:val="24"/>
          <w:szCs w:val="24"/>
          <w:u w:val="single"/>
          <w:lang w:val="ro-RO"/>
        </w:rPr>
        <w:t xml:space="preserve">- </w:t>
      </w:r>
      <w:r>
        <w:rPr>
          <w:b/>
          <w:bCs/>
          <w:sz w:val="24"/>
          <w:szCs w:val="24"/>
          <w:u w:val="single"/>
          <w:lang w:val="en-US"/>
        </w:rPr>
        <w:t xml:space="preserve">preț cel mai scăzut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lang w:val="ro-RO"/>
        </w:rPr>
        <w:t xml:space="preserve">       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- 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  <w:t xml:space="preserve">corespunderea cerințelor tehnice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ro-RO"/>
        </w:rPr>
        <w:t xml:space="preserve"> din Documentația de atribuire.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24. </w:t>
      </w:r>
      <w:r>
        <w:rPr>
          <w:rFonts w:ascii="Times New Roman" w:hAnsi="Times New Roman" w:eastAsia="Times New Roman"/>
          <w:color w:val="000000"/>
          <w:sz w:val="24"/>
          <w:lang w:val="en-US"/>
        </w:rPr>
        <w:t xml:space="preserve">Factorii de evaluare a ofertei celei mai avantajoase din punct de vedere economic, precum și ponderile lor: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 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ro-RO"/>
        </w:rPr>
        <w:t xml:space="preserve"> N</w:t>
      </w:r>
      <w:r>
        <w:rPr>
          <w:rFonts w:ascii="Times New Roman" w:hAnsi="Times New Roman"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  <w:r>
        <w:rPr>
          <w:rFonts w:ascii="Times New Roman" w:hAnsi="Times New Roman" w:eastAsia="Times New Roman"/>
          <w:b/>
          <w:bCs/>
          <w:i/>
          <w:color w:val="000000"/>
          <w:sz w:val="24"/>
          <w:szCs w:val="24"/>
          <w:u w:val="single"/>
          <w:lang w:val="ro-RO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07"/>
        <w:gridCol w:w="2042"/>
      </w:tblGrid>
      <w:tr>
        <w:trPr>
          <w:trHeight w:val="285"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Nr.d/o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Denumirea factorului de evaluare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Ponderea%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nu se aplică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75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7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042" w:type="dxa"/>
            <w:vAlign w:val="top"/>
            <w:textDirection w:val="lrTb"/>
            <w:noWrap w:val="false"/>
          </w:tcPr>
          <w:p>
            <w:pPr>
              <w:pStyle w:val="794"/>
              <w:pBdr/>
              <w:spacing/>
              <w:ind/>
              <w:rPr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color w:val="000000"/>
                <w:sz w:val="16"/>
                <w:szCs w:val="16"/>
              </w:rPr>
              <w:t xml:space="preserve"> 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794"/>
        <w:pBdr/>
        <w:spacing w:line="276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25.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Termenul limită de depunere/deschidere a ofertelor: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ro-RO"/>
        </w:rPr>
      </w:r>
    </w:p>
    <w:p>
      <w:pPr>
        <w:pStyle w:val="794"/>
        <w:numPr>
          <w:ilvl w:val="0"/>
          <w:numId w:val="16"/>
        </w:numPr>
        <w:pBdr/>
        <w:spacing w:line="240" w:lineRule="auto"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conform SIA RSAP /până la: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numPr>
          <w:ilvl w:val="0"/>
          <w:numId w:val="16"/>
        </w:numPr>
        <w:pBdr/>
        <w:spacing w:line="240" w:lineRule="auto"/>
        <w:ind/>
        <w:rPr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pe</w:t>
      </w: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 data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: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en-US"/>
        </w:rPr>
        <w:t xml:space="preserve">informația o găsiți în SIA RSAP.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 w:line="276" w:lineRule="auto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26.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Adresa la care trebuie transmise ofertele sau cererile de participare: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pBdr/>
        <w:spacing/>
        <w:ind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Ofertele sau cererile de participare vor fi depuse electronic prin intermediul SIA RSAP</w:t>
      </w:r>
      <w:r>
        <w:rPr>
          <w:lang w:val="en-US"/>
        </w:rPr>
      </w:r>
      <w:r>
        <w:rPr>
          <w:lang w:val="en-US"/>
        </w:rPr>
      </w:r>
    </w:p>
    <w:p w14:paraId="7B1A947E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27. </w:t>
      </w:r>
      <w:r>
        <w:rPr>
          <w:rFonts w:eastAsia="Times New Roman"/>
          <w:b/>
          <w:color w:val="000000"/>
          <w:sz w:val="24"/>
          <w:lang w:val="en-US"/>
        </w:rPr>
        <w:t xml:space="preserve">Termenul de valabilitate a ofertelor: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30 zile.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28. </w:t>
      </w:r>
      <w:r>
        <w:rPr>
          <w:rFonts w:eastAsia="Times New Roman"/>
          <w:b/>
          <w:color w:val="000000"/>
          <w:sz w:val="24"/>
          <w:lang w:val="en-US"/>
        </w:rPr>
        <w:t xml:space="preserve">Locul deschiderii ofertelor: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SIA RSAP.</w:t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before="120"/>
        <w:ind/>
        <w:rPr>
          <w:rFonts w:eastAsia="Times New Roman"/>
          <w:b/>
          <w:bCs/>
          <w:i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i/>
          <w:color w:val="000000"/>
          <w:sz w:val="24"/>
          <w:lang w:val="en-US"/>
        </w:rPr>
        <w:t xml:space="preserve">         Ofertele întârziate vor fi respinse. 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lang w:val="en-US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426"/>
        </w:tabs>
        <w:spacing w:before="120"/>
        <w:ind/>
        <w:rPr>
          <w:lang w:val="en-US"/>
        </w:rPr>
      </w:pPr>
      <w:r>
        <w:rPr>
          <w:rFonts w:eastAsia="Times New Roman"/>
          <w:b/>
          <w:i/>
          <w:color w:val="000000"/>
          <w:sz w:val="24"/>
          <w:highlight w:val="none"/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29. </w:t>
      </w:r>
      <w:r>
        <w:rPr>
          <w:rFonts w:eastAsia="Times New Roman"/>
          <w:b/>
          <w:color w:val="000000"/>
          <w:sz w:val="24"/>
          <w:lang w:val="en-US"/>
        </w:rPr>
        <w:t xml:space="preserve">Persoanele autorizate să asiste la deschiderea ofertelor: </w:t>
      </w:r>
      <w:r>
        <w:rPr>
          <w:rFonts w:eastAsia="Times New Roman"/>
          <w:b/>
          <w:color w:val="000000"/>
          <w:sz w:val="24"/>
          <w:lang w:val="en-US"/>
        </w:rPr>
        <w:br w:type="textWrapping" w:clear="all"/>
      </w:r>
      <w:r>
        <w:rPr>
          <w:rFonts w:eastAsia="Times New Roman"/>
          <w:b w:val="0"/>
          <w:bCs w:val="0"/>
          <w:color w:val="000000"/>
          <w:sz w:val="24"/>
          <w:lang w:val="en-US"/>
        </w:rPr>
        <w:t xml:space="preserve"> </w:t>
      </w:r>
      <w:r>
        <w:rPr>
          <w:rFonts w:eastAsia="Times New Roman"/>
          <w:b w:val="0"/>
          <w:bCs w:val="0"/>
          <w:i/>
          <w:color w:val="000000"/>
          <w:sz w:val="24"/>
          <w:lang w:val="en-US"/>
        </w:rPr>
        <w:t xml:space="preserve">Ofertanții sau reprezentanții acestora au dreptul să participe la deschiderea ofertelor, cu excepția cazului când ofertele au fost depuse prin SIA RSAP</w:t>
      </w:r>
      <w:r>
        <w:rPr>
          <w:rFonts w:eastAsia="Times New Roman"/>
          <w:b w:val="0"/>
          <w:bCs w:val="0"/>
          <w:color w:val="000000"/>
          <w:sz w:val="24"/>
          <w:lang w:val="en-US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lang w:val="en-US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30. </w:t>
      </w:r>
      <w:r>
        <w:rPr>
          <w:rFonts w:eastAsia="Times New Roman"/>
          <w:b/>
          <w:color w:val="000000"/>
          <w:sz w:val="24"/>
          <w:lang w:val="en-US"/>
        </w:rPr>
        <w:t xml:space="preserve">Limba sau limbile în care trebuie redactate ofertele sau cererile de participare: </w:t>
      </w:r>
      <w:r>
        <w:rPr>
          <w:rFonts w:eastAsia="Times New Roman"/>
          <w:b/>
          <w:color w:val="000000"/>
          <w:sz w:val="24"/>
          <w:u w:val="single"/>
          <w:lang w:val="en-US"/>
        </w:rPr>
        <w:t xml:space="preserve">limba de stat.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31. </w:t>
      </w:r>
      <w:r>
        <w:rPr>
          <w:rFonts w:eastAsia="Times New Roman"/>
          <w:color w:val="000000"/>
          <w:sz w:val="24"/>
          <w:lang w:val="en-US"/>
        </w:rPr>
        <w:t xml:space="preserve">Respectivul contract se referă la un proiect și/sau program finanțat din fonduri ale Uniunii Europene:</w:t>
      </w:r>
      <w:r>
        <w:rPr>
          <w:rFonts w:eastAsia="Times New Roman"/>
          <w:b/>
          <w:color w:val="000000"/>
          <w:sz w:val="24"/>
          <w:lang w:val="en-US"/>
        </w:rPr>
        <w:t xml:space="preserve">  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u w:val="single"/>
          <w:lang w:val="en-US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94"/>
        <w:pBdr/>
        <w:spacing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/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eastAsia="Times New Roman"/>
          <w:b/>
          <w:color w:val="000000"/>
          <w:sz w:val="24"/>
          <w:lang w:val="ro-RO"/>
        </w:rPr>
        <w:t xml:space="preserve">32. </w:t>
      </w:r>
      <w:r>
        <w:rPr>
          <w:rFonts w:ascii="Times New Roman" w:hAnsi="Times New Roman" w:eastAsia="Times New Roman"/>
          <w:b/>
          <w:color w:val="000000"/>
          <w:sz w:val="24"/>
          <w:lang w:val="en-US"/>
        </w:rPr>
        <w:t xml:space="preserve">Denumirea și adresa organismului competent de soluționare a contestațiilor: 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val="en-US"/>
        </w:rPr>
      </w:r>
    </w:p>
    <w:p>
      <w:pPr>
        <w:pStyle w:val="794"/>
        <w:pBdr/>
        <w:spacing/>
        <w:ind w:firstLine="283"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Agenția Națională pentru Soluționarea Contestațiilor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 w:firstLine="283"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Adresa: mun. Chișinău, bd. Ștefan cel Mare și Sfânt nr.124 (et.4), MD 2001;</w:t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/>
        <w:ind w:firstLine="283"/>
        <w:rPr>
          <w:lang w:val="en-US"/>
        </w:rPr>
      </w:pPr>
      <w:r>
        <w:rPr>
          <w:rFonts w:ascii="Times New Roman" w:hAnsi="Times New Roman" w:eastAsia="Times New Roman"/>
          <w:b/>
          <w:i/>
          <w:color w:val="000000"/>
          <w:sz w:val="24"/>
          <w:lang w:val="en-US"/>
        </w:rPr>
        <w:t xml:space="preserve">Tel/Fax/email:022-820 652, 022 820-651, contestatii@ansc.md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33. </w:t>
      </w:r>
      <w:r>
        <w:rPr>
          <w:rFonts w:eastAsia="Times New Roman"/>
          <w:color w:val="000000"/>
          <w:sz w:val="24"/>
          <w:lang w:val="en-US"/>
        </w:rPr>
        <w:t xml:space="preserve">Data (datele) și referința (referințele) publicărilor anterioare în Jurnalul Oficial al Uniunii Europene privind contractul (contractele) la care se referă anunțul respectiv (dacă este cazul):  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bCs/>
          <w:i/>
          <w:lang w:val="en-US"/>
        </w:rPr>
      </w:pPr>
      <w:r>
        <w:rPr>
          <w:bCs/>
          <w:i/>
          <w:lang w:val="en-US"/>
        </w:rPr>
      </w:r>
      <w:r>
        <w:rPr>
          <w:bCs/>
          <w:i/>
          <w:lang w:val="en-US"/>
        </w:rPr>
      </w:r>
      <w:r>
        <w:rPr>
          <w:bCs/>
          <w:i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567" w:firstLine="0" w:left="0"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34. </w:t>
      </w:r>
      <w:r>
        <w:rPr>
          <w:rFonts w:eastAsia="Times New Roman"/>
          <w:color w:val="000000"/>
          <w:sz w:val="24"/>
          <w:lang w:val="en-US"/>
        </w:rPr>
        <w:t xml:space="preserve">În cazul achizițiilor periodice, calendarul estimat pentru publicarea anunțurilor viitoare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:</w:t>
      </w:r>
      <w:r>
        <w:rPr>
          <w:rFonts w:eastAsia="Times New Roman"/>
          <w:b/>
          <w:color w:val="000000"/>
          <w:sz w:val="24"/>
          <w:lang w:val="ro-RO"/>
        </w:rPr>
        <w:t xml:space="preserve">  </w:t>
      </w:r>
      <w:r>
        <w:rPr>
          <w:rFonts w:eastAsia="Times New Roman"/>
          <w:b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u se aplică.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35.</w:t>
      </w:r>
      <w:r>
        <w:rPr>
          <w:rFonts w:eastAsia="Times New Roman"/>
          <w:color w:val="000000"/>
          <w:sz w:val="24"/>
          <w:lang w:val="ro-RO"/>
        </w:rPr>
        <w:t xml:space="preserve"> </w:t>
      </w:r>
      <w:r>
        <w:rPr>
          <w:rFonts w:eastAsia="Times New Roman"/>
          <w:color w:val="000000"/>
          <w:sz w:val="24"/>
          <w:lang w:val="en-US"/>
        </w:rPr>
        <w:t xml:space="preserve">Data publicării anunțului de intenție sau, după caz, precizarea că nu a fost publicat un astfel de 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anunț: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 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ro-RO"/>
        </w:rPr>
        <w:t xml:space="preserve">N</w:t>
      </w:r>
      <w:r>
        <w:rPr>
          <w:rFonts w:eastAsia="Times New Roman"/>
          <w:b/>
          <w:bCs/>
          <w:i/>
          <w:iCs/>
          <w:color w:val="000000"/>
          <w:sz w:val="24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pPr>
      <w:r>
        <w:rPr>
          <w:rFonts w:eastAsia="Times New Roman"/>
          <w:b/>
          <w:color w:val="000000"/>
          <w:sz w:val="24"/>
          <w:highlight w:val="white"/>
          <w:lang w:val="ro-RO"/>
        </w:rPr>
        <w:t xml:space="preserve">36. 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Data transmiterii spre publicare a anunțului de participare: </w:t>
      </w:r>
      <w:r>
        <w:rPr>
          <w:rFonts w:eastAsia="Times New Roman"/>
          <w:b/>
          <w:color w:val="000000"/>
          <w:sz w:val="24"/>
          <w:highlight w:val="none"/>
          <w:u w:val="single"/>
          <w:lang w:val="ro-RO"/>
        </w:rPr>
        <w:t xml:space="preserve">23.04.2026.</w:t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  <w:r>
        <w:rPr>
          <w:rFonts w:eastAsia="Times New Roman"/>
          <w:b/>
          <w:bCs/>
          <w:color w:val="000000"/>
          <w:sz w:val="24"/>
          <w:szCs w:val="24"/>
          <w:highlight w:val="white"/>
          <w:u w:val="single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/>
        <w:rPr>
          <w:u w:val="single"/>
          <w:lang w:val="en-US"/>
        </w:rPr>
      </w:pPr>
      <w:r>
        <w:rPr>
          <w:u w:val="single"/>
          <w:lang w:val="en-US"/>
        </w:rPr>
      </w:r>
      <w:r>
        <w:rPr>
          <w:u w:val="single"/>
          <w:lang w:val="en-US"/>
        </w:rPr>
      </w:r>
      <w:r>
        <w:rPr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360" w:lineRule="auto"/>
        <w:ind/>
        <w:rPr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37. </w:t>
      </w:r>
      <w:r>
        <w:rPr>
          <w:rFonts w:eastAsia="Times New Roman"/>
          <w:b/>
          <w:color w:val="000000"/>
          <w:sz w:val="24"/>
          <w:lang w:val="en-US"/>
        </w:rPr>
        <w:t xml:space="preserve">În cadrul procedurii de achiziție publică se va utiliza/accepta:</w:t>
      </w:r>
      <w:r>
        <w:rPr>
          <w:lang w:val="en-US"/>
        </w:rPr>
      </w:r>
      <w:r>
        <w:rPr>
          <w:lang w:val="en-US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911"/>
        <w:gridCol w:w="3368"/>
      </w:tblGrid>
      <w:tr>
        <w:trPr/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360" w:lineRule="auto"/>
              <w:ind/>
              <w:rPr/>
            </w:pPr>
            <w:r>
              <w:rPr>
                <w:rFonts w:eastAsia="Times New Roman"/>
                <w:b/>
                <w:color w:val="000000"/>
                <w:sz w:val="24"/>
              </w:rPr>
              <w:t xml:space="preserve">Denumirea instrumentului electronic</w:t>
            </w:r>
            <w:r/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360" w:lineRule="auto"/>
              <w:ind/>
              <w:rPr>
                <w:lang w:val="en-US"/>
              </w:rPr>
            </w:pPr>
            <w:r>
              <w:rPr>
                <w:rFonts w:eastAsia="Times New Roman"/>
                <w:b/>
                <w:color w:val="000000"/>
                <w:sz w:val="24"/>
                <w:lang w:val="en-US"/>
              </w:rPr>
              <w:t xml:space="preserve">Se va utiliza/accepta sau nu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lang w:val="en-US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en-US"/>
              </w:rPr>
              <w:t xml:space="preserve">Depunerea electronică a ofertelor sau a cererilor de participare</w:t>
            </w:r>
            <w:r>
              <w:rPr>
                <w:b/>
                <w:bCs/>
                <w:i/>
                <w:lang w:val="en-US"/>
              </w:rPr>
            </w:r>
            <w:r>
              <w:rPr>
                <w:b/>
                <w:bCs/>
                <w:i/>
                <w:lang w:val="en-US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Sistemul de comenzi electronice</w:t>
            </w:r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/>
            </w:pPr>
            <w:r>
              <w:rPr>
                <w:rFonts w:eastAsia="Times New Roman"/>
                <w:color w:val="000000"/>
                <w:sz w:val="24"/>
              </w:rPr>
              <w:t xml:space="preserve">Nu</w:t>
            </w:r>
            <w:r/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</w:rPr>
              <w:t xml:space="preserve">Facturarea electronică</w:t>
            </w:r>
            <w:r>
              <w:rPr>
                <w:b/>
                <w:bCs/>
                <w:i/>
              </w:rPr>
            </w:r>
            <w:r>
              <w:rPr>
                <w:b/>
                <w:bCs/>
                <w:i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</w:rPr>
            </w:r>
            <w:r>
              <w:rPr>
                <w:b/>
                <w:bCs/>
                <w:i/>
                <w:iCs/>
              </w:rPr>
            </w:r>
          </w:p>
        </w:tc>
      </w:tr>
      <w:tr>
        <w:trPr>
          <w:trHeight w:val="77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11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</w:rPr>
              <w:t xml:space="preserve">Plățile electronice</w:t>
            </w:r>
            <w:r>
              <w:rPr>
                <w:b/>
                <w:bCs/>
                <w:i/>
                <w:highlight w:val="white"/>
              </w:rPr>
            </w:r>
            <w:r>
              <w:rPr>
                <w:b/>
                <w:bCs/>
                <w:i/>
                <w:highlight w:val="white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368" w:type="dxa"/>
            <w:vAlign w:val="top"/>
            <w:textDirection w:val="lrTb"/>
            <w:noWrap w:val="false"/>
          </w:tcPr>
          <w:p>
            <w:pPr>
              <w:pStyle w:val="741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tabs>
                <w:tab w:val="left" w:leader="none" w:pos="426"/>
              </w:tabs>
              <w:spacing w:after="0" w:line="276" w:lineRule="auto"/>
              <w:ind/>
              <w:rPr>
                <w:b/>
                <w:bCs/>
                <w:i/>
                <w:iCs/>
                <w:highlight w:val="white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highlight w:val="white"/>
                <w:lang w:val="ro-RO"/>
              </w:rPr>
              <w:t xml:space="preserve">Se acceptă</w:t>
            </w:r>
            <w:r>
              <w:rPr>
                <w:b/>
                <w:bCs/>
                <w:i/>
                <w:iCs/>
                <w:highlight w:val="white"/>
              </w:rPr>
            </w:r>
            <w:r>
              <w:rPr>
                <w:b/>
                <w:bCs/>
                <w:i/>
                <w:iCs/>
                <w:highlight w:val="white"/>
              </w:rPr>
            </w:r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425"/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pP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u w:val="singl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/>
        <w:ind w:right="-425"/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38. </w:t>
      </w:r>
      <w:r>
        <w:rPr>
          <w:rFonts w:eastAsia="Times New Roman"/>
          <w:color w:val="000000"/>
          <w:sz w:val="24"/>
          <w:lang w:val="en-US"/>
        </w:rPr>
        <w:t xml:space="preserve">Contractul intră sub incidența Acordului privind achizițiile guvernamentale al Organizației Mondiale </w:t>
      </w:r>
      <w:r>
        <w:rPr>
          <w:rFonts w:eastAsia="Times New Roman"/>
          <w:color w:val="000000"/>
          <w:sz w:val="24"/>
          <w:lang w:val="ro-RO"/>
        </w:rPr>
        <w:t xml:space="preserve">           </w:t>
      </w:r>
      <w:r>
        <w:rPr>
          <w:rFonts w:eastAsia="Times New Roman"/>
          <w:color w:val="000000"/>
          <w:sz w:val="24"/>
          <w:lang w:val="en-US"/>
        </w:rPr>
        <w:t xml:space="preserve">a Comerțului (numai în cazul anunțurilor transmise spre publicare în Jurnalul Oficial al Uniunii Europene):</w:t>
      </w:r>
      <w:r>
        <w:rPr>
          <w:rFonts w:eastAsia="Times New Roman"/>
          <w:color w:val="000000"/>
          <w:sz w:val="24"/>
          <w:highlight w:val="white"/>
          <w:lang w:val="en-US"/>
        </w:rPr>
        <w:t xml:space="preserve"> 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ro-RO"/>
        </w:rPr>
        <w:t xml:space="preserve">N</w:t>
      </w:r>
      <w:r>
        <w:rPr>
          <w:rFonts w:eastAsia="Times New Roman"/>
          <w:b/>
          <w:i/>
          <w:iCs/>
          <w:color w:val="000000"/>
          <w:sz w:val="24"/>
          <w:highlight w:val="white"/>
          <w:u w:val="single"/>
          <w:lang w:val="en-US"/>
        </w:rPr>
        <w:t xml:space="preserve">u este cazul.</w:t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  <w:r>
        <w:rPr>
          <w:rFonts w:eastAsia="Times New Roman"/>
          <w:b/>
          <w:bCs/>
          <w:i/>
          <w:color w:val="000000"/>
          <w:sz w:val="24"/>
          <w:szCs w:val="24"/>
          <w:highlight w:val="none"/>
          <w:u w:val="single"/>
          <w:lang w:val="en-US"/>
        </w:rPr>
      </w:r>
    </w:p>
    <w:p w14:paraId="06FD003A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76" w:lineRule="auto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ro-RO"/>
        </w:rPr>
        <w:t xml:space="preserve">39. 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Alte informații relevante: 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/>
        <w:jc w:val="center"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color w:val="000000"/>
          <w:sz w:val="24"/>
          <w:szCs w:val="24"/>
          <w:highlight w:val="white"/>
          <w:u w:val="single"/>
          <w:lang w:val="ro-RO"/>
        </w:rPr>
        <w:t xml:space="preserve">Lista </w:t>
      </w:r>
      <w:r>
        <w:rPr>
          <w:rFonts w:ascii="Times New Roman" w:hAnsi="Times New Roman" w:eastAsia="Times New Roman" w:cs="Times New Roman"/>
          <w:b/>
          <w:color w:val="000000" w:themeColor="text1"/>
          <w:spacing w:val="-6"/>
          <w:sz w:val="24"/>
          <w:szCs w:val="24"/>
          <w:highlight w:val="white"/>
          <w:u w:val="single"/>
          <w:lang w:val="ro-RO"/>
        </w:rPr>
        <w:t xml:space="preserve">Serviciilor Sociale</w:t>
      </w:r>
      <w:r>
        <w:rPr>
          <w:rFonts w:ascii="Times New Roman" w:hAnsi="Times New Roman" w:eastAsia="Times New Roman" w:cs="Times New Roman"/>
          <w:b/>
          <w:color w:val="000000" w:themeColor="text1"/>
          <w:spacing w:val="-6"/>
          <w:sz w:val="24"/>
          <w:szCs w:val="24"/>
          <w:highlight w:val="white"/>
          <w:u w:val="single"/>
        </w:rPr>
        <w:t xml:space="preserve"> din cadrul STAS-lor</w:t>
      </w:r>
      <w:r>
        <w:rPr>
          <w:rFonts w:eastAsia="Times New Roman"/>
          <w:b/>
          <w:color w:val="000000"/>
          <w:sz w:val="24"/>
          <w:szCs w:val="24"/>
          <w:highlight w:val="white"/>
          <w:u w:val="single"/>
          <w:lang w:val="ro-RO"/>
        </w:rPr>
        <w:t xml:space="preserve">, arondate ATAS NORD VEST: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p w14:paraId="1D96B166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426"/>
        </w:tabs>
        <w:spacing w:after="0" w:before="120" w:line="240" w:lineRule="auto"/>
        <w:ind/>
        <w:jc w:val="center"/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pP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 w:bidi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u w:val="single"/>
          <w:lang w:val="ro-RO"/>
        </w:rPr>
      </w:r>
    </w:p>
    <w:tbl>
      <w:tblPr>
        <w:tblInd w:w="216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36"/>
        <w:gridCol w:w="3793"/>
      </w:tblGrid>
      <w:tr>
        <w:trPr>
          <w:trHeight w:val="276"/>
        </w:trPr>
        <w:tc>
          <w:tcPr>
            <w:tcBorders/>
            <w:tcW w:w="817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Nr.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d/o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/>
            <w:tcW w:w="5636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Denumirea 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</w:r>
          </w:p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Centrului/Serviciului Social</w:t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szCs w:val="24"/>
                <w:highlight w:val="none"/>
                <w:lang w:val="ro-RO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/>
              <w:ind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4"/>
                <w:lang w:val="ro-RO"/>
              </w:rPr>
              <w:t xml:space="preserve">Adresa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</w:tc>
      </w:tr>
      <w:tr>
        <w:trPr/>
        <w:tc>
          <w:tcPr>
            <w:tcBorders/>
            <w:tcW w:w="817" w:type="dxa"/>
            <w:vAlign w:val="top"/>
            <w:textDirection w:val="lrTb"/>
            <w:noWrap w:val="false"/>
          </w:tcPr>
          <w:p>
            <w:pPr>
              <w:pStyle w:val="794"/>
              <w:pBdr/>
              <w:spacing w:line="240" w:lineRule="auto"/>
              <w:ind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sz w:val="24"/>
                <w:szCs w:val="24"/>
                <w:lang w:val="ro-RO"/>
              </w:rPr>
              <w:t xml:space="preserve">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5636" w:type="dxa"/>
            <w:vAlign w:val="top"/>
            <w:textDirection w:val="lrTb"/>
            <w:noWrap w:val="false"/>
          </w:tcPr>
          <w:p w14:paraId="587D7112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„ProSperare”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din cadrul STAS Fălești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 w14:paraId="48B7D3CE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 w:val="false"/>
          </w:tcPr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rl. Fălești,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s. Bocșa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, com. Risipeni,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817" w:type="dxa"/>
            <w:vAlign w:val="top"/>
            <w:vMerge w:val="restart"/>
            <w:textDirection w:val="lrTb"/>
            <w:noWrap w:val="false"/>
          </w:tcPr>
          <w:p>
            <w:pPr>
              <w:pStyle w:val="741"/>
              <w:pBdr/>
              <w:spacing w:line="240" w:lineRule="auto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5636" w:type="dxa"/>
            <w:vAlign w:val="top"/>
            <w:vMerge w:val="restart"/>
            <w:textDirection w:val="lrTb"/>
            <w:noWrap w:val="false"/>
          </w:tcPr>
          <w:p w14:paraId="64A8922B"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</w:rPr>
              <w:t xml:space="preserve">„Nufărul Alb”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 din cadrul Direcției protecția copilului și a familiei a STAS-ului Fălești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</w:rPr>
              <w:t xml:space="preserve">(cu statut de serviciu)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</w:p>
          <w:p w14:paraId="71DC8ABF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rl.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Fălești,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s.Glinjeni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817" w:type="dxa"/>
            <w:vAlign w:val="top"/>
            <w:vMerge w:val="restart"/>
            <w:textDirection w:val="lrTb"/>
            <w:noWrap w:val="false"/>
          </w:tcPr>
          <w:p w14:paraId="1632849C">
            <w:pPr>
              <w:pStyle w:val="741"/>
              <w:pBdr/>
              <w:spacing w:line="240" w:lineRule="auto"/>
              <w:ind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3</w:t>
            </w:r>
            <w:r>
              <w:rPr>
                <w:b/>
                <w:bCs/>
                <w:sz w:val="24"/>
                <w:szCs w:val="24"/>
                <w:lang w:val="ro-RO"/>
              </w:rPr>
            </w:r>
            <w:r>
              <w:rPr>
                <w:b/>
                <w:bCs/>
                <w:sz w:val="24"/>
                <w:szCs w:val="24"/>
                <w:lang w:val="ro-RO"/>
              </w:rPr>
            </w:r>
          </w:p>
        </w:tc>
        <w:tc>
          <w:tcPr>
            <w:tcBorders/>
            <w:tcW w:w="5636" w:type="dxa"/>
            <w:vAlign w:val="top"/>
            <w:vMerge w:val="restart"/>
            <w:textDirection w:val="lrTb"/>
            <w:noWrap w:val="false"/>
          </w:tcPr>
          <w:p w14:paraId="3F2E6110"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prestare a serviciilor sociale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„Împreună”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persoanelor în vârstă și a persoanelor cu dizabilități a STAS-ului Fălești                   (cu statut de serviciu).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</w:p>
          <w:p w14:paraId="60E4606B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 w:val="false"/>
          </w:tcPr>
          <w:p w14:paraId="1B0B07EF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rl Fălești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</w:p>
          <w:p w14:paraId="253020A6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  <w:highlight w:val="none"/>
                <w:lang w:val="ro-RO"/>
              </w:rPr>
              <w:t xml:space="preserve">s. Ciolacu Nou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r>
          </w:p>
          <w:p w14:paraId="2D1221F7"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</w:p>
        </w:tc>
      </w:tr>
      <w:tr>
        <w:trPr>
          <w:trHeight w:val="276"/>
        </w:trPr>
        <w:tc>
          <w:tcPr>
            <w:tcBorders/>
            <w:tcW w:w="817" w:type="dxa"/>
            <w:vAlign w:val="top"/>
            <w:vMerge w:val="restart"/>
            <w:textDirection w:val="lrTb"/>
            <w:noWrap w:val="false"/>
          </w:tcPr>
          <w:p>
            <w:pPr>
              <w:pStyle w:val="741"/>
              <w:pBdr/>
              <w:spacing w:line="240" w:lineRule="auto"/>
              <w:ind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 xml:space="preserve">4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/>
            <w:tcW w:w="5636" w:type="dxa"/>
            <w:vAlign w:val="top"/>
            <w:vMerge w:val="restart"/>
            <w:textDirection w:val="lrTb"/>
            <w:noWrap w:val="false"/>
          </w:tcPr>
          <w:p w14:paraId="2B8F01F2"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Centrul de plasament pentru copii separați de părinți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highlight w:val="none"/>
                <w:lang w:val="ro-RO"/>
              </w:rPr>
              <w:t xml:space="preserve">„Raza Soarelui”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  <w:t xml:space="preserve"> din cadrul Direcției protecția copilului și a familiei a STAS-ului Sîngerei (cu statut de serviciu).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</w:p>
          <w:p w14:paraId="24E1ECE5">
            <w:pPr>
              <w:pStyle w:val="794"/>
              <w:pBdr/>
              <w:spacing w:line="240" w:lineRule="auto"/>
              <w: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none"/>
                <w:lang w:val="ro-RO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 w:val="false"/>
          </w:tcPr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Or. Sîngerei,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str. Independenței,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</w:rPr>
              <w:t xml:space="preserve">223</w:t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  <w:p>
            <w:pPr>
              <w:pStyle w:val="794"/>
              <w:pBdr/>
              <w:spacing w:line="240" w:lineRule="auto"/>
              <w:ind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 w:val="0"/>
                <w:bCs w:val="0"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r>
          </w:p>
        </w:tc>
      </w:tr>
    </w:tbl>
    <w:p w14:paraId="30A58CF0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 w14:paraId="51B50F2E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 w14:paraId="53AEA850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 w14:paraId="7D27A401"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lang w:val="en-US"/>
        </w:rPr>
      </w:pPr>
      <w:r>
        <w:rPr>
          <w:rFonts w:eastAsia="Times New Roman"/>
          <w:b/>
          <w:color w:val="000000"/>
          <w:sz w:val="24"/>
          <w:highlight w:val="none"/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tabs>
          <w:tab w:val="left" w:leader="none" w:pos="284"/>
          <w:tab w:val="left" w:leader="none" w:pos="426"/>
          <w:tab w:val="left" w:leader="none" w:pos="8364"/>
        </w:tabs>
        <w:spacing w:after="0" w:line="276" w:lineRule="auto"/>
        <w:ind w:right="-144" w:firstLine="284" w:left="-284"/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pPr>
      <w:r>
        <w:rPr>
          <w:rFonts w:eastAsia="Times New Roman"/>
          <w:b/>
          <w:color w:val="000000"/>
          <w:sz w:val="24"/>
          <w:lang w:val="en-US"/>
        </w:rPr>
        <w:t xml:space="preserve">Conducătorul grupului de lucru: </w:t>
      </w:r>
      <w:r>
        <w:rPr>
          <w:rFonts w:eastAsia="Times New Roman"/>
          <w:b/>
          <w:color w:val="000000"/>
          <w:sz w:val="24"/>
          <w:lang w:val="ro-RO"/>
        </w:rPr>
        <w:t xml:space="preserve">CIOBANU Emilia    </w:t>
      </w:r>
      <w:r>
        <w:rPr>
          <w:rFonts w:eastAsia="Times New Roman"/>
          <w:b/>
          <w:color w:val="000000"/>
          <w:sz w:val="24"/>
          <w:highlight w:val="white"/>
          <w:lang w:val="en-US"/>
        </w:rPr>
        <w:t xml:space="preserve">____________________</w:t>
      </w:r>
      <w:r>
        <w:rPr>
          <w:rFonts w:eastAsia="Times New Roman"/>
          <w:b/>
          <w:color w:val="000000"/>
          <w:sz w:val="24"/>
          <w:lang w:val="en-US"/>
        </w:rPr>
        <w:t xml:space="preserve">.</w:t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  <w:r>
        <w:rPr>
          <w:rFonts w:eastAsia="Times New Roman"/>
          <w:b/>
          <w:bCs/>
          <w:color w:val="000000"/>
          <w:sz w:val="24"/>
          <w:szCs w:val="24"/>
          <w:highlight w:val="none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rPr>
          <w:lang w:val="en-US"/>
        </w:rPr>
      </w:pPr>
      <w:r>
        <w:rPr>
          <w:rFonts w:eastAsia="Times New Roman"/>
          <w:color w:val="000000"/>
          <w:sz w:val="24"/>
          <w:lang w:val="en-US"/>
        </w:rPr>
        <w:t xml:space="preserve"> </w:t>
      </w:r>
      <w:r>
        <w:rPr>
          <w:lang w:val="en-US"/>
        </w:rPr>
      </w:r>
      <w:r>
        <w:rPr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360" w:lineRule="auto"/>
        <w:ind/>
        <w:jc w:val="center"/>
        <w:rPr>
          <w:rFonts w:eastAsia="Times New Roman"/>
          <w:b/>
          <w:bCs/>
          <w:i/>
          <w:color w:val="000000"/>
          <w:lang w:val="en-US"/>
        </w:rPr>
      </w:pPr>
      <w:r>
        <w:rPr>
          <w:rFonts w:eastAsia="Times New Roman"/>
          <w:b/>
          <w:bCs/>
          <w:i/>
          <w:color w:val="000000"/>
          <w:lang w:val="en-US"/>
        </w:rPr>
      </w:r>
      <w:r>
        <w:rPr>
          <w:rFonts w:eastAsia="Times New Roman"/>
          <w:b/>
          <w:bCs/>
          <w:i/>
          <w:color w:val="000000"/>
          <w:lang w:val="en-US"/>
        </w:rPr>
      </w:r>
      <w:r>
        <w:rPr>
          <w:rFonts w:eastAsia="Times New Roman"/>
          <w:b/>
          <w:bCs/>
          <w:i/>
          <w:color w:val="000000"/>
          <w:lang w:val="en-US"/>
        </w:rPr>
      </w:r>
    </w:p>
    <w:p>
      <w:pPr>
        <w:pStyle w:val="7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360" w:lineRule="auto"/>
        <w:ind/>
        <w:jc w:val="center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Exc. Bazilevschi Larisa</w:t>
      </w:r>
      <w:r>
        <w:rPr>
          <w:rFonts w:ascii="Times New Roman" w:hAnsi="Times New Roman"/>
          <w:color w:val="000000"/>
          <w:lang w:val="en-US"/>
        </w:rPr>
      </w:r>
      <w:r>
        <w:rPr>
          <w:rFonts w:ascii="Times New Roman" w:hAnsi="Times New Roman"/>
          <w:color w:val="000000"/>
          <w:lang w:val="en-US"/>
        </w:rPr>
      </w:r>
    </w:p>
    <w:p>
      <w:pPr>
        <w:pStyle w:val="794"/>
        <w:pBdr/>
        <w:spacing w:line="276" w:lineRule="auto"/>
        <w:ind/>
        <w:rPr>
          <w:rFonts w:ascii="Times New Roman" w:hAnsi="Times New Roman"/>
          <w:highlight w:val="none"/>
          <w:lang w:val="en-US"/>
        </w:rPr>
      </w:pPr>
      <w:r>
        <w:rPr>
          <w:rFonts w:ascii="Times New Roman" w:hAnsi="Times New Roman" w:eastAsia="Times New Roman"/>
          <w:color w:val="000000"/>
          <w:lang w:val="ro-RO"/>
        </w:rPr>
        <w:t xml:space="preserve">Tel. 078825043, </w:t>
      </w:r>
      <w:r>
        <w:fldChar w:fldCharType="begin"/>
      </w:r>
      <w:r>
        <w:rPr>
          <w:lang w:val="en-US"/>
        </w:rPr>
        <w:instrText xml:space="preserve"> HYPERLINK "mailto:larisa.bazilevschi@atas.gov.md" \o "mailto:larisa.bazilevschi@atas.gov.md" </w:instrText>
      </w:r>
      <w:r>
        <w:fldChar w:fldCharType="separate"/>
      </w:r>
      <w:r>
        <w:rPr>
          <w:rStyle w:val="935"/>
          <w:rFonts w:ascii="Times New Roman" w:hAnsi="Times New Roman" w:eastAsia="Times New Roman"/>
          <w:lang w:val="ro-RO"/>
        </w:rPr>
        <w:t xml:space="preserve">larisa.bazilevschi@atas.gov.md</w:t>
      </w:r>
      <w:r>
        <w:rPr>
          <w:rStyle w:val="935"/>
          <w:rFonts w:ascii="Times New Roman" w:hAnsi="Times New Roman" w:eastAsia="Times New Roman"/>
          <w:lang w:val="ro-RO"/>
        </w:rPr>
        <w:fldChar w:fldCharType="end"/>
      </w:r>
      <w:r>
        <w:rPr>
          <w:rFonts w:ascii="Times New Roman" w:hAnsi="Times New Roman" w:eastAsia="Times New Roman"/>
          <w:lang w:val="ro-RO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4"/>
          <w:u w:val="single"/>
          <w:lang w:val="ro-RO"/>
        </w:rPr>
        <w:t xml:space="preserve"> </w:t>
      </w:r>
      <w:r>
        <w:rPr>
          <w:rFonts w:ascii="Times New Roman" w:hAnsi="Times New Roman"/>
          <w:highlight w:val="none"/>
          <w:lang w:val="en-US"/>
        </w:rPr>
      </w:r>
      <w:r>
        <w:rPr>
          <w:rFonts w:ascii="Times New Roman" w:hAnsi="Times New Roman"/>
          <w:highlight w:val="none"/>
          <w:lang w:val="en-US"/>
        </w:rPr>
      </w:r>
    </w:p>
    <w:p w14:paraId="3C47C311">
      <w:pPr>
        <w:pStyle w:val="794"/>
        <w:pBdr/>
        <w:spacing w:line="276" w:lineRule="auto"/>
        <w:ind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  <w:r>
        <w:rPr>
          <w:rFonts w:ascii="Times New Roman" w:hAnsi="Times New Roman"/>
          <w:lang w:val="en-US"/>
        </w:rPr>
      </w:r>
    </w:p>
    <w:sectPr>
      <w:footnotePr/>
      <w:endnotePr/>
      <w:type w:val="nextPage"/>
      <w:pgSz w:h="16838" w:orient="portrait" w:w="11906"/>
      <w:pgMar w:top="709" w:right="851" w:bottom="538" w:left="992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NewRomanPSMT">
    <w:panose1 w:val="020206030504050203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191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56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28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0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72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44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16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88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0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32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ascii="Arial" w:hAnsi="Arial" w:eastAsia="Arial" w:cs="Arial"/>
        <w:b w:val="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64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/>
        <w:i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5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225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5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5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85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5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5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545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644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 w:eastAsia="Wingdings" w:cs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 w:eastAsia="Wingdings" w:cs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>
        <w:b w:val="0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7"/>
  </w:num>
  <w:num w:numId="3">
    <w:abstractNumId w:val="12"/>
  </w:num>
  <w:num w:numId="4">
    <w:abstractNumId w:val="11"/>
  </w:num>
  <w:num w:numId="5">
    <w:abstractNumId w:val="2"/>
  </w:num>
  <w:num w:numId="6">
    <w:abstractNumId w:val="4"/>
  </w:num>
  <w:num w:numId="7">
    <w:abstractNumId w:val="6"/>
  </w:num>
  <w:num w:numId="8">
    <w:abstractNumId w:val="5"/>
  </w:num>
  <w:num w:numId="9">
    <w:abstractNumId w:val="14"/>
  </w:num>
  <w:num w:numId="10">
    <w:abstractNumId w:val="13"/>
  </w:num>
  <w:num w:numId="11">
    <w:abstractNumId w:val="15"/>
  </w:num>
  <w:num w:numId="12">
    <w:abstractNumId w:val="0"/>
  </w:num>
  <w:num w:numId="13">
    <w:abstractNumId w:val="8"/>
  </w:num>
  <w:num w:numId="14">
    <w:abstractNumId w:val="10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Placeholder Text"/>
    <w:basedOn w:val="751"/>
    <w:uiPriority w:val="99"/>
    <w:semiHidden/>
    <w:pPr>
      <w:pBdr/>
      <w:spacing/>
      <w:ind/>
    </w:pPr>
    <w:rPr>
      <w:color w:val="666666"/>
    </w:rPr>
  </w:style>
  <w:style w:type="character" w:styleId="734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35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36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7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738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9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40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1" w:default="1">
    <w:name w:val="Normal"/>
    <w:next w:val="741"/>
    <w:link w:val="741"/>
    <w:qFormat/>
    <w:pPr>
      <w:pBdr/>
      <w:spacing w:after="160"/>
      <w:ind/>
    </w:pPr>
    <w:rPr>
      <w:rFonts w:ascii="Times New Roman" w:hAnsi="Times New Roman"/>
      <w:sz w:val="28"/>
      <w:szCs w:val="22"/>
      <w:lang w:val="ru-RU" w:eastAsia="en-US" w:bidi="ar-SA"/>
    </w:rPr>
  </w:style>
  <w:style w:type="paragraph" w:styleId="742">
    <w:name w:val="Heading 1"/>
    <w:basedOn w:val="741"/>
    <w:next w:val="741"/>
    <w:link w:val="7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8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86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78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6">
    <w:name w:val="Heading 5"/>
    <w:basedOn w:val="741"/>
    <w:next w:val="741"/>
    <w:link w:val="788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8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741"/>
    <w:next w:val="741"/>
    <w:link w:val="79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9">
    <w:name w:val="Heading 8"/>
    <w:basedOn w:val="741"/>
    <w:next w:val="741"/>
    <w:link w:val="791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0">
    <w:name w:val="Heading 9"/>
    <w:basedOn w:val="741"/>
    <w:next w:val="741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next w:val="751"/>
    <w:link w:val="741"/>
    <w:uiPriority w:val="1"/>
    <w:semiHidden/>
    <w:unhideWhenUsed/>
    <w:pPr>
      <w:pBdr/>
      <w:spacing/>
      <w:ind/>
    </w:pPr>
  </w:style>
  <w:style w:type="table" w:styleId="752">
    <w:name w:val="Table Normal"/>
    <w:next w:val="752"/>
    <w:link w:val="955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next w:val="753"/>
    <w:link w:val="741"/>
    <w:uiPriority w:val="99"/>
    <w:semiHidden/>
    <w:unhideWhenUsed/>
    <w:pPr>
      <w:pBdr/>
      <w:spacing/>
      <w:ind/>
    </w:pPr>
  </w:style>
  <w:style w:type="character" w:styleId="754">
    <w:name w:val="Caption Char"/>
    <w:next w:val="754"/>
    <w:link w:val="741"/>
    <w:uiPriority w:val="99"/>
    <w:pPr>
      <w:pBdr/>
      <w:spacing/>
      <w:ind/>
    </w:pPr>
  </w:style>
  <w:style w:type="table" w:styleId="755">
    <w:name w:val="Grid Table 1 Light - Accent 2"/>
    <w:next w:val="75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next w:val="75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next w:val="75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next w:val="75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next w:val="75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next w:val="76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next w:val="76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next w:val="76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next w:val="76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next w:val="764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next w:val="76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next w:val="76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next w:val="76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next w:val="76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next w:val="76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"/>
    <w:next w:val="77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6 Colorful - Accent 1"/>
    <w:next w:val="77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 - Accent 2"/>
    <w:next w:val="77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 - Accent 3"/>
    <w:next w:val="77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4"/>
    <w:next w:val="774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5"/>
    <w:next w:val="775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6 Colorful - Accent 6"/>
    <w:next w:val="776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"/>
    <w:next w:val="777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7 Colorful - Accent 1"/>
    <w:next w:val="778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7 Colorful - Accent 2"/>
    <w:next w:val="779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 - Accent 3"/>
    <w:next w:val="780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4"/>
    <w:next w:val="781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5"/>
    <w:next w:val="782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7 Colorful - Accent 6"/>
    <w:next w:val="783"/>
    <w:link w:val="741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4">
    <w:name w:val="Heading 1 Char"/>
    <w:next w:val="784"/>
    <w:link w:val="74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5">
    <w:name w:val="Heading 2 Char"/>
    <w:next w:val="785"/>
    <w:link w:val="743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6">
    <w:name w:val="Heading 3 Char"/>
    <w:next w:val="786"/>
    <w:link w:val="744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7">
    <w:name w:val="Heading 4 Char"/>
    <w:next w:val="787"/>
    <w:link w:val="745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8">
    <w:name w:val="Heading 5 Char"/>
    <w:next w:val="788"/>
    <w:link w:val="74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9">
    <w:name w:val="Heading 6 Char"/>
    <w:next w:val="789"/>
    <w:link w:val="74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90">
    <w:name w:val="Heading 7 Char"/>
    <w:next w:val="790"/>
    <w:link w:val="748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1">
    <w:name w:val="Heading 8 Char"/>
    <w:next w:val="791"/>
    <w:link w:val="749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9 Char"/>
    <w:next w:val="792"/>
    <w:link w:val="750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3">
    <w:name w:val="List Paragraph"/>
    <w:basedOn w:val="741"/>
    <w:next w:val="793"/>
    <w:link w:val="741"/>
    <w:uiPriority w:val="34"/>
    <w:qFormat/>
    <w:pPr>
      <w:pBdr/>
      <w:spacing/>
      <w:ind w:left="720"/>
      <w:contextualSpacing w:val="true"/>
    </w:pPr>
  </w:style>
  <w:style w:type="paragraph" w:styleId="794">
    <w:name w:val="No Spacing"/>
    <w:next w:val="794"/>
    <w:link w:val="741"/>
    <w:uiPriority w:val="1"/>
    <w:qFormat/>
    <w:pPr>
      <w:pBdr/>
      <w:spacing/>
      <w:ind/>
    </w:pPr>
    <w:rPr>
      <w:sz w:val="22"/>
      <w:szCs w:val="22"/>
      <w:lang w:val="ru-RU" w:eastAsia="en-US" w:bidi="ar-SA"/>
    </w:rPr>
  </w:style>
  <w:style w:type="paragraph" w:styleId="795">
    <w:name w:val="Title"/>
    <w:basedOn w:val="741"/>
    <w:next w:val="741"/>
    <w:link w:val="796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96">
    <w:name w:val="Title Char"/>
    <w:next w:val="796"/>
    <w:link w:val="795"/>
    <w:uiPriority w:val="10"/>
    <w:pPr>
      <w:pBdr/>
      <w:spacing/>
      <w:ind/>
    </w:pPr>
    <w:rPr>
      <w:sz w:val="48"/>
      <w:szCs w:val="48"/>
    </w:rPr>
  </w:style>
  <w:style w:type="paragraph" w:styleId="797">
    <w:name w:val="Subtitle"/>
    <w:basedOn w:val="741"/>
    <w:next w:val="741"/>
    <w:link w:val="798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98">
    <w:name w:val="Subtitle Char"/>
    <w:next w:val="798"/>
    <w:link w:val="797"/>
    <w:uiPriority w:val="11"/>
    <w:pPr>
      <w:pBdr/>
      <w:spacing/>
      <w:ind/>
    </w:pPr>
    <w:rPr>
      <w:sz w:val="24"/>
      <w:szCs w:val="24"/>
    </w:rPr>
  </w:style>
  <w:style w:type="paragraph" w:styleId="799">
    <w:name w:val="Quote"/>
    <w:basedOn w:val="741"/>
    <w:next w:val="741"/>
    <w:link w:val="800"/>
    <w:uiPriority w:val="29"/>
    <w:qFormat/>
    <w:pPr>
      <w:pBdr/>
      <w:spacing/>
      <w:ind w:right="720" w:left="720"/>
    </w:pPr>
    <w:rPr>
      <w:i/>
    </w:rPr>
  </w:style>
  <w:style w:type="character" w:styleId="800">
    <w:name w:val="Quote Char"/>
    <w:next w:val="800"/>
    <w:link w:val="799"/>
    <w:uiPriority w:val="29"/>
    <w:pPr>
      <w:pBdr/>
      <w:spacing/>
      <w:ind/>
    </w:pPr>
    <w:rPr>
      <w:i/>
    </w:rPr>
  </w:style>
  <w:style w:type="paragraph" w:styleId="801">
    <w:name w:val="Intense Quote"/>
    <w:basedOn w:val="741"/>
    <w:next w:val="741"/>
    <w:link w:val="802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02">
    <w:name w:val="Intense Quote Char"/>
    <w:next w:val="802"/>
    <w:link w:val="801"/>
    <w:uiPriority w:val="30"/>
    <w:pPr>
      <w:pBdr/>
      <w:spacing/>
      <w:ind/>
    </w:pPr>
    <w:rPr>
      <w:i/>
    </w:rPr>
  </w:style>
  <w:style w:type="paragraph" w:styleId="803">
    <w:name w:val="Header"/>
    <w:basedOn w:val="741"/>
    <w:next w:val="803"/>
    <w:link w:val="80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4">
    <w:name w:val="Header Char"/>
    <w:basedOn w:val="751"/>
    <w:next w:val="804"/>
    <w:link w:val="803"/>
    <w:uiPriority w:val="99"/>
    <w:pPr>
      <w:pBdr/>
      <w:spacing/>
      <w:ind/>
    </w:pPr>
  </w:style>
  <w:style w:type="paragraph" w:styleId="805">
    <w:name w:val="Footer"/>
    <w:basedOn w:val="741"/>
    <w:next w:val="805"/>
    <w:link w:val="80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806">
    <w:name w:val="Footer Char"/>
    <w:basedOn w:val="751"/>
    <w:next w:val="806"/>
    <w:link w:val="741"/>
    <w:uiPriority w:val="99"/>
    <w:pPr>
      <w:pBdr/>
      <w:spacing/>
      <w:ind/>
    </w:pPr>
  </w:style>
  <w:style w:type="paragraph" w:styleId="807">
    <w:name w:val="Caption"/>
    <w:basedOn w:val="741"/>
    <w:next w:val="741"/>
    <w:link w:val="741"/>
    <w:uiPriority w:val="35"/>
    <w:semiHidden/>
    <w:unhideWhenUsed/>
    <w:qFormat/>
    <w:pPr>
      <w:pBdr/>
      <w:spacing w:line="276" w:lineRule="auto"/>
      <w:ind/>
    </w:pPr>
    <w:rPr>
      <w:b/>
      <w:bCs/>
      <w:color w:val="4472c4"/>
      <w:sz w:val="18"/>
      <w:szCs w:val="18"/>
    </w:rPr>
  </w:style>
  <w:style w:type="character" w:styleId="808">
    <w:name w:val="Footer Char1"/>
    <w:next w:val="808"/>
    <w:link w:val="805"/>
    <w:uiPriority w:val="99"/>
    <w:pPr>
      <w:pBdr/>
      <w:spacing/>
      <w:ind/>
    </w:pPr>
  </w:style>
  <w:style w:type="table" w:styleId="809">
    <w:name w:val="Table Grid"/>
    <w:basedOn w:val="752"/>
    <w:next w:val="809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Table Grid Light"/>
    <w:basedOn w:val="752"/>
    <w:next w:val="810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1"/>
    <w:basedOn w:val="752"/>
    <w:next w:val="811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2"/>
    <w:basedOn w:val="752"/>
    <w:next w:val="812"/>
    <w:link w:val="741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3"/>
    <w:basedOn w:val="752"/>
    <w:next w:val="81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Plain Table 4"/>
    <w:basedOn w:val="752"/>
    <w:next w:val="81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Plain Table 5"/>
    <w:basedOn w:val="752"/>
    <w:next w:val="81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"/>
    <w:basedOn w:val="752"/>
    <w:next w:val="81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1"/>
    <w:basedOn w:val="752"/>
    <w:next w:val="81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– Accent 2"/>
    <w:basedOn w:val="752"/>
    <w:next w:val="81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3"/>
    <w:basedOn w:val="752"/>
    <w:next w:val="81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4"/>
    <w:basedOn w:val="752"/>
    <w:next w:val="82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1 Light - Accent 5"/>
    <w:basedOn w:val="752"/>
    <w:next w:val="82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1 Light - Accent 6"/>
    <w:basedOn w:val="752"/>
    <w:next w:val="82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"/>
    <w:basedOn w:val="752"/>
    <w:next w:val="82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1"/>
    <w:basedOn w:val="752"/>
    <w:next w:val="82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37dc8" w:sz="4" w:space="0"/>
        <w:right w:val="none" w:color="000000" w:sz="0" w:space="0"/>
        <w:insideH w:val="single" w:color="537dc8" w:sz="4" w:space="0"/>
        <w:insideV w:val="single" w:color="537dc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2"/>
    <w:basedOn w:val="752"/>
    <w:next w:val="82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3"/>
    <w:basedOn w:val="752"/>
    <w:next w:val="82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4"/>
    <w:basedOn w:val="752"/>
    <w:next w:val="82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2 - Accent 5"/>
    <w:basedOn w:val="752"/>
    <w:next w:val="82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b9bd5" w:sz="4" w:space="0"/>
        <w:right w:val="none" w:color="000000" w:sz="0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2 - Accent 6"/>
    <w:basedOn w:val="752"/>
    <w:next w:val="82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"/>
    <w:basedOn w:val="752"/>
    <w:next w:val="83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1"/>
    <w:basedOn w:val="752"/>
    <w:next w:val="83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37dc8" w:sz="4" w:space="0"/>
        <w:right w:val="none" w:color="000000" w:sz="0" w:space="0"/>
        <w:insideH w:val="single" w:color="537dc8" w:sz="4" w:space="0"/>
        <w:insideV w:val="single" w:color="537dc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2"/>
    <w:basedOn w:val="752"/>
    <w:next w:val="83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3"/>
    <w:basedOn w:val="752"/>
    <w:next w:val="83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4"/>
    <w:basedOn w:val="752"/>
    <w:next w:val="83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3 - Accent 5"/>
    <w:basedOn w:val="752"/>
    <w:next w:val="83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5b9bd5" w:sz="4" w:space="0"/>
        <w:right w:val="none" w:color="000000" w:sz="0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3 - Accent 6"/>
    <w:basedOn w:val="752"/>
    <w:next w:val="83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"/>
    <w:basedOn w:val="752"/>
    <w:next w:val="837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1"/>
    <w:basedOn w:val="752"/>
    <w:next w:val="838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2"/>
    <w:basedOn w:val="752"/>
    <w:next w:val="839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single" w:color="f4b58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3"/>
    <w:basedOn w:val="752"/>
    <w:next w:val="840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4"/>
    <w:basedOn w:val="752"/>
    <w:next w:val="841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single" w:color="ffdb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4 - Accent 5"/>
    <w:basedOn w:val="752"/>
    <w:next w:val="842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4 - Accent 6"/>
    <w:basedOn w:val="752"/>
    <w:next w:val="843"/>
    <w:link w:val="741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"/>
    <w:basedOn w:val="752"/>
    <w:next w:val="84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- Accent 1"/>
    <w:basedOn w:val="752"/>
    <w:next w:val="84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8e2f3" w:fill="d8e2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 - Accent 2"/>
    <w:basedOn w:val="752"/>
    <w:next w:val="84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be5d6" w:fill="fbe5d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3"/>
    <w:basedOn w:val="752"/>
    <w:next w:val="84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cecec" w:fill="ecec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- Accent 4"/>
    <w:basedOn w:val="752"/>
    <w:next w:val="84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2cb" w:fill="fff2c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5 Dark - Accent 5"/>
    <w:basedOn w:val="752"/>
    <w:next w:val="84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deaf6" w:fill="ddeaf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5 Dark - Accent 6"/>
    <w:basedOn w:val="752"/>
    <w:next w:val="85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1efd8" w:fill="e1ef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urful"/>
    <w:basedOn w:val="752"/>
    <w:next w:val="85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urful – Accent 1"/>
    <w:basedOn w:val="752"/>
    <w:next w:val="85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0b7e1" w:sz="4" w:space="0"/>
        <w:left w:val="single" w:color="a0b7e1" w:sz="4" w:space="0"/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urful – Accent 2"/>
    <w:basedOn w:val="752"/>
    <w:next w:val="85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urful – Accent 3"/>
    <w:basedOn w:val="752"/>
    <w:next w:val="85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urful – Accent 4"/>
    <w:basedOn w:val="752"/>
    <w:next w:val="85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6 Colourful – Accent 5"/>
    <w:basedOn w:val="752"/>
    <w:next w:val="85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5b9bd5" w:sz="4" w:space="0"/>
        <w:left w:val="single" w:color="5b9bd5" w:sz="4" w:space="0"/>
        <w:bottom w:val="single" w:color="5b9bd5" w:sz="4" w:space="0"/>
        <w:right w:val="single" w:color="5b9bd5" w:sz="4" w:space="0"/>
        <w:insideH w:val="single" w:color="5b9bd5" w:sz="4" w:space="0"/>
        <w:insideV w:val="single" w:color="5b9bd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6 Colourful – Accent 6"/>
    <w:basedOn w:val="752"/>
    <w:next w:val="85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0ad47" w:sz="4" w:space="0"/>
        <w:left w:val="single" w:color="70ad47" w:sz="4" w:space="0"/>
        <w:bottom w:val="single" w:color="70ad47" w:sz="4" w:space="0"/>
        <w:right w:val="single" w:color="70ad47" w:sz="4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urful"/>
    <w:basedOn w:val="752"/>
    <w:next w:val="85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urful – Accent 1"/>
    <w:basedOn w:val="752"/>
    <w:next w:val="85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0b7e1" w:sz="4" w:space="0"/>
        <w:right w:val="single" w:color="a0b7e1" w:sz="4" w:space="0"/>
        <w:insideH w:val="single" w:color="a0b7e1" w:sz="4" w:space="0"/>
        <w:insideV w:val="single" w:color="a0b7e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urful – Accent 2"/>
    <w:basedOn w:val="752"/>
    <w:next w:val="86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urful – Accent 3"/>
    <w:basedOn w:val="752"/>
    <w:next w:val="86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urful – Accent 4"/>
    <w:basedOn w:val="752"/>
    <w:next w:val="86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7 Colourful – Accent 5"/>
    <w:basedOn w:val="752"/>
    <w:next w:val="86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7 Colourful – Accent 6"/>
    <w:basedOn w:val="752"/>
    <w:next w:val="86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"/>
    <w:basedOn w:val="752"/>
    <w:next w:val="86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1"/>
    <w:basedOn w:val="752"/>
    <w:next w:val="86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2"/>
    <w:basedOn w:val="752"/>
    <w:next w:val="86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3"/>
    <w:basedOn w:val="752"/>
    <w:next w:val="86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4"/>
    <w:basedOn w:val="752"/>
    <w:next w:val="86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5"/>
    <w:basedOn w:val="752"/>
    <w:next w:val="87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6"/>
    <w:basedOn w:val="752"/>
    <w:next w:val="87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"/>
    <w:basedOn w:val="752"/>
    <w:next w:val="87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1"/>
    <w:basedOn w:val="752"/>
    <w:next w:val="87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none" w:color="000000" w:sz="0" w:space="0"/>
        <w:bottom w:val="single" w:color="95afdd" w:sz="4" w:space="0"/>
        <w:right w:val="none" w:color="000000" w:sz="0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2"/>
    <w:basedOn w:val="752"/>
    <w:next w:val="87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none" w:color="000000" w:sz="0" w:space="0"/>
        <w:bottom w:val="single" w:color="f4b58a" w:sz="4" w:space="0"/>
        <w:right w:val="none" w:color="000000" w:sz="0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3"/>
    <w:basedOn w:val="752"/>
    <w:next w:val="87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4"/>
    <w:basedOn w:val="752"/>
    <w:next w:val="87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none" w:color="000000" w:sz="0" w:space="0"/>
        <w:bottom w:val="single" w:color="ffdb6f" w:sz="4" w:space="0"/>
        <w:right w:val="none" w:color="000000" w:sz="0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5"/>
    <w:basedOn w:val="752"/>
    <w:next w:val="87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none" w:color="000000" w:sz="0" w:space="0"/>
        <w:bottom w:val="single" w:color="a2c6e7" w:sz="4" w:space="0"/>
        <w:right w:val="none" w:color="000000" w:sz="0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6"/>
    <w:basedOn w:val="752"/>
    <w:next w:val="87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none" w:color="000000" w:sz="0" w:space="0"/>
        <w:bottom w:val="single" w:color="add394" w:sz="4" w:space="0"/>
        <w:right w:val="none" w:color="000000" w:sz="0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"/>
    <w:basedOn w:val="752"/>
    <w:next w:val="87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1"/>
    <w:basedOn w:val="752"/>
    <w:next w:val="88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472c4" w:sz="4" w:space="0"/>
        <w:left w:val="single" w:color="4472c4" w:sz="4" w:space="0"/>
        <w:bottom w:val="single" w:color="4472c4" w:sz="4" w:space="0"/>
        <w:right w:val="single" w:color="4472c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2"/>
    <w:basedOn w:val="752"/>
    <w:next w:val="88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3"/>
    <w:basedOn w:val="752"/>
    <w:next w:val="88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4"/>
    <w:basedOn w:val="752"/>
    <w:next w:val="88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5"/>
    <w:basedOn w:val="752"/>
    <w:next w:val="88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c2e5" w:sz="4" w:space="0"/>
        <w:left w:val="single" w:color="9bc2e5" w:sz="4" w:space="0"/>
        <w:bottom w:val="single" w:color="9bc2e5" w:sz="4" w:space="0"/>
        <w:right w:val="single" w:color="9bc2e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6"/>
    <w:basedOn w:val="752"/>
    <w:next w:val="88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4" w:space="0"/>
        <w:left w:val="single" w:color="a9d08e" w:sz="4" w:space="0"/>
        <w:bottom w:val="single" w:color="a9d08e" w:sz="4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"/>
    <w:basedOn w:val="752"/>
    <w:next w:val="88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1"/>
    <w:basedOn w:val="752"/>
    <w:next w:val="88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2"/>
    <w:basedOn w:val="752"/>
    <w:next w:val="88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3"/>
    <w:basedOn w:val="752"/>
    <w:next w:val="88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4"/>
    <w:basedOn w:val="752"/>
    <w:next w:val="89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5"/>
    <w:basedOn w:val="752"/>
    <w:next w:val="89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6"/>
    <w:basedOn w:val="752"/>
    <w:next w:val="89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"/>
    <w:basedOn w:val="752"/>
    <w:next w:val="89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1"/>
    <w:basedOn w:val="752"/>
    <w:next w:val="89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472c4" w:sz="32" w:space="0"/>
        <w:left w:val="single" w:color="4472c4" w:sz="32" w:space="0"/>
        <w:bottom w:val="single" w:color="4472c4" w:sz="32" w:space="0"/>
        <w:right w:val="single" w:color="4472c4" w:sz="32" w:space="0"/>
        <w:insideH w:val="none" w:color="000000" w:sz="0" w:space="0"/>
        <w:insideV w:val="none" w:color="000000" w:sz="0" w:space="0"/>
      </w:tblBorders>
      <w:shd w:val="clear" w:color="4472c4" w:fill="4472c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2"/>
    <w:basedOn w:val="752"/>
    <w:next w:val="89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32" w:space="0"/>
        <w:left w:val="single" w:color="f4b184" w:sz="32" w:space="0"/>
        <w:bottom w:val="single" w:color="f4b184" w:sz="32" w:space="0"/>
        <w:right w:val="single" w:color="f4b184" w:sz="32" w:space="0"/>
        <w:insideH w:val="none" w:color="000000" w:sz="0" w:space="0"/>
        <w:insideV w:val="none" w:color="000000" w:sz="0" w:space="0"/>
      </w:tblBorders>
      <w:shd w:val="clear" w:color="f4b184" w:fill="f4b18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3"/>
    <w:basedOn w:val="752"/>
    <w:next w:val="89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c9c9c9" w:fill="c9c9c9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4"/>
    <w:basedOn w:val="752"/>
    <w:next w:val="89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32" w:space="0"/>
        <w:left w:val="single" w:color="ffd865" w:sz="32" w:space="0"/>
        <w:bottom w:val="single" w:color="ffd865" w:sz="32" w:space="0"/>
        <w:right w:val="single" w:color="ffd865" w:sz="32" w:space="0"/>
        <w:insideH w:val="none" w:color="000000" w:sz="0" w:space="0"/>
        <w:insideV w:val="none" w:color="000000" w:sz="0" w:space="0"/>
      </w:tblBorders>
      <w:shd w:val="clear" w:color="ffd865" w:fill="ffd86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5 Dark - Accent 5"/>
    <w:basedOn w:val="752"/>
    <w:next w:val="89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c2e5" w:sz="32" w:space="0"/>
        <w:left w:val="single" w:color="9bc2e5" w:sz="32" w:space="0"/>
        <w:bottom w:val="single" w:color="9bc2e5" w:sz="32" w:space="0"/>
        <w:right w:val="single" w:color="9bc2e5" w:sz="32" w:space="0"/>
        <w:insideH w:val="none" w:color="000000" w:sz="0" w:space="0"/>
        <w:insideV w:val="none" w:color="000000" w:sz="0" w:space="0"/>
      </w:tblBorders>
      <w:shd w:val="clear" w:color="9bc2e5" w:fill="9bc2e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5 Dark - Accent 6"/>
    <w:basedOn w:val="752"/>
    <w:next w:val="89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32" w:space="0"/>
        <w:left w:val="single" w:color="a9d08e" w:sz="32" w:space="0"/>
        <w:bottom w:val="single" w:color="a9d08e" w:sz="32" w:space="0"/>
        <w:right w:val="single" w:color="a9d08e" w:sz="32" w:space="0"/>
        <w:insideH w:val="none" w:color="000000" w:sz="0" w:space="0"/>
        <w:insideV w:val="none" w:color="000000" w:sz="0" w:space="0"/>
      </w:tblBorders>
      <w:shd w:val="clear" w:color="a9d08e" w:fill="a9d08e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urful"/>
    <w:basedOn w:val="752"/>
    <w:next w:val="90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urful – Accent 1"/>
    <w:basedOn w:val="752"/>
    <w:next w:val="90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472c4" w:sz="4" w:space="0"/>
        <w:left w:val="none" w:color="000000" w:sz="0" w:space="0"/>
        <w:bottom w:val="single" w:color="4472c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urful – Accent 2"/>
    <w:basedOn w:val="752"/>
    <w:next w:val="90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none" w:color="000000" w:sz="0" w:space="0"/>
        <w:bottom w:val="single" w:color="f4b18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urful – Accent 3"/>
    <w:basedOn w:val="752"/>
    <w:next w:val="90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urful – Accent 4"/>
    <w:basedOn w:val="752"/>
    <w:next w:val="90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none" w:color="000000" w:sz="0" w:space="0"/>
        <w:bottom w:val="single" w:color="ffd86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urful – Accent 5"/>
    <w:basedOn w:val="752"/>
    <w:next w:val="905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bc2e5" w:sz="4" w:space="0"/>
        <w:left w:val="none" w:color="000000" w:sz="0" w:space="0"/>
        <w:bottom w:val="single" w:color="9bc2e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6 Colourful – Accent 6"/>
    <w:basedOn w:val="752"/>
    <w:next w:val="906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4" w:space="0"/>
        <w:left w:val="none" w:color="000000" w:sz="0" w:space="0"/>
        <w:bottom w:val="single" w:color="a9d08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urful"/>
    <w:basedOn w:val="752"/>
    <w:next w:val="907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urful – Accent 1"/>
    <w:basedOn w:val="752"/>
    <w:next w:val="90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472c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urful – Accent 2"/>
    <w:basedOn w:val="752"/>
    <w:next w:val="90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urful – Accent 3"/>
    <w:basedOn w:val="752"/>
    <w:next w:val="91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urful – Accent 4"/>
    <w:basedOn w:val="752"/>
    <w:next w:val="91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7 Colourful – Accent 5"/>
    <w:basedOn w:val="752"/>
    <w:next w:val="91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bc2e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7 Colourful – Accent 6"/>
    <w:basedOn w:val="752"/>
    <w:next w:val="91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"/>
    <w:basedOn w:val="752"/>
    <w:next w:val="914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1"/>
    <w:basedOn w:val="752"/>
    <w:next w:val="915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2"/>
    <w:basedOn w:val="752"/>
    <w:next w:val="916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3"/>
    <w:basedOn w:val="752"/>
    <w:next w:val="917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4"/>
    <w:basedOn w:val="752"/>
    <w:next w:val="918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ned - Accent 5"/>
    <w:basedOn w:val="752"/>
    <w:next w:val="919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ned - Accent 6"/>
    <w:basedOn w:val="752"/>
    <w:next w:val="920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"/>
    <w:basedOn w:val="752"/>
    <w:next w:val="921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1"/>
    <w:basedOn w:val="752"/>
    <w:next w:val="922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254175" w:sz="4" w:space="0"/>
        <w:left w:val="single" w:color="254175" w:sz="4" w:space="0"/>
        <w:bottom w:val="single" w:color="254175" w:sz="4" w:space="0"/>
        <w:right w:val="single" w:color="254175" w:sz="4" w:space="0"/>
        <w:insideH w:val="single" w:color="254175" w:sz="4" w:space="0"/>
        <w:insideV w:val="single" w:color="25417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2"/>
    <w:basedOn w:val="752"/>
    <w:next w:val="923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99460d" w:sz="4" w:space="0"/>
        <w:left w:val="single" w:color="99460d" w:sz="4" w:space="0"/>
        <w:bottom w:val="single" w:color="99460d" w:sz="4" w:space="0"/>
        <w:right w:val="single" w:color="99460d" w:sz="4" w:space="0"/>
        <w:insideH w:val="single" w:color="99460d" w:sz="4" w:space="0"/>
        <w:insideV w:val="single" w:color="99460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3"/>
    <w:basedOn w:val="752"/>
    <w:next w:val="924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4"/>
    <w:basedOn w:val="752"/>
    <w:next w:val="925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957000" w:sz="4" w:space="0"/>
        <w:left w:val="single" w:color="957000" w:sz="4" w:space="0"/>
        <w:bottom w:val="single" w:color="957000" w:sz="4" w:space="0"/>
        <w:right w:val="single" w:color="957000" w:sz="4" w:space="0"/>
        <w:insideH w:val="single" w:color="957000" w:sz="4" w:space="0"/>
        <w:insideV w:val="single" w:color="957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&amp; Lined - Accent 5"/>
    <w:basedOn w:val="752"/>
    <w:next w:val="926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245a8d" w:sz="4" w:space="0"/>
        <w:left w:val="single" w:color="245a8d" w:sz="4" w:space="0"/>
        <w:bottom w:val="single" w:color="245a8d" w:sz="4" w:space="0"/>
        <w:right w:val="single" w:color="245a8d" w:sz="4" w:space="0"/>
        <w:insideH w:val="single" w:color="245a8d" w:sz="4" w:space="0"/>
        <w:insideV w:val="single" w:color="245a8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&amp; Lined - Accent 6"/>
    <w:basedOn w:val="752"/>
    <w:next w:val="927"/>
    <w:link w:val="741"/>
    <w:uiPriority w:val="99"/>
    <w:pPr>
      <w:pBdr/>
      <w:spacing w:after="0" w:line="240" w:lineRule="auto"/>
      <w:ind/>
    </w:pPr>
    <w:rPr>
      <w:color w:val="404040"/>
      <w:sz w:val="20"/>
      <w:szCs w:val="20"/>
      <w:lang w:val="en-US" w:eastAsia="zh-CN"/>
    </w:rPr>
    <w:tblPr>
      <w:tblStyleRowBandSize w:val="1"/>
      <w:tblStyleColBandSize w:val="1"/>
      <w:tblW w:w="0" w:type="auto"/>
      <w:tblBorders>
        <w:top w:val="single" w:color="416429" w:sz="4" w:space="0"/>
        <w:left w:val="single" w:color="416429" w:sz="4" w:space="0"/>
        <w:bottom w:val="single" w:color="416429" w:sz="4" w:space="0"/>
        <w:right w:val="single" w:color="416429" w:sz="4" w:space="0"/>
        <w:insideH w:val="single" w:color="416429" w:sz="4" w:space="0"/>
        <w:insideV w:val="single" w:color="4164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"/>
    <w:basedOn w:val="752"/>
    <w:next w:val="928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1"/>
    <w:basedOn w:val="752"/>
    <w:next w:val="929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2"/>
    <w:basedOn w:val="752"/>
    <w:next w:val="930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3"/>
    <w:basedOn w:val="752"/>
    <w:next w:val="931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4"/>
    <w:basedOn w:val="752"/>
    <w:next w:val="932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5"/>
    <w:basedOn w:val="752"/>
    <w:next w:val="933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6"/>
    <w:basedOn w:val="752"/>
    <w:next w:val="934"/>
    <w:link w:val="741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5">
    <w:name w:val="Hyperlink"/>
    <w:next w:val="935"/>
    <w:link w:val="741"/>
    <w:uiPriority w:val="99"/>
    <w:unhideWhenUsed/>
    <w:pPr>
      <w:pBdr/>
      <w:spacing/>
      <w:ind/>
    </w:pPr>
    <w:rPr>
      <w:color w:val="0563c1"/>
      <w:u w:val="single"/>
    </w:rPr>
  </w:style>
  <w:style w:type="paragraph" w:styleId="936">
    <w:name w:val="footnote text"/>
    <w:basedOn w:val="741"/>
    <w:next w:val="936"/>
    <w:link w:val="937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37">
    <w:name w:val="Footnote Text Char"/>
    <w:next w:val="937"/>
    <w:link w:val="936"/>
    <w:uiPriority w:val="99"/>
    <w:pPr>
      <w:pBdr/>
      <w:spacing/>
      <w:ind/>
    </w:pPr>
    <w:rPr>
      <w:sz w:val="18"/>
    </w:rPr>
  </w:style>
  <w:style w:type="character" w:styleId="938">
    <w:name w:val="footnote reference"/>
    <w:next w:val="938"/>
    <w:link w:val="741"/>
    <w:uiPriority w:val="99"/>
    <w:unhideWhenUsed/>
    <w:pPr>
      <w:pBdr/>
      <w:spacing/>
      <w:ind/>
    </w:pPr>
    <w:rPr>
      <w:vertAlign w:val="superscript"/>
    </w:rPr>
  </w:style>
  <w:style w:type="paragraph" w:styleId="939">
    <w:name w:val="endnote text"/>
    <w:basedOn w:val="741"/>
    <w:next w:val="939"/>
    <w:link w:val="940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40">
    <w:name w:val="Endnote Text Char"/>
    <w:next w:val="940"/>
    <w:link w:val="939"/>
    <w:uiPriority w:val="99"/>
    <w:pPr>
      <w:pBdr/>
      <w:spacing/>
      <w:ind/>
    </w:pPr>
    <w:rPr>
      <w:sz w:val="20"/>
    </w:rPr>
  </w:style>
  <w:style w:type="character" w:styleId="941">
    <w:name w:val="endnote reference"/>
    <w:next w:val="941"/>
    <w:link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942">
    <w:name w:val="toc 1"/>
    <w:basedOn w:val="741"/>
    <w:next w:val="741"/>
    <w:link w:val="741"/>
    <w:uiPriority w:val="39"/>
    <w:unhideWhenUsed/>
    <w:pPr>
      <w:pBdr/>
      <w:spacing w:after="57"/>
      <w:ind w:right="0" w:firstLine="0" w:left="0"/>
    </w:pPr>
  </w:style>
  <w:style w:type="paragraph" w:styleId="943">
    <w:name w:val="toc 2"/>
    <w:basedOn w:val="741"/>
    <w:next w:val="741"/>
    <w:link w:val="741"/>
    <w:uiPriority w:val="39"/>
    <w:unhideWhenUsed/>
    <w:pPr>
      <w:pBdr/>
      <w:spacing w:after="57"/>
      <w:ind w:right="0" w:firstLine="0" w:left="283"/>
    </w:pPr>
  </w:style>
  <w:style w:type="paragraph" w:styleId="944">
    <w:name w:val="toc 3"/>
    <w:basedOn w:val="741"/>
    <w:next w:val="741"/>
    <w:link w:val="741"/>
    <w:uiPriority w:val="39"/>
    <w:unhideWhenUsed/>
    <w:pPr>
      <w:pBdr/>
      <w:spacing w:after="57"/>
      <w:ind w:right="0" w:firstLine="0" w:left="567"/>
    </w:pPr>
  </w:style>
  <w:style w:type="paragraph" w:styleId="945">
    <w:name w:val="toc 4"/>
    <w:basedOn w:val="741"/>
    <w:next w:val="741"/>
    <w:link w:val="741"/>
    <w:uiPriority w:val="39"/>
    <w:unhideWhenUsed/>
    <w:pPr>
      <w:pBdr/>
      <w:spacing w:after="57"/>
      <w:ind w:right="0" w:firstLine="0" w:left="850"/>
    </w:pPr>
  </w:style>
  <w:style w:type="paragraph" w:styleId="946">
    <w:name w:val="toc 5"/>
    <w:basedOn w:val="741"/>
    <w:next w:val="741"/>
    <w:link w:val="741"/>
    <w:uiPriority w:val="39"/>
    <w:unhideWhenUsed/>
    <w:pPr>
      <w:pBdr/>
      <w:spacing w:after="57"/>
      <w:ind w:right="0" w:firstLine="0" w:left="1134"/>
    </w:pPr>
  </w:style>
  <w:style w:type="paragraph" w:styleId="947">
    <w:name w:val="toc 6"/>
    <w:basedOn w:val="741"/>
    <w:next w:val="741"/>
    <w:link w:val="741"/>
    <w:uiPriority w:val="39"/>
    <w:unhideWhenUsed/>
    <w:pPr>
      <w:pBdr/>
      <w:spacing w:after="57"/>
      <w:ind w:right="0" w:firstLine="0" w:left="1417"/>
    </w:pPr>
  </w:style>
  <w:style w:type="paragraph" w:styleId="948">
    <w:name w:val="toc 7"/>
    <w:basedOn w:val="741"/>
    <w:next w:val="741"/>
    <w:link w:val="741"/>
    <w:uiPriority w:val="39"/>
    <w:unhideWhenUsed/>
    <w:pPr>
      <w:pBdr/>
      <w:spacing w:after="57"/>
      <w:ind w:right="0" w:firstLine="0" w:left="1701"/>
    </w:pPr>
  </w:style>
  <w:style w:type="paragraph" w:styleId="949">
    <w:name w:val="toc 8"/>
    <w:basedOn w:val="741"/>
    <w:next w:val="741"/>
    <w:link w:val="741"/>
    <w:uiPriority w:val="39"/>
    <w:unhideWhenUsed/>
    <w:pPr>
      <w:pBdr/>
      <w:spacing w:after="57"/>
      <w:ind w:right="0" w:firstLine="0" w:left="1984"/>
    </w:pPr>
  </w:style>
  <w:style w:type="paragraph" w:styleId="950">
    <w:name w:val="toc 9"/>
    <w:basedOn w:val="741"/>
    <w:next w:val="741"/>
    <w:link w:val="741"/>
    <w:uiPriority w:val="39"/>
    <w:unhideWhenUsed/>
    <w:pPr>
      <w:pBdr/>
      <w:spacing w:after="57"/>
      <w:ind w:right="0" w:firstLine="0" w:left="2268"/>
    </w:pPr>
  </w:style>
  <w:style w:type="paragraph" w:styleId="951">
    <w:name w:val="TOC Heading"/>
    <w:next w:val="951"/>
    <w:link w:val="741"/>
    <w:uiPriority w:val="39"/>
    <w:unhideWhenUsed/>
    <w:pPr>
      <w:pBdr/>
      <w:spacing w:after="160" w:line="259" w:lineRule="auto"/>
      <w:ind/>
    </w:pPr>
    <w:rPr>
      <w:sz w:val="22"/>
      <w:szCs w:val="22"/>
      <w:lang w:val="ru-RU" w:eastAsia="en-US" w:bidi="ar-SA"/>
    </w:rPr>
  </w:style>
  <w:style w:type="paragraph" w:styleId="952">
    <w:name w:val="table of figures"/>
    <w:basedOn w:val="741"/>
    <w:next w:val="741"/>
    <w:link w:val="741"/>
    <w:uiPriority w:val="99"/>
    <w:unhideWhenUsed/>
    <w:pPr>
      <w:pBdr/>
      <w:spacing w:after="0" w:afterAutospacing="0"/>
      <w:ind/>
    </w:pPr>
  </w:style>
  <w:style w:type="paragraph" w:styleId="953">
    <w:name w:val="Normal (Web)"/>
    <w:basedOn w:val="741"/>
    <w:next w:val="953"/>
    <w:link w:val="741"/>
    <w:uiPriority w:val="99"/>
    <w:semiHidden/>
    <w:unhideWhenUsed/>
    <w:pPr>
      <w:pBdr/>
      <w:spacing w:after="100" w:afterAutospacing="1" w:before="100" w:beforeAutospacing="1"/>
      <w:ind/>
    </w:pPr>
    <w:rPr>
      <w:rFonts w:eastAsia="Times New Roman" w:cs="Times New Roman"/>
      <w:sz w:val="24"/>
      <w:szCs w:val="24"/>
    </w:rPr>
  </w:style>
  <w:style w:type="character" w:styleId="954">
    <w:name w:val="Strong"/>
    <w:next w:val="954"/>
    <w:link w:val="741"/>
    <w:uiPriority w:val="22"/>
    <w:qFormat/>
    <w:pPr>
      <w:pBdr/>
      <w:spacing/>
      <w:ind/>
    </w:pPr>
    <w:rPr>
      <w:b/>
      <w:bCs/>
    </w:rPr>
  </w:style>
  <w:style w:type="paragraph" w:styleId="955">
    <w:name w:val="Без интервала"/>
    <w:next w:val="805"/>
    <w:link w:val="752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ru-RU" w:eastAsia="en-US" w:bidi="ar-SA"/>
    </w:rPr>
  </w:style>
  <w:style w:type="character" w:styleId="956">
    <w:name w:val="fontstyle01"/>
    <w:next w:val="956"/>
    <w:link w:val="741"/>
    <w:pPr>
      <w:pBdr/>
      <w:spacing/>
      <w:ind/>
    </w:pPr>
    <w:rPr>
      <w:rFonts w:ascii="TimesNewRomanPSMT" w:hAnsi="TimesNewRomanPSMT"/>
      <w:color w:val="000000"/>
      <w:sz w:val="20"/>
      <w:szCs w:val="20"/>
    </w:rPr>
  </w:style>
  <w:style w:type="table" w:styleId="957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4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Bazilevschi Larisa</dc:creator>
  <cp:revision>13</cp:revision>
  <dcterms:created xsi:type="dcterms:W3CDTF">2024-09-03T13:29:00Z</dcterms:created>
  <dcterms:modified xsi:type="dcterms:W3CDTF">2026-04-22T12:45:37Z</dcterms:modified>
  <cp:version>1048576</cp:version>
</cp:coreProperties>
</file>