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14"/>
        <w:gridCol w:w="1829"/>
        <w:gridCol w:w="1294"/>
        <w:gridCol w:w="1243"/>
        <w:gridCol w:w="708"/>
        <w:gridCol w:w="2558"/>
        <w:gridCol w:w="2660"/>
        <w:gridCol w:w="1132"/>
        <w:gridCol w:w="15"/>
        <w:gridCol w:w="57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230F91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230F91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230F91">
        <w:trPr>
          <w:trHeight w:val="567"/>
        </w:trPr>
        <w:tc>
          <w:tcPr>
            <w:tcW w:w="2861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39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230F91">
        <w:trPr>
          <w:gridAfter w:val="2"/>
          <w:wAfter w:w="24" w:type="pct"/>
          <w:trHeight w:val="1043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230F91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230F91">
        <w:trPr>
          <w:gridAfter w:val="2"/>
          <w:wAfter w:w="24" w:type="pct"/>
          <w:trHeight w:val="283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4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5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230F91" w:rsidRDefault="00B90BA4" w:rsidP="004033E8">
            <w:pPr>
              <w:jc w:val="center"/>
              <w:rPr>
                <w:sz w:val="20"/>
                <w:szCs w:val="20"/>
              </w:rPr>
            </w:pPr>
            <w:r w:rsidRPr="00230F91"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230F91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230F91" w:rsidRDefault="00F33932" w:rsidP="00F33932">
            <w:pPr>
              <w:rPr>
                <w:b/>
                <w:sz w:val="20"/>
                <w:szCs w:val="20"/>
              </w:rPr>
            </w:pPr>
            <w:r w:rsidRPr="00230F91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230F91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230F91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230F91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230F91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230F91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230F91" w:rsidRDefault="00F33932" w:rsidP="00F33932">
            <w:pPr>
              <w:rPr>
                <w:sz w:val="20"/>
                <w:szCs w:val="20"/>
              </w:rPr>
            </w:pPr>
          </w:p>
        </w:tc>
      </w:tr>
      <w:tr w:rsidR="00230F91" w:rsidRPr="0065496F" w14:paraId="0847309E" w14:textId="77777777" w:rsidTr="00230F91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6B8574CC" w:rsidR="00230F91" w:rsidRPr="00230F91" w:rsidRDefault="00230F91" w:rsidP="00230F91">
            <w:pPr>
              <w:rPr>
                <w:sz w:val="20"/>
                <w:szCs w:val="20"/>
                <w:lang w:eastAsia="zh-CN"/>
              </w:rPr>
            </w:pPr>
            <w:r w:rsidRPr="00230F91">
              <w:rPr>
                <w:color w:val="000000"/>
                <w:sz w:val="20"/>
                <w:szCs w:val="20"/>
                <w:lang w:val="en-US"/>
              </w:rPr>
              <w:t>Lot 1. Seringi compatibile cu injectomatul MEDRAD STELLANT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230F91" w:rsidRPr="00230F91" w:rsidRDefault="00230F91" w:rsidP="00230F9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230F91" w:rsidRPr="00230F91" w:rsidRDefault="00230F91" w:rsidP="00230F91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230F91" w:rsidRPr="00230F91" w:rsidRDefault="00230F91" w:rsidP="00230F91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470F" w14:textId="77777777" w:rsidR="00230F91" w:rsidRPr="00230F91" w:rsidRDefault="00230F91" w:rsidP="00230F91">
            <w:pPr>
              <w:rPr>
                <w:color w:val="000000"/>
                <w:sz w:val="20"/>
                <w:szCs w:val="20"/>
                <w:lang w:val="en-US"/>
              </w:rPr>
            </w:pPr>
            <w:r w:rsidRPr="00230F91">
              <w:rPr>
                <w:color w:val="000000"/>
                <w:sz w:val="20"/>
                <w:szCs w:val="20"/>
                <w:lang w:val="en-US"/>
              </w:rPr>
              <w:t>Injector-seringă dublă 200ml, steril, cu piston pentru contrast, tub conector Y(T), Tub “J”. Compatibil cu Injectomat MEDRAD STELLANT</w:t>
            </w:r>
          </w:p>
          <w:p w14:paraId="4C0BDC91" w14:textId="79DEA839" w:rsidR="00230F91" w:rsidRPr="00230F91" w:rsidRDefault="00230F91" w:rsidP="00230F91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8E26" w14:textId="77777777" w:rsidR="00230F91" w:rsidRPr="00230F91" w:rsidRDefault="00230F91" w:rsidP="00230F9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217" w14:textId="77777777" w:rsidR="00230F91" w:rsidRPr="00230F91" w:rsidRDefault="00230F91" w:rsidP="00230F91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230F91"/>
    <w:rsid w:val="004205C9"/>
    <w:rsid w:val="00462A06"/>
    <w:rsid w:val="005911FF"/>
    <w:rsid w:val="006758E8"/>
    <w:rsid w:val="008E56E9"/>
    <w:rsid w:val="00A0505A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2021-11-08T12:06:00Z</dcterms:created>
  <dcterms:modified xsi:type="dcterms:W3CDTF">2026-07-06T03:51:00Z</dcterms:modified>
</cp:coreProperties>
</file>