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CAIET DE SARCINI</w:t>
      </w:r>
    </w:p>
    <w:p>
      <w:pPr>
        <w:ind w:right="567"/>
        <w:jc w:val="center"/>
        <w:rPr>
          <w:b/>
          <w:bCs/>
          <w:sz w:val="28"/>
          <w:szCs w:val="28"/>
          <w:lang w:val="en-US"/>
        </w:rPr>
      </w:pPr>
    </w:p>
    <w:p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>
        <w:rPr>
          <w:b/>
          <w:bCs/>
          <w:sz w:val="28"/>
          <w:szCs w:val="28"/>
          <w:u w:val="single"/>
          <w:lang w:val="en-US"/>
        </w:rPr>
        <w:t>__</w:t>
      </w:r>
      <w:r>
        <w:rPr>
          <w:rFonts w:hint="default"/>
          <w:b/>
          <w:bCs/>
          <w:sz w:val="28"/>
          <w:szCs w:val="28"/>
          <w:u w:val="single"/>
          <w:lang w:val="ro-RO"/>
        </w:rPr>
        <w:t>Primăria Leova</w:t>
      </w:r>
      <w:r>
        <w:rPr>
          <w:b/>
          <w:bCs/>
          <w:sz w:val="28"/>
          <w:szCs w:val="28"/>
          <w:u w:val="single"/>
          <w:lang w:val="en-US"/>
        </w:rPr>
        <w:t>___</w:t>
      </w:r>
    </w:p>
    <w:p>
      <w:pPr>
        <w:ind w:right="567"/>
        <w:rPr>
          <w:sz w:val="28"/>
          <w:szCs w:val="28"/>
          <w:lang w:val="en-US"/>
        </w:rPr>
      </w:pPr>
      <w:r>
        <w:rPr>
          <w:b/>
          <w:bCs/>
          <w:sz w:val="24"/>
          <w:szCs w:val="24"/>
          <w:lang w:val="en-US"/>
        </w:rPr>
        <w:t>2. Organizatorul procedurii de achizi</w:t>
      </w:r>
      <w:r>
        <w:rPr>
          <w:b/>
          <w:bCs/>
          <w:sz w:val="24"/>
          <w:szCs w:val="24"/>
          <w:lang w:val="ro-RO"/>
        </w:rPr>
        <w:t>ţ</w:t>
      </w:r>
      <w:r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u w:val="single"/>
          <w:lang w:val="en-US"/>
        </w:rPr>
        <w:t>__</w:t>
      </w:r>
      <w:r>
        <w:rPr>
          <w:rFonts w:hint="default"/>
          <w:b/>
          <w:bCs/>
          <w:sz w:val="28"/>
          <w:szCs w:val="28"/>
          <w:u w:val="single"/>
          <w:lang w:val="ro-RO"/>
        </w:rPr>
        <w:t>Primăria Leova</w:t>
      </w:r>
      <w:r>
        <w:rPr>
          <w:b/>
          <w:bCs/>
          <w:sz w:val="28"/>
          <w:szCs w:val="28"/>
          <w:u w:val="single"/>
          <w:lang w:val="en-US"/>
        </w:rPr>
        <w:t>_</w:t>
      </w:r>
    </w:p>
    <w:p>
      <w:pPr>
        <w:ind w:left="2641" w:right="567" w:hanging="2641" w:hangingChars="1100"/>
        <w:rPr>
          <w:rFonts w:hint="default"/>
          <w:b/>
          <w:bCs/>
          <w:sz w:val="28"/>
          <w:szCs w:val="28"/>
          <w:lang w:val="en-GB"/>
        </w:rPr>
      </w:pPr>
      <w:r>
        <w:rPr>
          <w:b/>
          <w:bCs/>
          <w:sz w:val="24"/>
          <w:szCs w:val="24"/>
          <w:lang w:val="en-US"/>
        </w:rPr>
        <w:t>3. Obiectul achiziţiilor</w:t>
      </w:r>
      <w:r>
        <w:rPr>
          <w:sz w:val="28"/>
          <w:szCs w:val="28"/>
          <w:lang w:val="en-US"/>
        </w:rPr>
        <w:t xml:space="preserve">  </w:t>
      </w:r>
      <w:r>
        <w:rPr>
          <w:rFonts w:hint="default"/>
          <w:b/>
          <w:bCs/>
          <w:sz w:val="28"/>
          <w:szCs w:val="28"/>
          <w:u w:val="single"/>
          <w:lang w:val="ro-RO"/>
        </w:rPr>
        <w:t>Lucrări interioare de reparație în incinta Primăriei din or.Leova</w:t>
      </w:r>
      <w:r>
        <w:rPr>
          <w:rFonts w:hint="default"/>
          <w:b/>
          <w:bCs/>
          <w:sz w:val="28"/>
          <w:szCs w:val="28"/>
          <w:u w:val="single"/>
          <w:lang w:val="en-GB"/>
        </w:rPr>
        <w:t>.</w:t>
      </w:r>
    </w:p>
    <w:p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tbl>
      <w:tblPr>
        <w:tblStyle w:val="3"/>
        <w:tblW w:w="9660" w:type="dxa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"/>
        <w:gridCol w:w="684"/>
        <w:gridCol w:w="26"/>
        <w:gridCol w:w="1249"/>
        <w:gridCol w:w="26"/>
        <w:gridCol w:w="4502"/>
        <w:gridCol w:w="31"/>
        <w:gridCol w:w="820"/>
        <w:gridCol w:w="30"/>
        <w:gridCol w:w="226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5" w:type="dxa"/>
          <w:cantSplit/>
          <w:trHeight w:val="314" w:hRule="atLeast"/>
        </w:trPr>
        <w:tc>
          <w:tcPr>
            <w:tcW w:w="710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vAlign w:val="center"/>
          </w:tcPr>
          <w:p>
            <w:pPr>
              <w:spacing w:line="252" w:lineRule="auto"/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>
            <w:pPr>
              <w:spacing w:line="252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vAlign w:val="center"/>
          </w:tcPr>
          <w:p>
            <w:pPr>
              <w:spacing w:line="252" w:lineRule="auto"/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4502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vAlign w:val="center"/>
          </w:tcPr>
          <w:p>
            <w:pPr>
              <w:spacing w:line="252" w:lineRule="auto"/>
              <w:jc w:val="center"/>
              <w:rPr>
                <w:sz w:val="22"/>
                <w:szCs w:val="22"/>
                <w:lang w:val="ro-RO"/>
              </w:rPr>
            </w:pPr>
          </w:p>
          <w:p>
            <w:pPr>
              <w:spacing w:line="25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1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vAlign w:val="center"/>
          </w:tcPr>
          <w:p>
            <w:pPr>
              <w:spacing w:line="252" w:lineRule="auto"/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>
            <w:pPr>
              <w:spacing w:line="252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2297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vAlign w:val="center"/>
          </w:tcPr>
          <w:p>
            <w:pPr>
              <w:spacing w:line="252" w:lineRule="auto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5" w:type="dxa"/>
          <w:cantSplit/>
          <w:trHeight w:val="270" w:hRule="atLeast"/>
        </w:trPr>
        <w:tc>
          <w:tcPr>
            <w:tcW w:w="710" w:type="dxa"/>
            <w:gridSpan w:val="2"/>
            <w:vMerge w:val="continue"/>
            <w:tcBorders>
              <w:top w:val="nil"/>
              <w:left w:val="nil"/>
              <w:bottom w:val="single" w:color="auto" w:sz="8" w:space="0"/>
              <w:right w:val="nil"/>
            </w:tcBorders>
            <w:vAlign w:val="center"/>
          </w:tcPr>
          <w:p>
            <w:pPr>
              <w:autoSpaceDE/>
              <w:autoSpaceDN/>
              <w:spacing w:line="25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gridSpan w:val="2"/>
            <w:vMerge w:val="continue"/>
            <w:tcBorders>
              <w:top w:val="nil"/>
              <w:left w:val="nil"/>
              <w:bottom w:val="single" w:color="auto" w:sz="8" w:space="0"/>
              <w:right w:val="nil"/>
            </w:tcBorders>
            <w:vAlign w:val="center"/>
          </w:tcPr>
          <w:p>
            <w:pPr>
              <w:autoSpaceDE/>
              <w:autoSpaceDN/>
              <w:spacing w:line="25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502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>
            <w:pPr>
              <w:autoSpaceDE/>
              <w:autoSpaceDN/>
              <w:spacing w:line="25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gridSpan w:val="2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>
            <w:pPr>
              <w:autoSpaceDE/>
              <w:autoSpaceDN/>
              <w:spacing w:line="25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97" w:type="dxa"/>
            <w:gridSpan w:val="2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>
            <w:pPr>
              <w:autoSpaceDE/>
              <w:autoSpaceDN/>
              <w:spacing w:line="256" w:lineRule="auto"/>
              <w:rPr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709" w:type="dxa"/>
            <w:gridSpan w:val="2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>
            <w:pPr>
              <w:spacing w:line="254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>
            <w:pPr>
              <w:spacing w:line="254" w:lineRule="auto"/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59" w:type="dxa"/>
            <w:gridSpan w:val="3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>
            <w:pPr>
              <w:spacing w:line="254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>
            <w:pPr>
              <w:spacing w:line="254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67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>
            <w:pPr>
              <w:spacing w:line="254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709" w:type="dxa"/>
            <w:gridSpan w:val="2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>
            <w:pPr>
              <w:spacing w:line="254" w:lineRule="auto"/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>
            <w:pPr>
              <w:spacing w:line="254" w:lineRule="auto"/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7676" w:type="dxa"/>
            <w:gridSpan w:val="6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>
            <w:pPr>
              <w:spacing w:line="254" w:lineRule="auto"/>
              <w:ind w:left="-108" w:right="-108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4"/>
                <w:szCs w:val="24"/>
                <w:lang w:val="ro-RO"/>
              </w:rPr>
              <w:t xml:space="preserve"> 1.Lucrări interioare de reparație et.2 (bir.nr.</w:t>
            </w:r>
            <w:bookmarkStart w:id="0" w:name="_GoBack"/>
            <w:bookmarkEnd w:id="0"/>
            <w:r>
              <w:rPr>
                <w:rFonts w:hint="default"/>
                <w:b/>
                <w:bCs/>
                <w:sz w:val="24"/>
                <w:szCs w:val="24"/>
                <w:lang w:val="ro-RO"/>
              </w:rPr>
              <w:t>7 și nr.9)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</w:pPr>
            <w:r>
              <w:t xml:space="preserve"> 1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RpCR41B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Curățarea manuală a suprafețelor fațadelor de vopsea,de pe autoturnuri</w:t>
            </w:r>
            <w:r>
              <w:rPr>
                <w:rFonts w:hint="default"/>
                <w:sz w:val="24"/>
                <w:szCs w:val="24"/>
                <w:lang w:val="en-GB"/>
              </w:rPr>
              <w:t>:</w:t>
            </w:r>
            <w:r>
              <w:rPr>
                <w:rFonts w:hint="default"/>
                <w:sz w:val="24"/>
                <w:szCs w:val="24"/>
                <w:lang w:val="ro-RO"/>
              </w:rPr>
              <w:t>fațade simple,de vopsea de ulei sau perclorvinilică.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</w:pPr>
            <w:r>
              <w:t>m2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125,00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</w:pPr>
            <w:r>
              <w:rPr>
                <w:lang w:val="en-US"/>
              </w:rPr>
              <w:t xml:space="preserve"> </w:t>
            </w:r>
            <w:r>
              <w:t>2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CK50B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Tavane suspendate executate pe șantier din gips-carton,grosime 9,5 mm pe structura din profile zincată</w:t>
            </w:r>
            <w:r>
              <w:rPr>
                <w:rFonts w:hint="default"/>
                <w:sz w:val="24"/>
                <w:szCs w:val="24"/>
                <w:lang w:val="en-GB"/>
              </w:rPr>
              <w:t>:</w:t>
            </w:r>
            <w:r>
              <w:rPr>
                <w:rFonts w:hint="default"/>
                <w:sz w:val="24"/>
                <w:szCs w:val="24"/>
                <w:lang w:val="ro-RO"/>
              </w:rPr>
              <w:t>suprafeța tavanelor plane,cu goluri pentru corpuri de iluminat.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m2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40,000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</w:pPr>
            <w:r>
              <w:rPr>
                <w:lang w:val="en-US"/>
              </w:rPr>
              <w:t xml:space="preserve"> </w:t>
            </w:r>
            <w:r>
              <w:t>3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RpED01A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Montarea cablurilor pentru energie electrică, instalate liber în șanțuri sau pe fundul canalelor,avînd secțiunea conductorilor pînă la 16 mmp.</w:t>
            </w:r>
          </w:p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</w:pPr>
            <w:r>
              <w:t>m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20,000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</w:pPr>
            <w:r>
              <w:rPr>
                <w:lang w:val="en-US"/>
              </w:rPr>
              <w:t xml:space="preserve"> </w:t>
            </w:r>
            <w:r>
              <w:t>4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RpEE01A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Montarea întrerupătoarelor unipolare sau bipolare de 10-25 A,de construcție normală,impermeabile sau etanșe în carcasa de aminoplast,bachelită,metalică sau porțelan montate îngropat sau aparent pe dibluri din lemn sau plastic,racordate la conductori de cupru sau aluminiu.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buc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2,000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</w:pPr>
            <w:r>
              <w:rPr>
                <w:lang w:val="en-US"/>
              </w:rPr>
              <w:t xml:space="preserve"> </w:t>
            </w:r>
            <w:r>
              <w:t>5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RpEE03A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Montarea prizelor bipolare construcție normală din bachelită sau aminoplast,simplă, dublă,construcție impermeabilă,etanșe, îngropat sub tencuială sau aparent pe dibluri din lemn sau plastic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buc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6,000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RpEF 2B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Montarea corpuri de iluminat multiple,pentru lămpi fluorescente,inclusiv dispozitivul de susținere,tip CIA,CIB,CID, CIC,CPA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buc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4,000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7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CN53A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Grunduirea suprafețelor interioare a pereților și tavanelor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m2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125,000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8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CF50B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Tencuieli interioare de 5 mm grosime, executate manual,cu amestec uscat pe baza de ipsos,la pereți și pereți despărțitori, preparare manuală a mortarului.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m2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125,000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9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CF17C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Diverse lucrări-strat de impaslitura din fibră de sticlă aplicat pe suprafața elementelor prefabricate din b.c.a.lipit cu aracet,inclusiv stratul de amorsaj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m2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125,000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10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CF57A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Aplicarea manuală a chitului pe baza de ipsos Eurofin drosime 1,0 mm pe suprafețele pereților,coloanelor și tavanelor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</w:pPr>
            <w:r>
              <w:rPr>
                <w:rFonts w:hint="default"/>
                <w:lang w:val="ro-RO"/>
              </w:rPr>
              <w:t>m2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125,000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11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CK18B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Montarea baghetelor la lambriuri din mase plastice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</w:pPr>
            <w:r>
              <w:rPr>
                <w:rFonts w:hint="default"/>
                <w:lang w:val="ro-RO"/>
              </w:rPr>
              <w:t>m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36,000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12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CN53A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Grunduirea suprafețelor interioare a pereților și tavanelor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</w:pPr>
            <w:r>
              <w:rPr>
                <w:rFonts w:hint="default"/>
                <w:lang w:val="ro-RO"/>
              </w:rPr>
              <w:t>m2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165,000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13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CN06A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Vopsirea interioară cu vopsea pe baza de copolimeri vinilici în emulsie apoasă, aplicate în 2 straturi pe glet existent, executate manual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</w:pPr>
            <w:r>
              <w:rPr>
                <w:rFonts w:hint="default"/>
                <w:lang w:val="ro-RO"/>
              </w:rPr>
              <w:t>m2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165,000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14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CG36A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 xml:space="preserve">Pardoseli din plăci laminat montate pe uscat cu pozarea stratului sintetic pe suport existent,inclusiv plintele de lemn și curățarea în încăperi mai mari de 16 m2 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</w:pPr>
            <w:r>
              <w:rPr>
                <w:rFonts w:hint="default"/>
                <w:lang w:val="ro-RO"/>
              </w:rPr>
              <w:t>m2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40,000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15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CG09A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 xml:space="preserve">Plinte din PVC,montate orizontal la pereții gata tencuiți,prin lipire cu adeziv Prenadez, în încăperi cu suprafețe mai mari de 16 </w:t>
            </w:r>
            <w:r>
              <w:rPr>
                <w:rFonts w:hint="default"/>
                <w:lang w:val="ro-RO"/>
              </w:rPr>
              <w:t>m2</w:t>
            </w:r>
            <w:r>
              <w:rPr>
                <w:rFonts w:hint="default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m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36,000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lang w:val="en-US"/>
              </w:rPr>
            </w:pP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7676" w:type="dxa"/>
            <w:gridSpan w:val="6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numPr>
                <w:ilvl w:val="0"/>
                <w:numId w:val="1"/>
              </w:num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b/>
                <w:bCs/>
                <w:sz w:val="24"/>
                <w:szCs w:val="24"/>
                <w:lang w:val="ro-RO"/>
              </w:rPr>
              <w:t>Lucrări de reparație interioară et.2- sala de ședință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16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CN53A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Grunduirea suprafețelor interioare a pereților și tavanelor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</w:pPr>
            <w:r>
              <w:rPr>
                <w:rFonts w:hint="default"/>
                <w:lang w:val="ro-RO"/>
              </w:rPr>
              <w:t>m2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303,5000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17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CN06A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Vopsirea interioară cu vopsea pe baza de copolimeri vinilici în emulsie apoasă, aplicate în 2 straturi pe glet existent, executate manual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</w:pPr>
            <w:r>
              <w:rPr>
                <w:rFonts w:hint="default"/>
                <w:lang w:val="ro-RO"/>
              </w:rPr>
              <w:t>m2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303,5000</w:t>
            </w:r>
          </w:p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lang w:val="en-US"/>
              </w:rPr>
            </w:pP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7676" w:type="dxa"/>
            <w:gridSpan w:val="6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b/>
                <w:bCs/>
                <w:sz w:val="24"/>
                <w:szCs w:val="24"/>
                <w:lang w:val="ro-RO"/>
              </w:rPr>
              <w:t>3.Lucrări de reparație interioară et.1 (bir.nr.2,nr.3,nr.4)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18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RpCR41B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Curățarea manuală a suprafețelor fațadelor de vopsea ,de pe autoturnuri</w:t>
            </w:r>
            <w:r>
              <w:rPr>
                <w:rFonts w:hint="default"/>
                <w:sz w:val="24"/>
                <w:szCs w:val="24"/>
                <w:lang w:val="en-GB"/>
              </w:rPr>
              <w:t>:</w:t>
            </w:r>
            <w:r>
              <w:rPr>
                <w:rFonts w:hint="default"/>
                <w:sz w:val="24"/>
                <w:szCs w:val="24"/>
                <w:lang w:val="ro-RO"/>
              </w:rPr>
              <w:t>fațade simple,de vopsea de ulei sau perclorvinilică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</w:pPr>
            <w:r>
              <w:rPr>
                <w:rFonts w:hint="default"/>
                <w:lang w:val="ro-RO"/>
              </w:rPr>
              <w:t>m2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196,5000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19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CK50B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 xml:space="preserve">Tavane suspendate executate pe șantier din gips-carton,grosime 9,5 mm pe structura din profil zincat </w:t>
            </w:r>
            <w:r>
              <w:rPr>
                <w:rFonts w:hint="default"/>
                <w:sz w:val="24"/>
                <w:szCs w:val="24"/>
                <w:lang w:val="en-GB"/>
              </w:rPr>
              <w:t>:</w:t>
            </w:r>
            <w:r>
              <w:rPr>
                <w:rFonts w:hint="default"/>
                <w:sz w:val="24"/>
                <w:szCs w:val="24"/>
                <w:lang w:val="ro-RO"/>
              </w:rPr>
              <w:t>suprafața tavanelor plane,cu goluri pentru corpuri de iluminat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</w:pPr>
            <w:r>
              <w:rPr>
                <w:rFonts w:hint="default"/>
                <w:lang w:val="ro-RO"/>
              </w:rPr>
              <w:t>m2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107,000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20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RpED01A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 xml:space="preserve">Montarea cablurilor pentru energia electrică,instalate liber în șanțuri sau pe fundul canalelor,avînd secțiunea conductorilor pînă la 16 </w:t>
            </w:r>
            <w:r>
              <w:rPr>
                <w:rFonts w:hint="default"/>
                <w:lang w:val="ro-RO"/>
              </w:rPr>
              <w:t>m2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</w:pPr>
            <w:r>
              <w:rPr>
                <w:rFonts w:hint="default"/>
                <w:lang w:val="ro-RO"/>
              </w:rPr>
              <w:t>m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80,000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21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RpEE01A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Montarea întrerupătoarelor unipolare sau bipolare de 10-25 A,de construcție normală,impermeabile sau etanșe în carcasă de aminoplast,bachelită,metalică sau porțelan,montate îmgropat sau aparent pe dibluri din lemn sau plastic,racordate la conductori din cupru sau aluminiu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buc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6,000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22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RpEE03A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Montarea prizelor bipolare construcție normală din bachelită sau aminoplast,simplă, dublă,construcție impermeabilă,etanșe,etanșă metalică sau similară,montate îngropat sub tencuială sau aparent pe dibluri din lemn sau plastic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buc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10,000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23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RpEF02B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Montarea corpuri de iluminat multiple,pentru lămpi fluorescente,inclusiv dispozitivul de susținere,tip CIA,CIB,CID,CIC,CPA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buc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8,000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24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CN53A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Grunduirea suprafețelor interioare a pereților și tavanelor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</w:pPr>
            <w:r>
              <w:rPr>
                <w:rFonts w:hint="default"/>
                <w:lang w:val="ro-RO"/>
              </w:rPr>
              <w:t>m2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196,500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25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CF50B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Tencuieli interioare de 5 mm grosime, executate manual,cu amestec uscat pe baza  de ipsos,la pereți și pereți despărțitori,preparare manuală a mortarului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</w:pPr>
            <w:r>
              <w:rPr>
                <w:rFonts w:hint="default"/>
                <w:lang w:val="ro-RO"/>
              </w:rPr>
              <w:t>m2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196,500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26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CF17C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Diverse lucrări-strat de impașlitură din fibră de sticlă aplicat pe suprafața elementelor prefabricate din b.c.a. lipit cu aracet,inclusiv stratul de amorsaj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</w:pPr>
            <w:r>
              <w:rPr>
                <w:rFonts w:hint="default"/>
                <w:lang w:val="ro-RO"/>
              </w:rPr>
              <w:t>m2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196,500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27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CF57A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Aplicarea manuală a chitului pe baza de ipsos Eurofin grosime 1,0 mm pe suprafețele pereților,coloanelor și tavanelor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</w:pPr>
            <w:r>
              <w:rPr>
                <w:rFonts w:hint="default"/>
                <w:lang w:val="ro-RO"/>
              </w:rPr>
              <w:t>m2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196,500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28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CK18B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Montarea baghetelor la lambriuri din mase plastice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</w:pPr>
            <w:r>
              <w:rPr>
                <w:rFonts w:hint="default"/>
                <w:lang w:val="ro-RO"/>
              </w:rPr>
              <w:t>m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64,000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29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CN3A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Grunduirea suprafețelor interioare a pereților și tavanelor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</w:pPr>
            <w:r>
              <w:rPr>
                <w:rFonts w:hint="default"/>
                <w:lang w:val="ro-RO"/>
              </w:rPr>
              <w:t>m2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303,500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30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CN06A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>Vopsirea interioară cu vopsea pe baza de copolimeri vinilici în emulsie apoasă,aplicate în 2 straturi pe glet existent,executate manual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</w:pPr>
            <w:r>
              <w:rPr>
                <w:rFonts w:hint="default"/>
                <w:lang w:val="ro-RO"/>
              </w:rPr>
              <w:t>m2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303,500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31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CG36A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 xml:space="preserve">Pardoseli din plăci laminat montate pe uscat cu pozarea stratului sintetic pe suport existent,inclusiv plintele de lemn și curățarea,în încăperi mai mare de 16 </w:t>
            </w:r>
            <w:r>
              <w:rPr>
                <w:rFonts w:hint="default"/>
                <w:lang w:val="ro-RO"/>
              </w:rPr>
              <w:t>m2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</w:pPr>
            <w:r>
              <w:rPr>
                <w:rFonts w:hint="default"/>
                <w:lang w:val="ro-RO"/>
              </w:rPr>
              <w:t>m2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107,000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32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CG09A</w:t>
            </w:r>
          </w:p>
        </w:tc>
        <w:tc>
          <w:tcPr>
            <w:tcW w:w="4559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rPr>
                <w:rFonts w:hint="default"/>
                <w:sz w:val="24"/>
                <w:szCs w:val="24"/>
                <w:lang w:val="ro-RO"/>
              </w:rPr>
            </w:pPr>
            <w:r>
              <w:rPr>
                <w:rFonts w:hint="default"/>
                <w:sz w:val="24"/>
                <w:szCs w:val="24"/>
                <w:lang w:val="ro-RO"/>
              </w:rPr>
              <w:t xml:space="preserve">Plinte din PVC,montate orizontal la pereții gata tencuiți,prin lipire cu adezivPrenadez,în încăperi cu suprafețe mai mari de 16 </w:t>
            </w:r>
            <w:r>
              <w:rPr>
                <w:rFonts w:hint="default"/>
                <w:lang w:val="ro-RO"/>
              </w:rPr>
              <w:t>m2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</w:pPr>
            <w:r>
              <w:rPr>
                <w:rFonts w:hint="default"/>
                <w:lang w:val="ro-RO"/>
              </w:rPr>
              <w:t>m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>
            <w:pPr>
              <w:spacing w:line="254" w:lineRule="auto"/>
              <w:jc w:val="center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64,000</w:t>
            </w:r>
          </w:p>
        </w:tc>
      </w:tr>
    </w:tbl>
    <w:p>
      <w:pPr>
        <w:rPr>
          <w:b/>
          <w:bCs/>
          <w:sz w:val="24"/>
          <w:szCs w:val="24"/>
          <w:lang w:val="ro-RO" w:eastAsia="ru-RU"/>
        </w:rPr>
      </w:pPr>
    </w:p>
    <w:p>
      <w:pPr>
        <w:rPr>
          <w:b/>
          <w:bCs/>
          <w:sz w:val="24"/>
          <w:szCs w:val="24"/>
          <w:lang w:val="ro-RO" w:eastAsia="ru-RU"/>
        </w:rPr>
      </w:pPr>
    </w:p>
    <w:p>
      <w:pPr>
        <w:rPr>
          <w:b/>
          <w:bCs/>
          <w:sz w:val="24"/>
          <w:szCs w:val="24"/>
          <w:lang w:val="ro-RO" w:eastAsia="ru-RU"/>
        </w:rPr>
      </w:pPr>
    </w:p>
    <w:p>
      <w:pPr>
        <w:rPr>
          <w:b/>
          <w:bCs/>
          <w:sz w:val="24"/>
          <w:szCs w:val="24"/>
          <w:lang w:val="ro-RO" w:eastAsia="ru-RU"/>
        </w:rPr>
      </w:pPr>
    </w:p>
    <w:p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______________________</w:t>
      </w:r>
      <w:r>
        <w:rPr>
          <w:rFonts w:hint="default"/>
          <w:sz w:val="24"/>
          <w:szCs w:val="24"/>
          <w:lang w:val="ro-RO" w:eastAsia="ru-RU"/>
        </w:rPr>
        <w:t>Alexandru BUJOREAN</w:t>
      </w:r>
      <w:r>
        <w:rPr>
          <w:sz w:val="24"/>
          <w:szCs w:val="24"/>
          <w:lang w:val="ro-RO" w:eastAsia="ru-RU"/>
        </w:rPr>
        <w:t>.</w:t>
      </w:r>
    </w:p>
    <w:p/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470440"/>
    <w:multiLevelType w:val="singleLevel"/>
    <w:tmpl w:val="5E470440"/>
    <w:lvl w:ilvl="0" w:tentative="0">
      <w:start w:val="2"/>
      <w:numFmt w:val="decimal"/>
      <w:suff w:val="space"/>
      <w:lvlText w:val="%1."/>
      <w:lvlJc w:val="left"/>
      <w:rPr>
        <w:rFonts w:hint="default" w:ascii="Times New Roman" w:hAnsi="Times New Roman" w:cs="Times New Roman"/>
        <w:b/>
        <w:bCs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013"/>
    <w:rsid w:val="00692013"/>
    <w:rsid w:val="00BD6AF6"/>
    <w:rsid w:val="048F3C9D"/>
    <w:rsid w:val="0CC100FC"/>
    <w:rsid w:val="18C748F3"/>
    <w:rsid w:val="266E37B1"/>
    <w:rsid w:val="287E27CF"/>
    <w:rsid w:val="2BD55869"/>
    <w:rsid w:val="344E12BB"/>
    <w:rsid w:val="35EE785A"/>
    <w:rsid w:val="3799120C"/>
    <w:rsid w:val="54FC257C"/>
    <w:rsid w:val="6A617A48"/>
    <w:rsid w:val="728A221A"/>
    <w:rsid w:val="76DC7890"/>
    <w:rsid w:val="7851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5"/>
    <w:semiHidden/>
    <w:unhideWhenUsed/>
    <w:qFormat/>
    <w:uiPriority w:val="99"/>
    <w:rPr>
      <w:rFonts w:ascii="Segoe UI" w:hAnsi="Segoe UI" w:cs="Segoe UI"/>
      <w:sz w:val="18"/>
      <w:szCs w:val="18"/>
    </w:rPr>
  </w:style>
  <w:style w:type="character" w:customStyle="1" w:styleId="5">
    <w:name w:val="Текст выноски Знак"/>
    <w:basedOn w:val="2"/>
    <w:link w:val="4"/>
    <w:semiHidden/>
    <w:qFormat/>
    <w:uiPriority w:val="99"/>
    <w:rPr>
      <w:rFonts w:ascii="Segoe UI" w:hAnsi="Segoe UI" w:eastAsia="Times New Roman" w:cs="Segoe UI"/>
      <w:sz w:val="18"/>
      <w:szCs w:val="18"/>
      <w:lang w:val="ru-RU"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460</Words>
  <Characters>2673</Characters>
  <Lines>22</Lines>
  <Paragraphs>6</Paragraphs>
  <TotalTime>124</TotalTime>
  <ScaleCrop>false</ScaleCrop>
  <LinksUpToDate>false</LinksUpToDate>
  <CharactersWithSpaces>3127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2023-08-04T08:33:00Z</dcterms:created>
  <dc:creator>My PC</dc:creator>
  <cp:lastModifiedBy>Diana Coropceanu</cp:lastModifiedBy>
  <cp:lastPrinted>2023-08-04T08:33:00Z</cp:lastPrinted>
  <dcterms:modified xsi:type="dcterms:W3CDTF">2024-02-19T12:23:31Z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67C876E16B154151B64134642C1553C2_13</vt:lpwstr>
  </property>
</Properties>
</file>