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F20DA1">
      <w:pPr>
        <w:pStyle w:val="3"/>
        <w:bidi w:val="0"/>
        <w:jc w:val="right"/>
        <w:rPr>
          <w:rFonts w:hint="default" w:ascii="Times New Roman" w:hAnsi="Times New Roman" w:cs="Times New Roman"/>
          <w:sz w:val="24"/>
          <w:szCs w:val="24"/>
          <w:lang w:val="it-IT"/>
        </w:rPr>
      </w:pPr>
      <w:bookmarkStart w:id="0" w:name="_Hlk70343526"/>
      <w:r>
        <w:rPr>
          <w:rFonts w:hint="default" w:ascii="Times New Roman" w:hAnsi="Times New Roman" w:cs="Times New Roman"/>
          <w:sz w:val="24"/>
          <w:szCs w:val="24"/>
          <w:lang w:val="it-IT"/>
        </w:rPr>
        <w:t>Anexa nr. 21</w:t>
      </w:r>
    </w:p>
    <w:p w14:paraId="24019C40">
      <w:pPr>
        <w:jc w:val="right"/>
        <w:rPr>
          <w:rFonts w:hint="default" w:ascii="Times New Roman" w:hAnsi="Times New Roman" w:cs="Times New Roman"/>
          <w:sz w:val="24"/>
          <w:szCs w:val="24"/>
          <w:lang w:val="it-IT"/>
        </w:rPr>
      </w:pPr>
      <w:r>
        <w:rPr>
          <w:rFonts w:hint="default" w:ascii="Times New Roman" w:hAnsi="Times New Roman" w:cs="Times New Roman"/>
          <w:sz w:val="24"/>
          <w:szCs w:val="24"/>
          <w:lang w:val="it-IT"/>
        </w:rPr>
        <w:t>la Documentația standard nr._____</w:t>
      </w:r>
    </w:p>
    <w:p w14:paraId="6CD41704">
      <w:pPr>
        <w:jc w:val="right"/>
        <w:rPr>
          <w:rFonts w:hint="default" w:ascii="Times New Roman" w:hAnsi="Times New Roman" w:cs="Times New Roman"/>
          <w:sz w:val="24"/>
          <w:szCs w:val="24"/>
          <w:lang w:val="it-IT"/>
        </w:rPr>
      </w:pPr>
      <w:r>
        <w:rPr>
          <w:rFonts w:hint="default" w:ascii="Times New Roman" w:hAnsi="Times New Roman" w:cs="Times New Roman"/>
          <w:sz w:val="24"/>
          <w:szCs w:val="24"/>
          <w:lang w:val="it-IT"/>
        </w:rPr>
        <w:t>din “____” ________ 20___</w:t>
      </w:r>
    </w:p>
    <w:bookmarkEnd w:id="0"/>
    <w:p w14:paraId="12579C1C">
      <w:pPr>
        <w:keepNext/>
        <w:keepLines/>
        <w:jc w:val="left"/>
        <w:outlineLvl w:val="1"/>
        <w:rPr>
          <w:rFonts w:hint="default" w:ascii="Times New Roman" w:hAnsi="Times New Roman" w:cs="Times New Roman" w:eastAsiaTheme="majorEastAsia"/>
          <w:b/>
          <w:bCs/>
          <w:sz w:val="24"/>
          <w:szCs w:val="24"/>
        </w:rPr>
      </w:pPr>
    </w:p>
    <w:p w14:paraId="7D9DB32A">
      <w:pPr>
        <w:keepNext/>
        <w:keepLines/>
        <w:jc w:val="left"/>
        <w:outlineLvl w:val="1"/>
        <w:rPr>
          <w:rFonts w:hint="default" w:ascii="Times New Roman" w:hAnsi="Times New Roman" w:cs="Times New Roman" w:eastAsiaTheme="majorEastAsia"/>
          <w:b/>
          <w:sz w:val="24"/>
          <w:szCs w:val="24"/>
        </w:rPr>
      </w:pPr>
      <w:bookmarkStart w:id="1" w:name="_Toc449692118"/>
    </w:p>
    <w:p w14:paraId="6AA6E5B3">
      <w:pPr>
        <w:keepNext/>
        <w:keepLines/>
        <w:jc w:val="center"/>
        <w:outlineLvl w:val="1"/>
        <w:rPr>
          <w:rFonts w:hint="default" w:ascii="Times New Roman" w:hAnsi="Times New Roman" w:cs="Times New Roman" w:eastAsiaTheme="majorEastAsia"/>
          <w:b/>
          <w:sz w:val="24"/>
          <w:szCs w:val="24"/>
        </w:rPr>
      </w:pPr>
      <w:bookmarkStart w:id="2" w:name="_Hlk77771358"/>
      <w:r>
        <w:rPr>
          <w:rFonts w:hint="default" w:ascii="Times New Roman" w:hAnsi="Times New Roman" w:cs="Times New Roman" w:eastAsiaTheme="majorEastAsia"/>
          <w:b/>
          <w:sz w:val="24"/>
          <w:szCs w:val="24"/>
        </w:rPr>
        <w:t>CAIET DE SARCINI</w:t>
      </w:r>
      <w:bookmarkEnd w:id="1"/>
    </w:p>
    <w:bookmarkEnd w:id="2"/>
    <w:p w14:paraId="1FC6F3E6">
      <w:pPr>
        <w:keepNext/>
        <w:keepLines/>
        <w:jc w:val="center"/>
        <w:outlineLvl w:val="1"/>
        <w:rPr>
          <w:rFonts w:hint="default" w:ascii="Times New Roman" w:hAnsi="Times New Roman" w:cs="Times New Roman" w:eastAsiaTheme="majorEastAsia"/>
          <w:b/>
          <w:sz w:val="24"/>
          <w:szCs w:val="24"/>
        </w:rPr>
      </w:pPr>
      <w:r>
        <w:rPr>
          <w:rFonts w:hint="default" w:ascii="Times New Roman" w:hAnsi="Times New Roman" w:cs="Times New Roman" w:eastAsiaTheme="majorEastAsia"/>
          <w:b/>
          <w:sz w:val="24"/>
          <w:szCs w:val="24"/>
        </w:rPr>
        <w:t>Bunuri</w:t>
      </w:r>
    </w:p>
    <w:p w14:paraId="2E87794D">
      <w:pPr>
        <w:keepNext/>
        <w:keepLines/>
        <w:jc w:val="left"/>
        <w:outlineLvl w:val="1"/>
        <w:rPr>
          <w:rFonts w:hint="default" w:ascii="Times New Roman" w:hAnsi="Times New Roman" w:cs="Times New Roman" w:eastAsiaTheme="majorEastAsia"/>
          <w:b/>
          <w:sz w:val="24"/>
          <w:szCs w:val="24"/>
        </w:rPr>
      </w:pPr>
    </w:p>
    <w:p w14:paraId="1E454209">
      <w:pPr>
        <w:jc w:val="left"/>
        <w:rPr>
          <w:rFonts w:hint="default" w:ascii="Times New Roman" w:hAnsi="Times New Roman" w:cs="Times New Roman"/>
          <w:b/>
          <w:bCs w:val="0"/>
          <w:sz w:val="24"/>
          <w:szCs w:val="24"/>
          <w:u w:val="single"/>
          <w:lang w:val="ro-RO"/>
        </w:rPr>
      </w:pPr>
      <w:r>
        <w:rPr>
          <w:rFonts w:hint="default" w:ascii="Times New Roman" w:hAnsi="Times New Roman" w:cs="Times New Roman"/>
          <w:bCs/>
          <w:sz w:val="24"/>
          <w:szCs w:val="24"/>
        </w:rPr>
        <w:t>Obiectul</w:t>
      </w:r>
      <w:r>
        <w:rPr>
          <w:rFonts w:hint="default" w:ascii="Times New Roman" w:hAnsi="Times New Roman" w:cs="Times New Roman"/>
          <w:bCs/>
          <w:sz w:val="24"/>
          <w:szCs w:val="24"/>
          <w:lang w:val="ro-RO"/>
        </w:rPr>
        <w:t xml:space="preserve"> </w:t>
      </w:r>
      <w:r>
        <w:rPr>
          <w:rFonts w:hint="default" w:ascii="Times New Roman" w:hAnsi="Times New Roman" w:cs="Times New Roman"/>
          <w:b/>
          <w:bCs w:val="0"/>
          <w:sz w:val="24"/>
          <w:szCs w:val="24"/>
          <w:lang w:val="ro-RO"/>
        </w:rPr>
        <w:t xml:space="preserve">Achiziționarea </w:t>
      </w:r>
      <w:r>
        <w:rPr>
          <w:rFonts w:hint="default" w:ascii="Times New Roman" w:hAnsi="Times New Roman" w:cs="Times New Roman"/>
          <w:b/>
          <w:bCs w:val="0"/>
          <w:sz w:val="24"/>
          <w:szCs w:val="24"/>
          <w:u w:val="single"/>
          <w:lang w:val="ro-RO"/>
        </w:rPr>
        <w:t>costumelor populare pentru copii și maturi</w:t>
      </w:r>
    </w:p>
    <w:p w14:paraId="62031C8C">
      <w:pPr>
        <w:jc w:val="left"/>
        <w:rPr>
          <w:rFonts w:hint="default" w:ascii="Times New Roman" w:hAnsi="Times New Roman" w:cs="Times New Roman"/>
          <w:bCs/>
          <w:sz w:val="24"/>
          <w:szCs w:val="24"/>
        </w:rPr>
      </w:pPr>
      <w:r>
        <w:rPr>
          <w:rFonts w:hint="default" w:ascii="Times New Roman" w:hAnsi="Times New Roman" w:cs="Times New Roman"/>
          <w:bCs/>
          <w:sz w:val="24"/>
          <w:szCs w:val="24"/>
        </w:rPr>
        <w:t xml:space="preserve">                                                         (denumirea, adresa)</w:t>
      </w:r>
    </w:p>
    <w:p w14:paraId="0A4466C6">
      <w:pPr>
        <w:ind w:left="5040" w:hanging="5040" w:hangingChars="2100"/>
        <w:jc w:val="left"/>
        <w:rPr>
          <w:rFonts w:hint="default" w:ascii="Times New Roman" w:hAnsi="Times New Roman" w:cs="Times New Roman"/>
          <w:bCs/>
          <w:sz w:val="24"/>
          <w:szCs w:val="24"/>
        </w:rPr>
      </w:pPr>
      <w:r>
        <w:rPr>
          <w:rFonts w:hint="default" w:ascii="Times New Roman" w:hAnsi="Times New Roman" w:cs="Times New Roman"/>
          <w:bCs/>
          <w:sz w:val="24"/>
          <w:szCs w:val="24"/>
        </w:rPr>
        <w:t>Autoritatea</w:t>
      </w:r>
      <w:r>
        <w:rPr>
          <w:rFonts w:hint="default" w:ascii="Times New Roman" w:hAnsi="Times New Roman" w:cs="Times New Roman"/>
          <w:bCs/>
          <w:sz w:val="24"/>
          <w:szCs w:val="24"/>
          <w:lang w:val="ro-RO"/>
        </w:rPr>
        <w:t xml:space="preserve"> </w:t>
      </w:r>
      <w:r>
        <w:rPr>
          <w:rFonts w:hint="default" w:ascii="Times New Roman" w:hAnsi="Times New Roman" w:cs="Times New Roman"/>
          <w:bCs/>
          <w:sz w:val="24"/>
          <w:szCs w:val="24"/>
        </w:rPr>
        <w:t>contractantă</w:t>
      </w:r>
      <w:r>
        <w:rPr>
          <w:rFonts w:hint="default" w:ascii="Times New Roman" w:hAnsi="Times New Roman" w:cs="Times New Roman"/>
          <w:bCs/>
          <w:sz w:val="24"/>
          <w:szCs w:val="24"/>
          <w:lang w:val="ro-RO"/>
        </w:rPr>
        <w:t xml:space="preserve"> </w:t>
      </w:r>
      <w:r>
        <w:rPr>
          <w:rFonts w:hint="default" w:ascii="Times New Roman" w:hAnsi="Times New Roman" w:cs="Times New Roman"/>
          <w:b/>
          <w:bCs w:val="0"/>
          <w:sz w:val="24"/>
          <w:szCs w:val="24"/>
          <w:u w:val="single"/>
          <w:lang w:val="ro-RO"/>
        </w:rPr>
        <w:t>Primăria satului Domulgeni</w:t>
      </w:r>
      <w:r>
        <w:rPr>
          <w:rFonts w:hint="default" w:ascii="Times New Roman" w:hAnsi="Times New Roman" w:cs="Times New Roman"/>
          <w:b/>
          <w:bCs w:val="0"/>
          <w:sz w:val="24"/>
          <w:szCs w:val="24"/>
          <w:u w:val="single"/>
        </w:rPr>
        <w:t xml:space="preserve">    </w:t>
      </w:r>
      <w:r>
        <w:rPr>
          <w:rFonts w:hint="default" w:ascii="Times New Roman" w:hAnsi="Times New Roman" w:cs="Times New Roman"/>
          <w:bCs/>
          <w:sz w:val="24"/>
          <w:szCs w:val="24"/>
        </w:rPr>
        <w:t xml:space="preserve">                                                                 </w:t>
      </w:r>
    </w:p>
    <w:p w14:paraId="23BB3A06">
      <w:pPr>
        <w:ind w:left="5992" w:leftChars="1436" w:hanging="3120" w:hangingChars="1300"/>
        <w:jc w:val="left"/>
        <w:rPr>
          <w:rFonts w:hint="default" w:ascii="Times New Roman" w:hAnsi="Times New Roman" w:cs="Times New Roman"/>
          <w:bCs/>
          <w:sz w:val="24"/>
          <w:szCs w:val="24"/>
        </w:rPr>
      </w:pPr>
      <w:r>
        <w:rPr>
          <w:rFonts w:hint="default" w:ascii="Times New Roman" w:hAnsi="Times New Roman" w:cs="Times New Roman"/>
          <w:bCs/>
          <w:sz w:val="24"/>
          <w:szCs w:val="24"/>
        </w:rPr>
        <w:t>(denumirea, adresa)</w:t>
      </w:r>
    </w:p>
    <w:p w14:paraId="60ADC055">
      <w:pPr>
        <w:keepNext/>
        <w:keepLines/>
        <w:jc w:val="left"/>
        <w:outlineLvl w:val="1"/>
        <w:rPr>
          <w:rFonts w:hint="default" w:ascii="Times New Roman" w:hAnsi="Times New Roman" w:cs="Times New Roman" w:eastAsiaTheme="majorEastAsia"/>
          <w:b/>
          <w:sz w:val="24"/>
          <w:szCs w:val="24"/>
        </w:rPr>
      </w:pPr>
    </w:p>
    <w:p w14:paraId="342D859B">
      <w:pPr>
        <w:ind w:left="709"/>
        <w:jc w:val="both"/>
        <w:rPr>
          <w:rFonts w:hint="default" w:ascii="Times New Roman" w:hAnsi="Times New Roman" w:cs="Times New Roman"/>
          <w:b/>
          <w:sz w:val="24"/>
          <w:szCs w:val="24"/>
        </w:rPr>
      </w:pPr>
      <w:r>
        <w:rPr>
          <w:rFonts w:hint="default" w:ascii="Times New Roman" w:hAnsi="Times New Roman" w:cs="Times New Roman"/>
          <w:b/>
          <w:sz w:val="24"/>
          <w:szCs w:val="24"/>
        </w:rPr>
        <w:t>1. Descriere generală. Informaţii</w:t>
      </w:r>
    </w:p>
    <w:p w14:paraId="027AA996">
      <w:pPr>
        <w:ind w:firstLine="709"/>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Obiectul achiziției îl constituie procurarea de costume populare destinate Ansamblului de dansuri populare „Opincuța” și Ansamblului vocal „Vocile Neamului” din satul Domulgeni.</w:t>
      </w:r>
    </w:p>
    <w:p w14:paraId="6D1C1E8C">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În cadrul achiziției urmează a fi procurate:</w:t>
      </w:r>
    </w:p>
    <w:p w14:paraId="7E1DA551">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 xml:space="preserve">40 </w:t>
      </w:r>
      <w:r>
        <w:rPr>
          <w:rFonts w:hint="default" w:ascii="Times New Roman" w:hAnsi="Times New Roman" w:cs="Times New Roman"/>
          <w:sz w:val="24"/>
          <w:szCs w:val="24"/>
        </w:rPr>
        <w:t>de costume populare pentru copii, destinate membrilor Ansamblului de dansuri populare „Opincuța”;</w:t>
      </w:r>
    </w:p>
    <w:p w14:paraId="7EBE3704">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b/>
          <w:bCs/>
          <w:sz w:val="24"/>
          <w:szCs w:val="24"/>
        </w:rPr>
        <w:t>1</w:t>
      </w:r>
      <w:r>
        <w:rPr>
          <w:rFonts w:hint="default" w:ascii="Times New Roman" w:hAnsi="Times New Roman" w:cs="Times New Roman"/>
          <w:b/>
          <w:bCs/>
          <w:sz w:val="24"/>
          <w:szCs w:val="24"/>
          <w:lang w:val="ro-RO"/>
        </w:rPr>
        <w:t>0</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costume populare pentru maturi, destinate membrilor Ansamblului vocal „Vocile Neamului”.</w:t>
      </w:r>
    </w:p>
    <w:p w14:paraId="7C9A64DF">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Costumele vor fi utilizate în cadrul spectacolelor, festivalurilor, concursurilor, manifestărilor culturale și altor activități artistice desfășurate în Republica Moldova și România.</w:t>
      </w:r>
    </w:p>
    <w:p w14:paraId="39C73506">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Costumele populare trebuie să fie realizate în stil tradițional românesc și să respecte specificul portului popular din zona de Nord a Basarabiei</w:t>
      </w:r>
      <w:r>
        <w:rPr>
          <w:rFonts w:hint="default" w:ascii="Times New Roman" w:hAnsi="Times New Roman" w:cs="Times New Roman"/>
          <w:b/>
          <w:bCs/>
          <w:sz w:val="24"/>
          <w:szCs w:val="24"/>
          <w:lang w:val="ro-RO"/>
        </w:rPr>
        <w:t xml:space="preserve">, </w:t>
      </w:r>
      <w:r>
        <w:rPr>
          <w:rFonts w:hint="default" w:ascii="Times New Roman" w:hAnsi="Times New Roman" w:cs="Times New Roman"/>
          <w:b/>
          <w:bCs/>
          <w:sz w:val="24"/>
          <w:szCs w:val="24"/>
        </w:rPr>
        <w:t xml:space="preserve"> în conformitate cu obiectivele și activitățile prevăzute în proiect.</w:t>
      </w:r>
    </w:p>
    <w:p w14:paraId="41D9BFD8">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b/>
          <w:bCs/>
          <w:sz w:val="24"/>
          <w:szCs w:val="24"/>
        </w:rPr>
      </w:pPr>
      <w:r>
        <w:rPr>
          <w:rFonts w:hint="default" w:ascii="Times New Roman" w:hAnsi="Times New Roman" w:eastAsia="SimSun" w:cs="Times New Roman"/>
          <w:sz w:val="24"/>
          <w:szCs w:val="24"/>
        </w:rPr>
        <w:t>Prin respectarea specificului portului popular din zona de Nord a Basarabiei se înțelege utilizarea unor elemente vestimentare, de croială, ornamentație și cromatică documentate pentru portul popular din această zonă, precum cămașa/ia albă cu broderii geometrice și florale, altița și registre ornamentale, catrința, brâul țesut cu motive geometrice, bondița/pieptarul ornamentat, precum și cămașa bărbătească, ițarii și brâul.</w:t>
      </w:r>
    </w:p>
    <w:p w14:paraId="1F63E390">
      <w:pPr>
        <w:pStyle w:val="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default" w:ascii="Times New Roman" w:hAnsi="Times New Roman" w:cs="Times New Roman"/>
          <w:b/>
          <w:bCs/>
          <w:sz w:val="24"/>
          <w:szCs w:val="24"/>
        </w:rPr>
      </w:pPr>
    </w:p>
    <w:p w14:paraId="7A353CF4">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jc w:val="left"/>
        <w:textAlignment w:val="auto"/>
        <w:rPr>
          <w:rFonts w:hint="default" w:ascii="Times New Roman" w:hAnsi="Times New Roman" w:cs="Times New Roman"/>
          <w:b/>
          <w:bCs/>
          <w:sz w:val="24"/>
          <w:szCs w:val="24"/>
          <w:u w:val="single"/>
        </w:rPr>
      </w:pPr>
      <w:r>
        <w:rPr>
          <w:rFonts w:hint="default" w:ascii="Times New Roman" w:hAnsi="Times New Roman" w:cs="Times New Roman"/>
          <w:b/>
          <w:bCs/>
          <w:sz w:val="24"/>
          <w:szCs w:val="24"/>
          <w:u w:val="single"/>
        </w:rPr>
        <w:t>Componența costumelor va include  următoarele piese:</w:t>
      </w:r>
    </w:p>
    <w:p w14:paraId="22BFF5CF">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jc w:val="left"/>
        <w:textAlignment w:val="auto"/>
        <w:rPr>
          <w:rFonts w:hint="default" w:ascii="Times New Roman" w:hAnsi="Times New Roman" w:cs="Times New Roman"/>
          <w:b/>
          <w:bCs/>
          <w:sz w:val="24"/>
          <w:szCs w:val="24"/>
          <w:u w:val="single"/>
        </w:rPr>
      </w:pPr>
    </w:p>
    <w:tbl>
      <w:tblPr>
        <w:tblStyle w:val="5"/>
        <w:tblpPr w:leftFromText="180" w:rightFromText="180" w:bottomFromText="160" w:vertAnchor="text" w:horzAnchor="margin" w:tblpY="1"/>
        <w:tblOverlap w:val="never"/>
        <w:tblW w:w="4939" w:type="pct"/>
        <w:tblInd w:w="0" w:type="dxa"/>
        <w:tblLayout w:type="fixed"/>
        <w:tblCellMar>
          <w:top w:w="0" w:type="dxa"/>
          <w:left w:w="56" w:type="dxa"/>
          <w:bottom w:w="0" w:type="dxa"/>
          <w:right w:w="56" w:type="dxa"/>
        </w:tblCellMar>
      </w:tblPr>
      <w:tblGrid>
        <w:gridCol w:w="612"/>
        <w:gridCol w:w="1475"/>
        <w:gridCol w:w="1935"/>
        <w:gridCol w:w="3435"/>
        <w:gridCol w:w="1545"/>
      </w:tblGrid>
      <w:tr w14:paraId="556951D4">
        <w:tblPrEx>
          <w:tblCellMar>
            <w:top w:w="0" w:type="dxa"/>
            <w:left w:w="56" w:type="dxa"/>
            <w:bottom w:w="0" w:type="dxa"/>
            <w:right w:w="56" w:type="dxa"/>
          </w:tblCellMar>
        </w:tblPrEx>
        <w:trPr>
          <w:cantSplit/>
          <w:trHeight w:val="383" w:hRule="atLeast"/>
        </w:trPr>
        <w:tc>
          <w:tcPr>
            <w:tcW w:w="612" w:type="dxa"/>
            <w:tcBorders>
              <w:top w:val="single" w:color="auto" w:sz="4" w:space="0"/>
              <w:left w:val="single" w:color="auto" w:sz="4" w:space="0"/>
              <w:bottom w:val="single" w:color="auto" w:sz="4" w:space="0"/>
              <w:right w:val="single" w:color="auto" w:sz="4" w:space="0"/>
            </w:tcBorders>
            <w:shd w:val="clear" w:color="auto" w:fill="auto"/>
            <w:vAlign w:val="center"/>
          </w:tcPr>
          <w:p w14:paraId="67CCD4C2">
            <w:pPr>
              <w:keepNext w:val="0"/>
              <w:keepLines w:val="0"/>
              <w:widowControl/>
              <w:suppressLineNumbers w:val="0"/>
              <w:jc w:val="left"/>
              <w:rPr>
                <w:rFonts w:hint="default" w:ascii="Times New Roman" w:hAnsi="Times New Roman" w:eastAsia="Times New Roman" w:cs="Times New Roman"/>
                <w:i/>
                <w:iCs/>
                <w:kern w:val="0"/>
                <w:sz w:val="24"/>
                <w:szCs w:val="24"/>
                <w:lang w:val="ro-RO" w:eastAsia="en-US" w:bidi="ar-SA"/>
                <w14:ligatures w14:val="none"/>
              </w:rPr>
            </w:pPr>
            <w:r>
              <w:rPr>
                <w:rFonts w:hint="default" w:ascii="Times New Roman" w:hAnsi="Times New Roman" w:eastAsia="SimSun" w:cs="Times New Roman"/>
                <w:b/>
                <w:bCs/>
                <w:kern w:val="0"/>
                <w:sz w:val="24"/>
                <w:szCs w:val="24"/>
                <w:lang w:val="en-US" w:eastAsia="zh-CN" w:bidi="ar"/>
              </w:rPr>
              <w:t>Nr. d/o</w:t>
            </w: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669C09C0">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b/>
                <w:bCs/>
                <w:kern w:val="0"/>
                <w:sz w:val="24"/>
                <w:szCs w:val="24"/>
                <w:lang w:val="en-US" w:eastAsia="zh-CN" w:bidi="ar"/>
              </w:rPr>
              <w:t>Categoria</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380AF650">
            <w:pPr>
              <w:keepNext w:val="0"/>
              <w:keepLines w:val="0"/>
              <w:widowControl/>
              <w:suppressLineNumbers w:val="0"/>
              <w:jc w:val="left"/>
              <w:rPr>
                <w:rFonts w:hint="default" w:ascii="Times New Roman" w:hAnsi="Times New Roman" w:eastAsia="Times New Roman" w:cs="Times New Roman"/>
                <w:i/>
                <w:iCs/>
                <w:kern w:val="0"/>
                <w:sz w:val="24"/>
                <w:szCs w:val="24"/>
                <w:lang w:val="ro-RO" w:eastAsia="en-US" w:bidi="ar-SA"/>
                <w14:ligatures w14:val="none"/>
              </w:rPr>
            </w:pPr>
            <w:r>
              <w:rPr>
                <w:rFonts w:hint="default" w:ascii="Times New Roman" w:hAnsi="Times New Roman" w:eastAsia="SimSun" w:cs="Times New Roman"/>
                <w:b/>
                <w:bCs/>
                <w:kern w:val="0"/>
                <w:sz w:val="24"/>
                <w:szCs w:val="24"/>
                <w:lang w:val="en-US" w:eastAsia="zh-CN" w:bidi="ar"/>
              </w:rPr>
              <w:t>Tipul costumului</w:t>
            </w:r>
          </w:p>
        </w:tc>
        <w:tc>
          <w:tcPr>
            <w:tcW w:w="3435" w:type="dxa"/>
            <w:tcBorders>
              <w:top w:val="single" w:color="auto" w:sz="4" w:space="0"/>
              <w:left w:val="single" w:color="auto" w:sz="4" w:space="0"/>
              <w:bottom w:val="single" w:color="auto" w:sz="4" w:space="0"/>
              <w:right w:val="single" w:color="auto" w:sz="4" w:space="0"/>
            </w:tcBorders>
            <w:shd w:val="clear" w:color="auto" w:fill="auto"/>
            <w:vAlign w:val="center"/>
          </w:tcPr>
          <w:p w14:paraId="17981AC1">
            <w:pPr>
              <w:keepNext w:val="0"/>
              <w:keepLines w:val="0"/>
              <w:widowControl/>
              <w:suppressLineNumbers w:val="0"/>
              <w:jc w:val="left"/>
              <w:rPr>
                <w:rFonts w:hint="default" w:ascii="Times New Roman" w:hAnsi="Times New Roman" w:eastAsia="Times New Roman" w:cs="Times New Roman"/>
                <w:i/>
                <w:iCs/>
                <w:kern w:val="0"/>
                <w:sz w:val="24"/>
                <w:szCs w:val="24"/>
                <w:lang w:val="ro-RO" w:eastAsia="en-US" w:bidi="ar-SA"/>
                <w14:ligatures w14:val="none"/>
              </w:rPr>
            </w:pPr>
            <w:r>
              <w:rPr>
                <w:rFonts w:hint="default" w:ascii="Times New Roman" w:hAnsi="Times New Roman" w:eastAsia="SimSun" w:cs="Times New Roman"/>
                <w:b/>
                <w:bCs/>
                <w:kern w:val="0"/>
                <w:sz w:val="24"/>
                <w:szCs w:val="24"/>
                <w:lang w:val="en-US" w:eastAsia="zh-CN" w:bidi="ar"/>
              </w:rPr>
              <w:t>Componente</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6FC940AB">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b/>
                <w:bCs/>
                <w:kern w:val="0"/>
                <w:sz w:val="24"/>
                <w:szCs w:val="24"/>
                <w:lang w:val="en-US" w:eastAsia="zh-CN" w:bidi="ar"/>
              </w:rPr>
              <w:t>Cantitatea</w:t>
            </w:r>
          </w:p>
        </w:tc>
      </w:tr>
      <w:tr w14:paraId="2A7A871B">
        <w:tblPrEx>
          <w:tblCellMar>
            <w:top w:w="0" w:type="dxa"/>
            <w:left w:w="56" w:type="dxa"/>
            <w:bottom w:w="0" w:type="dxa"/>
            <w:right w:w="56" w:type="dxa"/>
          </w:tblCellMar>
        </w:tblPrEx>
        <w:trPr>
          <w:cantSplit/>
          <w:trHeight w:val="383" w:hRule="atLeast"/>
        </w:trPr>
        <w:tc>
          <w:tcPr>
            <w:tcW w:w="612" w:type="dxa"/>
            <w:tcBorders>
              <w:top w:val="single" w:color="auto" w:sz="4" w:space="0"/>
              <w:left w:val="single" w:color="auto" w:sz="4" w:space="0"/>
              <w:bottom w:val="single" w:color="auto" w:sz="4" w:space="0"/>
              <w:right w:val="single" w:color="auto" w:sz="4" w:space="0"/>
            </w:tcBorders>
            <w:shd w:val="clear" w:color="auto" w:fill="auto"/>
            <w:vAlign w:val="center"/>
          </w:tcPr>
          <w:p w14:paraId="6356EDAF">
            <w:pPr>
              <w:keepNext w:val="0"/>
              <w:keepLines w:val="0"/>
              <w:widowControl/>
              <w:suppressLineNumbers w:val="0"/>
              <w:jc w:val="left"/>
              <w:rPr>
                <w:rFonts w:hint="default" w:ascii="Times New Roman" w:hAnsi="Times New Roman" w:eastAsia="SimSun" w:cs="Times New Roman"/>
                <w:i w:val="0"/>
                <w:iCs w:val="0"/>
                <w:caps w:val="0"/>
                <w:color w:val="000000"/>
                <w:spacing w:val="0"/>
                <w:sz w:val="24"/>
                <w:szCs w:val="24"/>
                <w:shd w:val="clear" w:fill="FCFDFE"/>
                <w:lang w:val="ro-RO"/>
              </w:rPr>
            </w:pPr>
            <w:r>
              <w:rPr>
                <w:rFonts w:hint="default" w:ascii="Times New Roman" w:hAnsi="Times New Roman" w:eastAsia="SimSun" w:cs="Times New Roman"/>
                <w:kern w:val="0"/>
                <w:sz w:val="24"/>
                <w:szCs w:val="24"/>
                <w:lang w:val="en-US" w:eastAsia="zh-CN" w:bidi="ar"/>
              </w:rPr>
              <w:t>1</w:t>
            </w: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30F6FA64">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Costume copii</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1C0B7470">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Costum popular pentru fete</w:t>
            </w:r>
          </w:p>
        </w:tc>
        <w:tc>
          <w:tcPr>
            <w:tcW w:w="3435" w:type="dxa"/>
            <w:tcBorders>
              <w:top w:val="single" w:color="auto" w:sz="4" w:space="0"/>
              <w:left w:val="single" w:color="auto" w:sz="4" w:space="0"/>
              <w:bottom w:val="single" w:color="auto" w:sz="4" w:space="0"/>
              <w:right w:val="single" w:color="auto" w:sz="4" w:space="0"/>
            </w:tcBorders>
            <w:shd w:val="clear" w:color="auto" w:fill="auto"/>
            <w:vAlign w:val="center"/>
          </w:tcPr>
          <w:p w14:paraId="17CBEBE8">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Ie</w:t>
            </w:r>
            <w:r>
              <w:rPr>
                <w:rFonts w:hint="default" w:ascii="Times New Roman" w:hAnsi="Times New Roman" w:eastAsia="SimSun" w:cs="Times New Roman"/>
                <w:kern w:val="0"/>
                <w:sz w:val="24"/>
                <w:szCs w:val="24"/>
                <w:lang w:val="ro-RO" w:eastAsia="zh-CN" w:bidi="ar"/>
              </w:rPr>
              <w:t xml:space="preserve"> </w:t>
            </w:r>
            <w:r>
              <w:rPr>
                <w:rFonts w:hint="default" w:ascii="Times New Roman" w:hAnsi="Times New Roman" w:eastAsia="SimSun" w:cs="Times New Roman"/>
                <w:kern w:val="0"/>
                <w:sz w:val="24"/>
                <w:szCs w:val="24"/>
                <w:lang w:val="en-US" w:eastAsia="zh-CN" w:bidi="ar"/>
              </w:rPr>
              <w:t>;</w:t>
            </w:r>
          </w:p>
          <w:p w14:paraId="1925C5C0">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bondiță;</w:t>
            </w:r>
          </w:p>
          <w:p w14:paraId="4D2C9243">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jupon;</w:t>
            </w:r>
          </w:p>
          <w:p w14:paraId="0552AB51">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Catrință</w:t>
            </w:r>
            <w:r>
              <w:rPr>
                <w:rFonts w:hint="default" w:ascii="Times New Roman" w:hAnsi="Times New Roman" w:eastAsia="SimSun" w:cs="Times New Roman"/>
                <w:kern w:val="0"/>
                <w:sz w:val="24"/>
                <w:szCs w:val="24"/>
                <w:lang w:val="ro-RO" w:eastAsia="zh-CN" w:bidi="ar"/>
              </w:rPr>
              <w:t xml:space="preserve"> țesută</w:t>
            </w:r>
            <w:r>
              <w:rPr>
                <w:rFonts w:hint="default" w:ascii="Times New Roman" w:hAnsi="Times New Roman" w:eastAsia="SimSun" w:cs="Times New Roman"/>
                <w:kern w:val="0"/>
                <w:sz w:val="24"/>
                <w:szCs w:val="24"/>
                <w:lang w:val="en-US" w:eastAsia="zh-CN" w:bidi="ar"/>
              </w:rPr>
              <w:t>;</w:t>
            </w:r>
          </w:p>
          <w:p w14:paraId="6008C8E6">
            <w:pPr>
              <w:keepNext w:val="0"/>
              <w:keepLines w:val="0"/>
              <w:widowControl/>
              <w:suppressLineNumbers w:val="0"/>
              <w:jc w:val="center"/>
              <w:rPr>
                <w:rFonts w:hint="default" w:ascii="Times New Roman" w:hAnsi="Times New Roman" w:cs="Times New Roman"/>
                <w:sz w:val="24"/>
                <w:szCs w:val="24"/>
                <w:lang w:val="ro-RO"/>
              </w:rPr>
            </w:pPr>
            <w:r>
              <w:rPr>
                <w:rFonts w:hint="default" w:ascii="Times New Roman" w:hAnsi="Times New Roman" w:eastAsia="SimSun" w:cs="Times New Roman"/>
                <w:kern w:val="0"/>
                <w:sz w:val="24"/>
                <w:szCs w:val="24"/>
                <w:lang w:val="en-US" w:eastAsia="zh-CN" w:bidi="ar"/>
              </w:rPr>
              <w:t>brâu</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DB2840F">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20 costume</w:t>
            </w:r>
          </w:p>
        </w:tc>
      </w:tr>
      <w:tr w14:paraId="1740B5B6">
        <w:tblPrEx>
          <w:tblCellMar>
            <w:top w:w="0" w:type="dxa"/>
            <w:left w:w="56" w:type="dxa"/>
            <w:bottom w:w="0" w:type="dxa"/>
            <w:right w:w="56" w:type="dxa"/>
          </w:tblCellMar>
        </w:tblPrEx>
        <w:trPr>
          <w:cantSplit/>
          <w:trHeight w:val="383" w:hRule="atLeast"/>
        </w:trPr>
        <w:tc>
          <w:tcPr>
            <w:tcW w:w="612" w:type="dxa"/>
            <w:tcBorders>
              <w:top w:val="single" w:color="auto" w:sz="4" w:space="0"/>
              <w:left w:val="single" w:color="auto" w:sz="4" w:space="0"/>
              <w:bottom w:val="single" w:color="auto" w:sz="4" w:space="0"/>
              <w:right w:val="single" w:color="auto" w:sz="4" w:space="0"/>
            </w:tcBorders>
            <w:shd w:val="clear" w:color="auto" w:fill="auto"/>
            <w:vAlign w:val="center"/>
          </w:tcPr>
          <w:p w14:paraId="05E47470">
            <w:pPr>
              <w:keepNext w:val="0"/>
              <w:keepLines w:val="0"/>
              <w:widowControl/>
              <w:suppressLineNumbers w:val="0"/>
              <w:jc w:val="left"/>
              <w:rPr>
                <w:rFonts w:hint="default" w:ascii="Times New Roman" w:hAnsi="Times New Roman" w:eastAsia="SimSun" w:cs="Times New Roman"/>
                <w:i w:val="0"/>
                <w:iCs w:val="0"/>
                <w:caps w:val="0"/>
                <w:color w:val="000000"/>
                <w:spacing w:val="0"/>
                <w:sz w:val="24"/>
                <w:szCs w:val="24"/>
                <w:shd w:val="clear" w:fill="FCFDFE"/>
                <w:lang w:val="ro-RO"/>
              </w:rPr>
            </w:pPr>
            <w:r>
              <w:rPr>
                <w:rFonts w:hint="default" w:ascii="Times New Roman" w:hAnsi="Times New Roman" w:eastAsia="SimSun" w:cs="Times New Roman"/>
                <w:kern w:val="0"/>
                <w:sz w:val="24"/>
                <w:szCs w:val="24"/>
                <w:lang w:val="en-US" w:eastAsia="zh-CN" w:bidi="ar"/>
              </w:rPr>
              <w:t>2</w:t>
            </w: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4C78A6F3">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Costume copii</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42A11F62">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Costum popular pentru băieți</w:t>
            </w:r>
          </w:p>
        </w:tc>
        <w:tc>
          <w:tcPr>
            <w:tcW w:w="3435" w:type="dxa"/>
            <w:tcBorders>
              <w:top w:val="single" w:color="auto" w:sz="4" w:space="0"/>
              <w:left w:val="single" w:color="auto" w:sz="4" w:space="0"/>
              <w:bottom w:val="single" w:color="auto" w:sz="4" w:space="0"/>
              <w:right w:val="single" w:color="auto" w:sz="4" w:space="0"/>
            </w:tcBorders>
            <w:shd w:val="clear" w:color="auto" w:fill="auto"/>
            <w:vAlign w:val="center"/>
          </w:tcPr>
          <w:p w14:paraId="7329A382">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Ie;</w:t>
            </w:r>
          </w:p>
          <w:p w14:paraId="69EEF916">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fustănel;</w:t>
            </w:r>
          </w:p>
          <w:p w14:paraId="7882B088">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ițari;</w:t>
            </w:r>
          </w:p>
          <w:p w14:paraId="0164D975">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brâu;</w:t>
            </w:r>
          </w:p>
          <w:p w14:paraId="4A93195B">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pălărie;</w:t>
            </w:r>
          </w:p>
          <w:p w14:paraId="3B4B08C9">
            <w:pPr>
              <w:keepNext w:val="0"/>
              <w:keepLines w:val="0"/>
              <w:widowControl/>
              <w:suppressLineNumbers w:val="0"/>
              <w:jc w:val="center"/>
              <w:rPr>
                <w:rFonts w:hint="default" w:ascii="Times New Roman" w:hAnsi="Times New Roman" w:cs="Times New Roman"/>
                <w:sz w:val="24"/>
                <w:szCs w:val="24"/>
                <w:lang w:val="ro-RO"/>
              </w:rPr>
            </w:pPr>
            <w:r>
              <w:rPr>
                <w:rFonts w:hint="default" w:ascii="Times New Roman" w:hAnsi="Times New Roman" w:eastAsia="SimSun" w:cs="Times New Roman"/>
                <w:kern w:val="0"/>
                <w:sz w:val="24"/>
                <w:szCs w:val="24"/>
                <w:lang w:val="en-US" w:eastAsia="zh-CN" w:bidi="ar"/>
              </w:rPr>
              <w:t>bondiță</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2A51935">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20 costume</w:t>
            </w:r>
          </w:p>
        </w:tc>
      </w:tr>
      <w:tr w14:paraId="058725E5">
        <w:tblPrEx>
          <w:tblCellMar>
            <w:top w:w="0" w:type="dxa"/>
            <w:left w:w="56" w:type="dxa"/>
            <w:bottom w:w="0" w:type="dxa"/>
            <w:right w:w="56" w:type="dxa"/>
          </w:tblCellMar>
        </w:tblPrEx>
        <w:trPr>
          <w:cantSplit/>
          <w:trHeight w:val="383" w:hRule="atLeast"/>
        </w:trPr>
        <w:tc>
          <w:tcPr>
            <w:tcW w:w="612" w:type="dxa"/>
            <w:tcBorders>
              <w:top w:val="single" w:color="auto" w:sz="4" w:space="0"/>
              <w:left w:val="single" w:color="auto" w:sz="4" w:space="0"/>
              <w:bottom w:val="single" w:color="auto" w:sz="4" w:space="0"/>
              <w:right w:val="single" w:color="auto" w:sz="4" w:space="0"/>
            </w:tcBorders>
            <w:shd w:val="clear" w:color="auto" w:fill="auto"/>
            <w:vAlign w:val="center"/>
          </w:tcPr>
          <w:p w14:paraId="395DF6D7">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3</w:t>
            </w: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6FC4E596">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Costume maturi</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73E9A540">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Costum popular pentru femei</w:t>
            </w:r>
          </w:p>
        </w:tc>
        <w:tc>
          <w:tcPr>
            <w:tcW w:w="3435" w:type="dxa"/>
            <w:tcBorders>
              <w:top w:val="single" w:color="auto" w:sz="4" w:space="0"/>
              <w:left w:val="single" w:color="auto" w:sz="4" w:space="0"/>
              <w:bottom w:val="single" w:color="auto" w:sz="4" w:space="0"/>
              <w:right w:val="single" w:color="auto" w:sz="4" w:space="0"/>
            </w:tcBorders>
            <w:shd w:val="clear" w:color="auto" w:fill="auto"/>
            <w:vAlign w:val="center"/>
          </w:tcPr>
          <w:p w14:paraId="7DC9935B">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Ie</w:t>
            </w:r>
            <w:r>
              <w:rPr>
                <w:rFonts w:hint="default" w:ascii="Times New Roman" w:hAnsi="Times New Roman" w:eastAsia="SimSun" w:cs="Times New Roman"/>
                <w:kern w:val="0"/>
                <w:sz w:val="24"/>
                <w:szCs w:val="24"/>
                <w:lang w:val="ro-RO" w:eastAsia="zh-CN" w:bidi="ar"/>
              </w:rPr>
              <w:t xml:space="preserve"> națională</w:t>
            </w:r>
            <w:r>
              <w:rPr>
                <w:rFonts w:hint="default" w:ascii="Times New Roman" w:hAnsi="Times New Roman" w:eastAsia="SimSun" w:cs="Times New Roman"/>
                <w:kern w:val="0"/>
                <w:sz w:val="24"/>
                <w:szCs w:val="24"/>
                <w:lang w:val="en-US" w:eastAsia="zh-CN" w:bidi="ar"/>
              </w:rPr>
              <w:t>;</w:t>
            </w:r>
          </w:p>
          <w:p w14:paraId="769F052D">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fustă;</w:t>
            </w:r>
          </w:p>
          <w:p w14:paraId="6A87D165">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brâu</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4888ED7E">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 costume</w:t>
            </w:r>
          </w:p>
        </w:tc>
      </w:tr>
      <w:tr w14:paraId="514DA511">
        <w:tblPrEx>
          <w:tblCellMar>
            <w:top w:w="0" w:type="dxa"/>
            <w:left w:w="56" w:type="dxa"/>
            <w:bottom w:w="0" w:type="dxa"/>
            <w:right w:w="56" w:type="dxa"/>
          </w:tblCellMar>
        </w:tblPrEx>
        <w:trPr>
          <w:cantSplit/>
          <w:trHeight w:val="383" w:hRule="atLeast"/>
        </w:trPr>
        <w:tc>
          <w:tcPr>
            <w:tcW w:w="612" w:type="dxa"/>
            <w:tcBorders>
              <w:top w:val="single" w:color="auto" w:sz="4" w:space="0"/>
              <w:left w:val="single" w:color="auto" w:sz="4" w:space="0"/>
              <w:bottom w:val="single" w:color="auto" w:sz="4" w:space="0"/>
              <w:right w:val="single" w:color="auto" w:sz="4" w:space="0"/>
            </w:tcBorders>
            <w:shd w:val="clear" w:color="auto" w:fill="auto"/>
            <w:vAlign w:val="center"/>
          </w:tcPr>
          <w:p w14:paraId="1323518A">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4</w:t>
            </w:r>
          </w:p>
        </w:tc>
        <w:tc>
          <w:tcPr>
            <w:tcW w:w="1475" w:type="dxa"/>
            <w:tcBorders>
              <w:top w:val="single" w:color="auto" w:sz="4" w:space="0"/>
              <w:left w:val="single" w:color="auto" w:sz="4" w:space="0"/>
              <w:bottom w:val="single" w:color="auto" w:sz="4" w:space="0"/>
              <w:right w:val="single" w:color="auto" w:sz="4" w:space="0"/>
            </w:tcBorders>
            <w:shd w:val="clear" w:color="auto" w:fill="auto"/>
            <w:vAlign w:val="center"/>
          </w:tcPr>
          <w:p w14:paraId="104FCCBB">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Costume maturi</w:t>
            </w:r>
          </w:p>
        </w:tc>
        <w:tc>
          <w:tcPr>
            <w:tcW w:w="1935" w:type="dxa"/>
            <w:tcBorders>
              <w:top w:val="single" w:color="auto" w:sz="4" w:space="0"/>
              <w:left w:val="single" w:color="auto" w:sz="4" w:space="0"/>
              <w:bottom w:val="single" w:color="auto" w:sz="4" w:space="0"/>
              <w:right w:val="single" w:color="auto" w:sz="4" w:space="0"/>
            </w:tcBorders>
            <w:shd w:val="clear" w:color="auto" w:fill="auto"/>
            <w:vAlign w:val="center"/>
          </w:tcPr>
          <w:p w14:paraId="3585E145">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Costum popular pentru bărbați</w:t>
            </w:r>
          </w:p>
        </w:tc>
        <w:tc>
          <w:tcPr>
            <w:tcW w:w="3435" w:type="dxa"/>
            <w:tcBorders>
              <w:top w:val="single" w:color="auto" w:sz="4" w:space="0"/>
              <w:left w:val="single" w:color="auto" w:sz="4" w:space="0"/>
              <w:bottom w:val="single" w:color="auto" w:sz="4" w:space="0"/>
              <w:right w:val="single" w:color="auto" w:sz="4" w:space="0"/>
            </w:tcBorders>
            <w:shd w:val="clear" w:color="auto" w:fill="auto"/>
            <w:vAlign w:val="center"/>
          </w:tcPr>
          <w:p w14:paraId="36B99712">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Cămașă națională;</w:t>
            </w:r>
          </w:p>
          <w:p w14:paraId="16564016">
            <w:pPr>
              <w:keepNext w:val="0"/>
              <w:keepLines w:val="0"/>
              <w:widowControl/>
              <w:suppressLineNumbers w:val="0"/>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ițari;</w:t>
            </w:r>
          </w:p>
          <w:p w14:paraId="4D0C8735">
            <w:pPr>
              <w:keepNext w:val="0"/>
              <w:keepLines w:val="0"/>
              <w:widowControl/>
              <w:suppressLineNumbers w:val="0"/>
              <w:jc w:val="center"/>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brâu</w:t>
            </w:r>
          </w:p>
        </w:tc>
        <w:tc>
          <w:tcPr>
            <w:tcW w:w="1545" w:type="dxa"/>
            <w:tcBorders>
              <w:top w:val="single" w:color="auto" w:sz="4" w:space="0"/>
              <w:left w:val="single" w:color="auto" w:sz="4" w:space="0"/>
              <w:bottom w:val="single" w:color="auto" w:sz="4" w:space="0"/>
              <w:right w:val="single" w:color="auto" w:sz="4" w:space="0"/>
            </w:tcBorders>
            <w:shd w:val="clear" w:color="auto" w:fill="auto"/>
            <w:vAlign w:val="center"/>
          </w:tcPr>
          <w:p w14:paraId="27FA9047">
            <w:pPr>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5 costume</w:t>
            </w:r>
          </w:p>
        </w:tc>
      </w:tr>
    </w:tbl>
    <w:p w14:paraId="46832386">
      <w:pPr>
        <w:jc w:val="left"/>
        <w:rPr>
          <w:rFonts w:hint="default" w:ascii="Times New Roman" w:hAnsi="Times New Roman" w:eastAsia="SimSun" w:cs="Times New Roman"/>
          <w:sz w:val="24"/>
          <w:szCs w:val="24"/>
        </w:rPr>
      </w:pPr>
    </w:p>
    <w:p w14:paraId="1C963CB3">
      <w:pPr>
        <w:numPr>
          <w:ilvl w:val="0"/>
          <w:numId w:val="1"/>
        </w:numPr>
        <w:ind w:firstLine="709"/>
        <w:jc w:val="both"/>
        <w:rPr>
          <w:rFonts w:hint="default" w:ascii="Times New Roman" w:hAnsi="Times New Roman" w:cs="Times New Roman"/>
          <w:b/>
          <w:sz w:val="24"/>
          <w:szCs w:val="24"/>
          <w:lang w:val="ro-RO"/>
        </w:rPr>
      </w:pPr>
      <w:r>
        <w:rPr>
          <w:rFonts w:hint="default" w:ascii="Times New Roman" w:hAnsi="Times New Roman" w:cs="Times New Roman"/>
          <w:b/>
          <w:sz w:val="24"/>
          <w:szCs w:val="24"/>
          <w:lang w:val="ro-RO"/>
        </w:rPr>
        <w:t>C</w:t>
      </w:r>
      <w:r>
        <w:rPr>
          <w:rFonts w:hint="default" w:ascii="Times New Roman" w:hAnsi="Times New Roman" w:cs="Times New Roman"/>
          <w:b/>
          <w:sz w:val="24"/>
          <w:szCs w:val="24"/>
        </w:rPr>
        <w:t>alitatea</w:t>
      </w:r>
      <w:bookmarkStart w:id="3" w:name="_Hlk63425519"/>
      <w:r>
        <w:rPr>
          <w:rFonts w:hint="default" w:ascii="Times New Roman" w:hAnsi="Times New Roman" w:cs="Times New Roman"/>
          <w:b/>
          <w:sz w:val="24"/>
          <w:szCs w:val="24"/>
        </w:rPr>
        <w:t xml:space="preserve"> produselor</w:t>
      </w:r>
      <w:bookmarkEnd w:id="3"/>
      <w:r>
        <w:rPr>
          <w:rFonts w:hint="default" w:ascii="Times New Roman" w:hAnsi="Times New Roman" w:cs="Times New Roman"/>
          <w:b/>
          <w:sz w:val="24"/>
          <w:szCs w:val="24"/>
          <w:lang w:val="ro-RO"/>
        </w:rPr>
        <w:t>. Specificații tehnice</w:t>
      </w:r>
    </w:p>
    <w:p w14:paraId="36AC55D3">
      <w:pPr>
        <w:numPr>
          <w:ilvl w:val="0"/>
          <w:numId w:val="0"/>
        </w:numPr>
        <w:jc w:val="both"/>
        <w:rPr>
          <w:rFonts w:hint="default" w:ascii="Times New Roman" w:hAnsi="Times New Roman" w:cs="Times New Roman"/>
          <w:b/>
          <w:sz w:val="24"/>
          <w:szCs w:val="24"/>
          <w:lang w:val="ro-RO"/>
        </w:rPr>
      </w:pPr>
    </w:p>
    <w:p w14:paraId="3E72B251">
      <w:pPr>
        <w:numPr>
          <w:ilvl w:val="0"/>
          <w:numId w:val="0"/>
        </w:numPr>
        <w:jc w:val="both"/>
        <w:rPr>
          <w:rFonts w:hint="default" w:ascii="Times New Roman" w:hAnsi="Times New Roman" w:eastAsia="SimSun" w:cs="Times New Roman"/>
          <w:sz w:val="24"/>
          <w:szCs w:val="24"/>
        </w:rPr>
      </w:pPr>
      <w:r>
        <w:rPr>
          <w:rFonts w:hint="default" w:ascii="Times New Roman" w:hAnsi="Times New Roman" w:eastAsia="SimSun" w:cs="Times New Roman"/>
          <w:sz w:val="24"/>
          <w:szCs w:val="24"/>
        </w:rPr>
        <w:t>Cerințele tehnice prevăzute în prezentul caiet de sarcini reprezintă cerințe minime obligatorii. Produsele ofertate trebuie să îndeplinească integral cerințele tehnice, cantitative și calitative stabilite de autoritatea contractantă.</w:t>
      </w:r>
    </w:p>
    <w:p w14:paraId="109FC043">
      <w:pPr>
        <w:numPr>
          <w:ilvl w:val="0"/>
          <w:numId w:val="0"/>
        </w:numPr>
        <w:jc w:val="left"/>
        <w:rPr>
          <w:rFonts w:hint="default" w:ascii="Times New Roman" w:hAnsi="Times New Roman" w:eastAsia="SimSun" w:cs="Times New Roman"/>
          <w:sz w:val="24"/>
          <w:szCs w:val="24"/>
          <w:lang w:val="ro-RO"/>
        </w:rPr>
      </w:pPr>
    </w:p>
    <w:p w14:paraId="76F10C4E">
      <w:pPr>
        <w:numPr>
          <w:ilvl w:val="0"/>
          <w:numId w:val="0"/>
        </w:numPr>
        <w:jc w:val="left"/>
        <w:rPr>
          <w:rFonts w:hint="default" w:ascii="Times New Roman" w:hAnsi="Times New Roman" w:cs="Times New Roman"/>
          <w:b/>
          <w:sz w:val="24"/>
          <w:szCs w:val="24"/>
          <w:lang w:val="ro-RO"/>
        </w:rPr>
      </w:pPr>
    </w:p>
    <w:tbl>
      <w:tblPr>
        <w:tblStyle w:val="9"/>
        <w:tblW w:w="9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1830"/>
        <w:gridCol w:w="6546"/>
      </w:tblGrid>
      <w:tr w14:paraId="723F9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8C2B09F">
            <w:pPr>
              <w:keepNext w:val="0"/>
              <w:keepLines w:val="0"/>
              <w:widowControl/>
              <w:suppressLineNumbers w:val="0"/>
              <w:jc w:val="left"/>
              <w:rPr>
                <w:rFonts w:hint="default" w:ascii="Times New Roman" w:hAnsi="Times New Roman" w:cs="Times New Roman"/>
                <w:sz w:val="24"/>
                <w:szCs w:val="24"/>
                <w:vertAlign w:val="baseline"/>
              </w:rPr>
            </w:pPr>
            <w:r>
              <w:rPr>
                <w:rFonts w:hint="default" w:ascii="Times New Roman" w:hAnsi="Times New Roman" w:eastAsia="SimSun" w:cs="Times New Roman"/>
                <w:b/>
                <w:bCs/>
                <w:kern w:val="0"/>
                <w:sz w:val="24"/>
                <w:szCs w:val="24"/>
                <w:lang w:val="en-US" w:eastAsia="zh-CN" w:bidi="ar"/>
              </w:rPr>
              <w:t>Nr. d/o</w:t>
            </w:r>
          </w:p>
        </w:tc>
        <w:tc>
          <w:tcPr>
            <w:tcW w:w="1830" w:type="dxa"/>
            <w:vAlign w:val="center"/>
          </w:tcPr>
          <w:p w14:paraId="68E63260">
            <w:pPr>
              <w:keepNext w:val="0"/>
              <w:keepLines w:val="0"/>
              <w:widowControl/>
              <w:suppressLineNumbers w:val="0"/>
              <w:jc w:val="left"/>
              <w:rPr>
                <w:rFonts w:hint="default" w:ascii="Times New Roman" w:hAnsi="Times New Roman" w:cs="Times New Roman"/>
                <w:sz w:val="24"/>
                <w:szCs w:val="24"/>
                <w:vertAlign w:val="baseline"/>
              </w:rPr>
            </w:pPr>
            <w:r>
              <w:rPr>
                <w:rFonts w:hint="default" w:ascii="Times New Roman" w:hAnsi="Times New Roman" w:eastAsia="SimSun" w:cs="Times New Roman"/>
                <w:b/>
                <w:bCs/>
                <w:kern w:val="0"/>
                <w:sz w:val="24"/>
                <w:szCs w:val="24"/>
                <w:lang w:val="en-US" w:eastAsia="zh-CN" w:bidi="ar"/>
              </w:rPr>
              <w:t>Produs</w:t>
            </w:r>
          </w:p>
        </w:tc>
        <w:tc>
          <w:tcPr>
            <w:tcW w:w="6546" w:type="dxa"/>
            <w:vAlign w:val="center"/>
          </w:tcPr>
          <w:p w14:paraId="2703ADF5">
            <w:pPr>
              <w:keepNext w:val="0"/>
              <w:keepLines w:val="0"/>
              <w:widowControl/>
              <w:suppressLineNumbers w:val="0"/>
              <w:jc w:val="left"/>
              <w:rPr>
                <w:rFonts w:hint="default" w:ascii="Times New Roman" w:hAnsi="Times New Roman" w:cs="Times New Roman"/>
                <w:sz w:val="24"/>
                <w:szCs w:val="24"/>
                <w:vertAlign w:val="baseline"/>
              </w:rPr>
            </w:pPr>
            <w:r>
              <w:rPr>
                <w:rFonts w:hint="default" w:ascii="Times New Roman" w:hAnsi="Times New Roman" w:eastAsia="SimSun" w:cs="Times New Roman"/>
                <w:b/>
                <w:bCs/>
                <w:kern w:val="0"/>
                <w:sz w:val="24"/>
                <w:szCs w:val="24"/>
                <w:lang w:val="en-US" w:eastAsia="zh-CN" w:bidi="ar"/>
              </w:rPr>
              <w:t>Specificații tehnice minime obligatorii</w:t>
            </w:r>
          </w:p>
        </w:tc>
      </w:tr>
      <w:tr w14:paraId="4E086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103B55A">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1</w:t>
            </w:r>
          </w:p>
        </w:tc>
        <w:tc>
          <w:tcPr>
            <w:tcW w:w="1830" w:type="dxa"/>
            <w:vAlign w:val="center"/>
          </w:tcPr>
          <w:p w14:paraId="35C058EA">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Ie pentru fete – 20 buc.</w:t>
            </w:r>
          </w:p>
        </w:tc>
        <w:tc>
          <w:tcPr>
            <w:tcW w:w="6546" w:type="dxa"/>
            <w:vAlign w:val="center"/>
          </w:tcPr>
          <w:p w14:paraId="5C3A55C1">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Ie în stil tradițional românesc, destinată utilizării în cadrul activităților artistice. Material textil de calitate corespunzătoare și rezistent la utilizare repetată. Croială adaptată utilizării de către copii și care permite libertatea de mișcare. Cusături uniforme și rezistente. Finisaje îngrijite. Elemente decorative inspirate din motive tradiționale românești, bine fixate. Dimensiunile se vor realiza conform măsurătorilor beneficiarilor.</w:t>
            </w:r>
          </w:p>
        </w:tc>
      </w:tr>
      <w:tr w14:paraId="24CE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1F5785D">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2</w:t>
            </w:r>
          </w:p>
        </w:tc>
        <w:tc>
          <w:tcPr>
            <w:tcW w:w="1830" w:type="dxa"/>
            <w:vAlign w:val="center"/>
          </w:tcPr>
          <w:p w14:paraId="7C41E08B">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Bondiță pentru fete – 20 buc.</w:t>
            </w:r>
          </w:p>
        </w:tc>
        <w:tc>
          <w:tcPr>
            <w:tcW w:w="6546" w:type="dxa"/>
            <w:vAlign w:val="center"/>
          </w:tcPr>
          <w:p w14:paraId="1712FE26">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Bondiță în stil tradițional românesc, fără mâneci, destinată purtării peste ie. Material rezistent, croială adecvată pentru copii și libertate de mișcare. Finisaje corespunzătoare și elemente decorative bine fixate. Dimensiuni conform măsurătorilor beneficiarilor.</w:t>
            </w:r>
          </w:p>
        </w:tc>
      </w:tr>
      <w:tr w14:paraId="2E67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A1DE434">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3</w:t>
            </w:r>
          </w:p>
        </w:tc>
        <w:tc>
          <w:tcPr>
            <w:tcW w:w="1830" w:type="dxa"/>
            <w:vAlign w:val="center"/>
          </w:tcPr>
          <w:p w14:paraId="4AD30394">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Jupon pentru fete – 20 buc.</w:t>
            </w:r>
          </w:p>
        </w:tc>
        <w:tc>
          <w:tcPr>
            <w:tcW w:w="6546" w:type="dxa"/>
            <w:vAlign w:val="center"/>
          </w:tcPr>
          <w:p w14:paraId="2B31BD0F">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Jupon destinat costumului popular feminin pentru copii, realizat din material textil rezistent și adecvat utilizării repetate. Croială corespunzătoare, cusături și finisaje rezistente. Dimensiuni conform măsurătorilor beneficiarilor.</w:t>
            </w:r>
          </w:p>
        </w:tc>
      </w:tr>
      <w:tr w14:paraId="49C2E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FFC410C">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4</w:t>
            </w:r>
          </w:p>
        </w:tc>
        <w:tc>
          <w:tcPr>
            <w:tcW w:w="1830" w:type="dxa"/>
            <w:vAlign w:val="center"/>
          </w:tcPr>
          <w:p w14:paraId="12A4FABB">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Catrință pentru fete – 20 buc.</w:t>
            </w:r>
          </w:p>
        </w:tc>
        <w:tc>
          <w:tcPr>
            <w:tcW w:w="6546" w:type="dxa"/>
            <w:vAlign w:val="center"/>
          </w:tcPr>
          <w:p w14:paraId="24A469E2">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Catrință</w:t>
            </w:r>
            <w:r>
              <w:rPr>
                <w:rFonts w:hint="default" w:ascii="Times New Roman" w:hAnsi="Times New Roman" w:eastAsia="SimSun" w:cs="Times New Roman"/>
                <w:kern w:val="0"/>
                <w:sz w:val="24"/>
                <w:szCs w:val="24"/>
                <w:lang w:val="ro-RO" w:eastAsia="zh-CN" w:bidi="ar"/>
              </w:rPr>
              <w:t xml:space="preserve"> țesută</w:t>
            </w:r>
            <w:r>
              <w:rPr>
                <w:rFonts w:hint="default" w:ascii="Times New Roman" w:hAnsi="Times New Roman" w:eastAsia="SimSun" w:cs="Times New Roman"/>
                <w:kern w:val="0"/>
                <w:sz w:val="24"/>
                <w:szCs w:val="24"/>
                <w:lang w:val="en-US" w:eastAsia="zh-CN" w:bidi="ar"/>
              </w:rPr>
              <w:t xml:space="preserve"> în stil tradițional românesc, adecvată costumului popular feminin pentru copii. Material rezistent, finisaje corespunzătoare și elemente decorative inspirate din motive tradiționale. Dimensiuni conform măsurătorilor beneficiarilor.</w:t>
            </w:r>
          </w:p>
        </w:tc>
      </w:tr>
      <w:tr w14:paraId="25FF1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75FC70EB">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5</w:t>
            </w:r>
          </w:p>
        </w:tc>
        <w:tc>
          <w:tcPr>
            <w:tcW w:w="1830" w:type="dxa"/>
            <w:vAlign w:val="center"/>
          </w:tcPr>
          <w:p w14:paraId="3D5FA24D">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Brâu pentru fete – 20 buc.</w:t>
            </w:r>
          </w:p>
        </w:tc>
        <w:tc>
          <w:tcPr>
            <w:tcW w:w="6546" w:type="dxa"/>
            <w:vAlign w:val="center"/>
          </w:tcPr>
          <w:p w14:paraId="7A9AEF75">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Brâu textil destinat completării costumului popular feminin pentru copii. Material rezistent, finisaje corespunzătoare și dimensiuni adecvate beneficiarilor.</w:t>
            </w:r>
          </w:p>
        </w:tc>
      </w:tr>
      <w:tr w14:paraId="0634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A11B113">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6</w:t>
            </w:r>
          </w:p>
        </w:tc>
        <w:tc>
          <w:tcPr>
            <w:tcW w:w="1830" w:type="dxa"/>
            <w:vAlign w:val="center"/>
          </w:tcPr>
          <w:p w14:paraId="5E0F1A07">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Ie pentru băieți – 20 buc.</w:t>
            </w:r>
          </w:p>
        </w:tc>
        <w:tc>
          <w:tcPr>
            <w:tcW w:w="6546" w:type="dxa"/>
            <w:vAlign w:val="center"/>
          </w:tcPr>
          <w:p w14:paraId="2FC9CD15">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Ie/cămașă tradițională românească pentru copii, realizată din material textil de calitate corespunzătoare, rezistent la utilizare repetată. Croială care permite libertatea de mișcare. Cusături și finisaje rezistente. Elemente decorative inspirate din portul popular românesc. Dimensiuni conform măsurătorilor beneficiarilor.</w:t>
            </w:r>
          </w:p>
        </w:tc>
      </w:tr>
      <w:tr w14:paraId="79F4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2C59032">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7</w:t>
            </w:r>
          </w:p>
        </w:tc>
        <w:tc>
          <w:tcPr>
            <w:tcW w:w="1830" w:type="dxa"/>
            <w:vAlign w:val="center"/>
          </w:tcPr>
          <w:p w14:paraId="4EA0DE39">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Fustănel pentru băieți – 20 buc.</w:t>
            </w:r>
          </w:p>
        </w:tc>
        <w:tc>
          <w:tcPr>
            <w:tcW w:w="6546" w:type="dxa"/>
            <w:vAlign w:val="center"/>
          </w:tcPr>
          <w:p w14:paraId="4ECC3EA1">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Fustănel specific costumului popular masculin pentru copii, realizat din material rezistent și adecvat utilizării repetate. Croială și finisaje corespunzătoare. Dimensiuni conform măsurătorilor beneficiarilor.</w:t>
            </w:r>
          </w:p>
        </w:tc>
      </w:tr>
      <w:tr w14:paraId="33969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DF8A7CF">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8</w:t>
            </w:r>
          </w:p>
        </w:tc>
        <w:tc>
          <w:tcPr>
            <w:tcW w:w="1830" w:type="dxa"/>
            <w:vAlign w:val="center"/>
          </w:tcPr>
          <w:p w14:paraId="4CACEC46">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Ițari pentru băieți – 20 buc.</w:t>
            </w:r>
          </w:p>
        </w:tc>
        <w:tc>
          <w:tcPr>
            <w:tcW w:w="6546" w:type="dxa"/>
            <w:vAlign w:val="center"/>
          </w:tcPr>
          <w:p w14:paraId="479A6CEA">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Ițari în stil tradițional românesc, destinați copiilor. Material rezistent, croială adecvată dansului și libertății de mișcare. Cusături și finisaje corespunzătoare. Dimensiuni conform măsurătorilor beneficiarilor.</w:t>
            </w:r>
          </w:p>
        </w:tc>
      </w:tr>
      <w:tr w14:paraId="28E7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C90858C">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9</w:t>
            </w:r>
          </w:p>
        </w:tc>
        <w:tc>
          <w:tcPr>
            <w:tcW w:w="1830" w:type="dxa"/>
            <w:vAlign w:val="center"/>
          </w:tcPr>
          <w:p w14:paraId="2A1BEEED">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Brâu pentru băieți – 20 buc.</w:t>
            </w:r>
          </w:p>
        </w:tc>
        <w:tc>
          <w:tcPr>
            <w:tcW w:w="6546" w:type="dxa"/>
            <w:vAlign w:val="center"/>
          </w:tcPr>
          <w:p w14:paraId="3F69924C">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Brâu destinat completării costumului popular masculin pentru copii. Material rezistent, finisaje corespunzătoare și dimensiuni adaptate beneficiarilor.</w:t>
            </w:r>
          </w:p>
        </w:tc>
      </w:tr>
      <w:tr w14:paraId="74441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9AF3D5D">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10</w:t>
            </w:r>
          </w:p>
        </w:tc>
        <w:tc>
          <w:tcPr>
            <w:tcW w:w="1830" w:type="dxa"/>
            <w:vAlign w:val="center"/>
          </w:tcPr>
          <w:p w14:paraId="0AD7E2F0">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Pălărie pentru băieți – 20 buc.</w:t>
            </w:r>
          </w:p>
        </w:tc>
        <w:tc>
          <w:tcPr>
            <w:tcW w:w="6546" w:type="dxa"/>
            <w:vAlign w:val="center"/>
          </w:tcPr>
          <w:p w14:paraId="2981F239">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Pălărie în stil tradițional, adecvată costumului popular masculin pentru copii. Material și execuție rezistente la utilizare repetată. Dimensiune adaptată beneficiarilor și fixare corespunzătoare.</w:t>
            </w:r>
          </w:p>
        </w:tc>
      </w:tr>
      <w:tr w14:paraId="221A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E26B1A1">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11</w:t>
            </w:r>
          </w:p>
        </w:tc>
        <w:tc>
          <w:tcPr>
            <w:tcW w:w="1830" w:type="dxa"/>
            <w:vAlign w:val="center"/>
          </w:tcPr>
          <w:p w14:paraId="02952905">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Bondiță pentru băieți – 20 buc.</w:t>
            </w:r>
          </w:p>
        </w:tc>
        <w:tc>
          <w:tcPr>
            <w:tcW w:w="6546" w:type="dxa"/>
            <w:vAlign w:val="center"/>
          </w:tcPr>
          <w:p w14:paraId="0EEA09E0">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Bondiță în stil tradițional românesc, fără mâneci, destinată costumului popular masculin pentru copii. Material rezistent, croială adecvată activităților artistice, finisaje corespunzătoare și elemente decorative bine fixate. Dimensiuni conform măsurătorilor beneficiarilor.</w:t>
            </w:r>
          </w:p>
        </w:tc>
      </w:tr>
      <w:tr w14:paraId="350BD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EBD660C">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12</w:t>
            </w:r>
          </w:p>
        </w:tc>
        <w:tc>
          <w:tcPr>
            <w:tcW w:w="1830" w:type="dxa"/>
            <w:vAlign w:val="center"/>
          </w:tcPr>
          <w:p w14:paraId="7B4DA3D3">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Ie</w:t>
            </w:r>
            <w:r>
              <w:rPr>
                <w:rStyle w:val="8"/>
                <w:rFonts w:hint="default" w:ascii="Times New Roman" w:hAnsi="Times New Roman" w:eastAsia="SimSun" w:cs="Times New Roman"/>
                <w:kern w:val="0"/>
                <w:sz w:val="24"/>
                <w:szCs w:val="24"/>
                <w:lang w:val="ro-RO" w:eastAsia="zh-CN" w:bidi="ar"/>
              </w:rPr>
              <w:t xml:space="preserve"> națională</w:t>
            </w:r>
            <w:r>
              <w:rPr>
                <w:rStyle w:val="8"/>
                <w:rFonts w:hint="default" w:ascii="Times New Roman" w:hAnsi="Times New Roman" w:eastAsia="SimSun" w:cs="Times New Roman"/>
                <w:kern w:val="0"/>
                <w:sz w:val="24"/>
                <w:szCs w:val="24"/>
                <w:lang w:val="en-US" w:eastAsia="zh-CN" w:bidi="ar"/>
              </w:rPr>
              <w:t xml:space="preserve"> pentru femei – 5 buc.</w:t>
            </w:r>
          </w:p>
        </w:tc>
        <w:tc>
          <w:tcPr>
            <w:tcW w:w="6546" w:type="dxa"/>
            <w:vAlign w:val="center"/>
          </w:tcPr>
          <w:p w14:paraId="55A5EBFD">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Ie în stil tradițional românesc, destinată utilizării în activități culturale și artistice. Material textil rezistent, croială adecvată și libertate de mișcare. Elemente decorative inspirate din motive tradiționale românești. Cusături și finisaje corespunzătoare. Dimensiuni conform măsurătorilor beneficiarilor.</w:t>
            </w:r>
          </w:p>
        </w:tc>
      </w:tr>
      <w:tr w14:paraId="0724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FB6F630">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13</w:t>
            </w:r>
          </w:p>
        </w:tc>
        <w:tc>
          <w:tcPr>
            <w:tcW w:w="1830" w:type="dxa"/>
            <w:vAlign w:val="center"/>
          </w:tcPr>
          <w:p w14:paraId="479E5169">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Fustă pentru femei – 5 buc.</w:t>
            </w:r>
          </w:p>
        </w:tc>
        <w:tc>
          <w:tcPr>
            <w:tcW w:w="6546" w:type="dxa"/>
            <w:vAlign w:val="center"/>
          </w:tcPr>
          <w:p w14:paraId="40C664D2">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Fustă destinată costumului popular feminin, realizată din material textil rezistent și adecvat utilizării repetate. Croială și finisaje corespunzătoare. Aspect armonizat cu ia și brâul. Dimensiuni conform măsurătorilor beneficiarilor.</w:t>
            </w:r>
          </w:p>
        </w:tc>
      </w:tr>
      <w:tr w14:paraId="45C0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C75EB24">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14</w:t>
            </w:r>
          </w:p>
        </w:tc>
        <w:tc>
          <w:tcPr>
            <w:tcW w:w="1830" w:type="dxa"/>
            <w:vAlign w:val="center"/>
          </w:tcPr>
          <w:p w14:paraId="46D90FCE">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Brâu pentru femei/bărbați – 10 buc.</w:t>
            </w:r>
          </w:p>
        </w:tc>
        <w:tc>
          <w:tcPr>
            <w:tcW w:w="6546" w:type="dxa"/>
            <w:vAlign w:val="center"/>
          </w:tcPr>
          <w:p w14:paraId="2FBE3FB9">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Brâu textil destinat completării costumului popular. Material rezistent, finisaje corespunzătoare și dimensiuni adaptate beneficiarilor.</w:t>
            </w:r>
          </w:p>
        </w:tc>
      </w:tr>
      <w:tr w14:paraId="0ED6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262EBD31">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15</w:t>
            </w:r>
          </w:p>
        </w:tc>
        <w:tc>
          <w:tcPr>
            <w:tcW w:w="1830" w:type="dxa"/>
            <w:vAlign w:val="center"/>
          </w:tcPr>
          <w:p w14:paraId="16B9D4EE">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Cămașă națională pentru bărbați – 5 buc.</w:t>
            </w:r>
          </w:p>
        </w:tc>
        <w:tc>
          <w:tcPr>
            <w:tcW w:w="6546" w:type="dxa"/>
            <w:vAlign w:val="center"/>
          </w:tcPr>
          <w:p w14:paraId="3BC87D48">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Cămașă națională în stil tradițional românesc, realizată din material textil rezistent și adecvat utilizării repetate. Croială care permite libertatea de mișcare. Cusături, finisaje și elemente decorative executate corespunzător. Dimensiuni conform măsurătorilor beneficiarilor.</w:t>
            </w:r>
          </w:p>
        </w:tc>
      </w:tr>
      <w:tr w14:paraId="458E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BE10ACB">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16</w:t>
            </w:r>
          </w:p>
        </w:tc>
        <w:tc>
          <w:tcPr>
            <w:tcW w:w="1830" w:type="dxa"/>
            <w:vAlign w:val="center"/>
          </w:tcPr>
          <w:p w14:paraId="340E6981">
            <w:pPr>
              <w:keepNext w:val="0"/>
              <w:keepLines w:val="0"/>
              <w:widowControl/>
              <w:suppressLineNumbers w:val="0"/>
              <w:jc w:val="left"/>
              <w:rPr>
                <w:rFonts w:hint="default" w:ascii="Times New Roman" w:hAnsi="Times New Roman" w:cs="Times New Roman"/>
                <w:sz w:val="24"/>
                <w:szCs w:val="24"/>
                <w:vertAlign w:val="baseline"/>
              </w:rPr>
            </w:pPr>
            <w:r>
              <w:rPr>
                <w:rStyle w:val="8"/>
                <w:rFonts w:hint="default" w:ascii="Times New Roman" w:hAnsi="Times New Roman" w:eastAsia="SimSun" w:cs="Times New Roman"/>
                <w:kern w:val="0"/>
                <w:sz w:val="24"/>
                <w:szCs w:val="24"/>
                <w:lang w:val="en-US" w:eastAsia="zh-CN" w:bidi="ar"/>
              </w:rPr>
              <w:t>Ițari pentru bărbați – 5 buc.</w:t>
            </w:r>
          </w:p>
        </w:tc>
        <w:tc>
          <w:tcPr>
            <w:tcW w:w="6546" w:type="dxa"/>
            <w:vAlign w:val="center"/>
          </w:tcPr>
          <w:p w14:paraId="4CE32850">
            <w:pPr>
              <w:keepNext w:val="0"/>
              <w:keepLines w:val="0"/>
              <w:widowControl/>
              <w:suppressLineNumbers w:val="0"/>
              <w:jc w:val="both"/>
              <w:rPr>
                <w:rFonts w:hint="default" w:ascii="Times New Roman" w:hAnsi="Times New Roman" w:cs="Times New Roman"/>
                <w:sz w:val="24"/>
                <w:szCs w:val="24"/>
                <w:vertAlign w:val="baseline"/>
              </w:rPr>
            </w:pPr>
            <w:r>
              <w:rPr>
                <w:rFonts w:hint="default" w:ascii="Times New Roman" w:hAnsi="Times New Roman" w:eastAsia="SimSun" w:cs="Times New Roman"/>
                <w:kern w:val="0"/>
                <w:sz w:val="24"/>
                <w:szCs w:val="24"/>
                <w:lang w:val="en-US" w:eastAsia="zh-CN" w:bidi="ar"/>
              </w:rPr>
              <w:t>Ițari în stil tradițional românesc, destinați utilizării în activități culturale și artistice. Material rezistent, croială adecvată și libertate de mișcare. Cusături și finisaje corespunzătoare. Dimensiuni conform măsurătorilor beneficiarilor.</w:t>
            </w:r>
          </w:p>
        </w:tc>
      </w:tr>
    </w:tbl>
    <w:p w14:paraId="3C622667">
      <w:pPr>
        <w:pStyle w:val="2"/>
        <w:keepNext w:val="0"/>
        <w:keepLines w:val="0"/>
        <w:widowControl/>
        <w:suppressLineNumbers w:val="0"/>
        <w:jc w:val="left"/>
        <w:rPr>
          <w:rFonts w:hint="default" w:ascii="Times New Roman" w:hAnsi="Times New Roman" w:cs="Times New Roman"/>
          <w:sz w:val="24"/>
          <w:szCs w:val="24"/>
        </w:rPr>
      </w:pPr>
      <w:r>
        <w:rPr>
          <w:rFonts w:hint="default" w:ascii="Times New Roman" w:hAnsi="Times New Roman" w:eastAsia="SimSun" w:cs="Times New Roman"/>
          <w:sz w:val="24"/>
          <w:szCs w:val="24"/>
        </w:rPr>
        <w:t>Cerințe minime privind țesătura utilizată la confecționarea cămășilor/iei tradiționale</w:t>
      </w:r>
    </w:p>
    <w:tbl>
      <w:tblPr>
        <w:tblStyle w:val="9"/>
        <w:tblW w:w="9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884"/>
        <w:gridCol w:w="6546"/>
      </w:tblGrid>
      <w:tr w14:paraId="3C96E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24" w:type="dxa"/>
            <w:vAlign w:val="center"/>
          </w:tcPr>
          <w:p w14:paraId="5EBE9174">
            <w:pPr>
              <w:keepNext w:val="0"/>
              <w:keepLines w:val="0"/>
              <w:widowControl/>
              <w:suppressLineNumbers w:val="0"/>
              <w:jc w:val="left"/>
              <w:rPr>
                <w:rFonts w:hint="default"/>
                <w:vertAlign w:val="baseline"/>
              </w:rPr>
            </w:pPr>
            <w:r>
              <w:rPr>
                <w:rFonts w:hint="default" w:ascii="Times New Roman" w:hAnsi="Times New Roman" w:eastAsia="SimSun" w:cs="Times New Roman"/>
                <w:b/>
                <w:bCs/>
                <w:kern w:val="0"/>
                <w:sz w:val="24"/>
                <w:szCs w:val="24"/>
                <w:lang w:val="en-US" w:eastAsia="zh-CN" w:bidi="ar"/>
              </w:rPr>
              <w:t>Nr.</w:t>
            </w:r>
          </w:p>
        </w:tc>
        <w:tc>
          <w:tcPr>
            <w:tcW w:w="1884" w:type="dxa"/>
            <w:vAlign w:val="center"/>
          </w:tcPr>
          <w:p w14:paraId="10069191">
            <w:pPr>
              <w:keepNext w:val="0"/>
              <w:keepLines w:val="0"/>
              <w:widowControl/>
              <w:suppressLineNumbers w:val="0"/>
              <w:jc w:val="left"/>
              <w:rPr>
                <w:rFonts w:hint="default"/>
                <w:vertAlign w:val="baseline"/>
              </w:rPr>
            </w:pPr>
            <w:r>
              <w:rPr>
                <w:rFonts w:hint="default" w:ascii="Times New Roman" w:hAnsi="Times New Roman" w:eastAsia="SimSun" w:cs="Times New Roman"/>
                <w:b/>
                <w:bCs/>
                <w:kern w:val="0"/>
                <w:sz w:val="24"/>
                <w:szCs w:val="24"/>
                <w:lang w:val="en-US" w:eastAsia="zh-CN" w:bidi="ar"/>
              </w:rPr>
              <w:t>Caracteristica solicitată</w:t>
            </w:r>
          </w:p>
        </w:tc>
        <w:tc>
          <w:tcPr>
            <w:tcW w:w="6546" w:type="dxa"/>
            <w:vAlign w:val="center"/>
          </w:tcPr>
          <w:p w14:paraId="3FA22222">
            <w:pPr>
              <w:keepNext w:val="0"/>
              <w:keepLines w:val="0"/>
              <w:widowControl/>
              <w:suppressLineNumbers w:val="0"/>
              <w:jc w:val="left"/>
              <w:rPr>
                <w:rFonts w:hint="default"/>
                <w:vertAlign w:val="baseline"/>
              </w:rPr>
            </w:pPr>
            <w:r>
              <w:rPr>
                <w:rFonts w:hint="default" w:ascii="Times New Roman" w:hAnsi="Times New Roman" w:eastAsia="SimSun" w:cs="Times New Roman"/>
                <w:b/>
                <w:bCs/>
                <w:kern w:val="0"/>
                <w:sz w:val="24"/>
                <w:szCs w:val="24"/>
                <w:lang w:val="en-US" w:eastAsia="zh-CN" w:bidi="ar"/>
              </w:rPr>
              <w:t>Cerința minimă obligatorie</w:t>
            </w:r>
          </w:p>
        </w:tc>
      </w:tr>
      <w:tr w14:paraId="44E0A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24" w:type="dxa"/>
            <w:vAlign w:val="center"/>
          </w:tcPr>
          <w:p w14:paraId="23875C05">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1</w:t>
            </w:r>
          </w:p>
        </w:tc>
        <w:tc>
          <w:tcPr>
            <w:tcW w:w="1884" w:type="dxa"/>
            <w:vAlign w:val="center"/>
          </w:tcPr>
          <w:p w14:paraId="1514D9B0">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Destinație</w:t>
            </w:r>
          </w:p>
        </w:tc>
        <w:tc>
          <w:tcPr>
            <w:tcW w:w="6546" w:type="dxa"/>
            <w:vAlign w:val="center"/>
          </w:tcPr>
          <w:p w14:paraId="5ABA8DF6">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Țesătură destinată confecționării cămășilor/iei tradiționale pentru costume populare</w:t>
            </w:r>
          </w:p>
        </w:tc>
      </w:tr>
      <w:tr w14:paraId="345C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7672094D">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2</w:t>
            </w:r>
          </w:p>
        </w:tc>
        <w:tc>
          <w:tcPr>
            <w:tcW w:w="1884" w:type="dxa"/>
            <w:vAlign w:val="center"/>
          </w:tcPr>
          <w:p w14:paraId="4493EFFF">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Stare</w:t>
            </w:r>
          </w:p>
        </w:tc>
        <w:tc>
          <w:tcPr>
            <w:tcW w:w="6546" w:type="dxa"/>
            <w:vAlign w:val="center"/>
          </w:tcPr>
          <w:p w14:paraId="60C05CD5">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Material nou, neutilizat, fără defecte de fabricație</w:t>
            </w:r>
          </w:p>
        </w:tc>
      </w:tr>
      <w:tr w14:paraId="14B19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53341F17">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3</w:t>
            </w:r>
          </w:p>
        </w:tc>
        <w:tc>
          <w:tcPr>
            <w:tcW w:w="1884" w:type="dxa"/>
            <w:vAlign w:val="center"/>
          </w:tcPr>
          <w:p w14:paraId="5E4E5FB9">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Compoziție</w:t>
            </w:r>
          </w:p>
        </w:tc>
        <w:tc>
          <w:tcPr>
            <w:tcW w:w="6546" w:type="dxa"/>
            <w:vAlign w:val="center"/>
          </w:tcPr>
          <w:p w14:paraId="24F03E71">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100% bumbac sau material cu minimum 80% fibre naturale, adecvat pentru articole vestimentare</w:t>
            </w:r>
          </w:p>
        </w:tc>
      </w:tr>
      <w:tr w14:paraId="49758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5E88A847">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4</w:t>
            </w:r>
          </w:p>
        </w:tc>
        <w:tc>
          <w:tcPr>
            <w:tcW w:w="1884" w:type="dxa"/>
            <w:vAlign w:val="center"/>
          </w:tcPr>
          <w:p w14:paraId="5BD67DCC">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Culoare</w:t>
            </w:r>
          </w:p>
        </w:tc>
        <w:tc>
          <w:tcPr>
            <w:tcW w:w="6546" w:type="dxa"/>
            <w:vAlign w:val="center"/>
          </w:tcPr>
          <w:p w14:paraId="1FDB07FF">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Alb sau alb natural, uniform pe întreaga suprafață</w:t>
            </w:r>
          </w:p>
        </w:tc>
      </w:tr>
      <w:tr w14:paraId="452D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30518106">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5</w:t>
            </w:r>
          </w:p>
        </w:tc>
        <w:tc>
          <w:tcPr>
            <w:tcW w:w="1884" w:type="dxa"/>
            <w:vAlign w:val="center"/>
          </w:tcPr>
          <w:p w14:paraId="7026D270">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Aspect</w:t>
            </w:r>
          </w:p>
        </w:tc>
        <w:tc>
          <w:tcPr>
            <w:tcW w:w="6546" w:type="dxa"/>
            <w:vAlign w:val="center"/>
          </w:tcPr>
          <w:p w14:paraId="4301EADA">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Uniform, curat, fără pete, găuri, rupturi, decolorări, fire desprinse sau alte defecte vizibile</w:t>
            </w:r>
          </w:p>
        </w:tc>
      </w:tr>
      <w:tr w14:paraId="5EA1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1BA79F91">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6</w:t>
            </w:r>
          </w:p>
        </w:tc>
        <w:tc>
          <w:tcPr>
            <w:tcW w:w="1884" w:type="dxa"/>
            <w:vAlign w:val="center"/>
          </w:tcPr>
          <w:p w14:paraId="05AD1073">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Structură</w:t>
            </w:r>
          </w:p>
        </w:tc>
        <w:tc>
          <w:tcPr>
            <w:tcW w:w="6546" w:type="dxa"/>
            <w:vAlign w:val="center"/>
          </w:tcPr>
          <w:p w14:paraId="28CBC49A">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Țesătură uniformă și compactă, corespunzătoare confecționării articolelor vestimentare</w:t>
            </w:r>
          </w:p>
        </w:tc>
      </w:tr>
      <w:tr w14:paraId="54EE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13097275">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7</w:t>
            </w:r>
          </w:p>
        </w:tc>
        <w:tc>
          <w:tcPr>
            <w:tcW w:w="1884" w:type="dxa"/>
            <w:vAlign w:val="center"/>
          </w:tcPr>
          <w:p w14:paraId="6EB74782">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Densitate</w:t>
            </w:r>
          </w:p>
        </w:tc>
        <w:tc>
          <w:tcPr>
            <w:tcW w:w="6546" w:type="dxa"/>
            <w:vAlign w:val="center"/>
          </w:tcPr>
          <w:p w14:paraId="459A9533">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 xml:space="preserve"> 100–150 g/m²</w:t>
            </w:r>
          </w:p>
        </w:tc>
      </w:tr>
      <w:tr w14:paraId="3349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4DDA1E38">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8</w:t>
            </w:r>
          </w:p>
        </w:tc>
        <w:tc>
          <w:tcPr>
            <w:tcW w:w="1884" w:type="dxa"/>
            <w:vAlign w:val="center"/>
          </w:tcPr>
          <w:p w14:paraId="76415883">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Lățime</w:t>
            </w:r>
          </w:p>
        </w:tc>
        <w:tc>
          <w:tcPr>
            <w:tcW w:w="6546" w:type="dxa"/>
            <w:vAlign w:val="center"/>
          </w:tcPr>
          <w:p w14:paraId="3D3DA347">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Minimum 140 cm</w:t>
            </w:r>
          </w:p>
        </w:tc>
      </w:tr>
      <w:tr w14:paraId="6091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2C106EB4">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9</w:t>
            </w:r>
          </w:p>
        </w:tc>
        <w:tc>
          <w:tcPr>
            <w:tcW w:w="1884" w:type="dxa"/>
            <w:vAlign w:val="center"/>
          </w:tcPr>
          <w:p w14:paraId="5AF03B09">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Textură</w:t>
            </w:r>
          </w:p>
        </w:tc>
        <w:tc>
          <w:tcPr>
            <w:tcW w:w="6546" w:type="dxa"/>
            <w:vAlign w:val="center"/>
          </w:tcPr>
          <w:p w14:paraId="00B304DD">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Plăcută la atingere, confortabilă pentru purtare și adecvată utilizării ca material pentru cămăși/ii</w:t>
            </w:r>
          </w:p>
        </w:tc>
      </w:tr>
      <w:tr w14:paraId="03106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289915E9">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10</w:t>
            </w:r>
          </w:p>
        </w:tc>
        <w:tc>
          <w:tcPr>
            <w:tcW w:w="1884" w:type="dxa"/>
            <w:vAlign w:val="center"/>
          </w:tcPr>
          <w:p w14:paraId="6152A6AE">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Rezistență</w:t>
            </w:r>
          </w:p>
        </w:tc>
        <w:tc>
          <w:tcPr>
            <w:tcW w:w="6546" w:type="dxa"/>
            <w:vAlign w:val="center"/>
          </w:tcPr>
          <w:p w14:paraId="3028B940">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Rezistentă la cusut, utilizare repetată, spălare și călcare, în condițiile normale de întreținere</w:t>
            </w:r>
          </w:p>
        </w:tc>
      </w:tr>
      <w:tr w14:paraId="4727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6AF165A7">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11</w:t>
            </w:r>
          </w:p>
        </w:tc>
        <w:tc>
          <w:tcPr>
            <w:tcW w:w="1884" w:type="dxa"/>
            <w:vAlign w:val="center"/>
          </w:tcPr>
          <w:p w14:paraId="60C8A058">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Stabilitate dimensională</w:t>
            </w:r>
          </w:p>
        </w:tc>
        <w:tc>
          <w:tcPr>
            <w:tcW w:w="6546" w:type="dxa"/>
            <w:vAlign w:val="center"/>
          </w:tcPr>
          <w:p w14:paraId="5D4CABC2">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Contracție redusă după spălare; maximum 5%, conform condițiilor de întreținere indicate de producător</w:t>
            </w:r>
          </w:p>
        </w:tc>
      </w:tr>
      <w:tr w14:paraId="14AC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758660DB">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12</w:t>
            </w:r>
          </w:p>
        </w:tc>
        <w:tc>
          <w:tcPr>
            <w:tcW w:w="1884" w:type="dxa"/>
            <w:vAlign w:val="center"/>
          </w:tcPr>
          <w:p w14:paraId="4EB76DBB">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Finisare</w:t>
            </w:r>
          </w:p>
        </w:tc>
        <w:tc>
          <w:tcPr>
            <w:tcW w:w="6546" w:type="dxa"/>
            <w:vAlign w:val="center"/>
          </w:tcPr>
          <w:p w14:paraId="7D45B8A4">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Material finisat corespunzător, fără tratamente sau defecte care afectează aspectul, confortul ori utilizarea</w:t>
            </w:r>
          </w:p>
        </w:tc>
      </w:tr>
      <w:tr w14:paraId="02A3D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23AA6E85">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13</w:t>
            </w:r>
          </w:p>
        </w:tc>
        <w:tc>
          <w:tcPr>
            <w:tcW w:w="1884" w:type="dxa"/>
            <w:vAlign w:val="center"/>
          </w:tcPr>
          <w:p w14:paraId="5501BDB1">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Întreținere</w:t>
            </w:r>
          </w:p>
        </w:tc>
        <w:tc>
          <w:tcPr>
            <w:tcW w:w="6546" w:type="dxa"/>
            <w:vAlign w:val="center"/>
          </w:tcPr>
          <w:p w14:paraId="4A8F61B7">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Materialul trebuie să permită spălarea și călcarea în condiții normale, conform instrucțiunilor producătorului</w:t>
            </w:r>
          </w:p>
        </w:tc>
      </w:tr>
      <w:tr w14:paraId="703AD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Align w:val="center"/>
          </w:tcPr>
          <w:p w14:paraId="3D171E8F">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14</w:t>
            </w:r>
          </w:p>
        </w:tc>
        <w:tc>
          <w:tcPr>
            <w:tcW w:w="1884" w:type="dxa"/>
            <w:vAlign w:val="center"/>
          </w:tcPr>
          <w:p w14:paraId="1D2AD026">
            <w:pPr>
              <w:keepNext w:val="0"/>
              <w:keepLines w:val="0"/>
              <w:widowControl/>
              <w:suppressLineNumbers w:val="0"/>
              <w:jc w:val="left"/>
              <w:rPr>
                <w:rFonts w:hint="default"/>
                <w:vertAlign w:val="baseline"/>
              </w:rPr>
            </w:pPr>
            <w:r>
              <w:rPr>
                <w:rFonts w:hint="default" w:ascii="Times New Roman" w:hAnsi="Times New Roman" w:eastAsia="SimSun" w:cs="Times New Roman"/>
                <w:kern w:val="0"/>
                <w:sz w:val="24"/>
                <w:szCs w:val="24"/>
                <w:lang w:val="en-US" w:eastAsia="zh-CN" w:bidi="ar"/>
              </w:rPr>
              <w:t>Miros</w:t>
            </w:r>
          </w:p>
        </w:tc>
        <w:tc>
          <w:tcPr>
            <w:tcW w:w="6546" w:type="dxa"/>
            <w:vAlign w:val="center"/>
          </w:tcPr>
          <w:p w14:paraId="0346562B">
            <w:pPr>
              <w:keepNext w:val="0"/>
              <w:keepLines w:val="0"/>
              <w:widowControl/>
              <w:suppressLineNumbers w:val="0"/>
              <w:jc w:val="both"/>
              <w:rPr>
                <w:rFonts w:hint="default"/>
                <w:vertAlign w:val="baseline"/>
              </w:rPr>
            </w:pPr>
            <w:r>
              <w:rPr>
                <w:rFonts w:hint="default" w:ascii="Times New Roman" w:hAnsi="Times New Roman" w:eastAsia="SimSun" w:cs="Times New Roman"/>
                <w:kern w:val="0"/>
                <w:sz w:val="24"/>
                <w:szCs w:val="24"/>
                <w:lang w:val="en-US" w:eastAsia="zh-CN" w:bidi="ar"/>
              </w:rPr>
              <w:t>Fără miros chimic persistent sau neplăcut</w:t>
            </w:r>
          </w:p>
        </w:tc>
      </w:tr>
    </w:tbl>
    <w:p w14:paraId="73015979">
      <w:pPr>
        <w:jc w:val="left"/>
        <w:rPr>
          <w:rFonts w:hint="default"/>
        </w:rPr>
      </w:pPr>
    </w:p>
    <w:p w14:paraId="16CED457">
      <w:pPr>
        <w:pStyle w:val="7"/>
        <w:keepNext w:val="0"/>
        <w:keepLines w:val="0"/>
        <w:widowControl/>
        <w:suppressLineNumbers w:val="0"/>
        <w:jc w:val="left"/>
        <w:rPr>
          <w:rFonts w:hint="default" w:ascii="Times New Roman" w:hAnsi="Times New Roman" w:cs="Times New Roman"/>
          <w:sz w:val="24"/>
          <w:szCs w:val="24"/>
        </w:rPr>
      </w:pPr>
      <w:r>
        <w:rPr>
          <w:rStyle w:val="8"/>
          <w:rFonts w:hint="default" w:ascii="Times New Roman" w:hAnsi="Times New Roman" w:cs="Times New Roman"/>
          <w:sz w:val="24"/>
          <w:szCs w:val="24"/>
        </w:rPr>
        <w:t>Cerințe calitative suplimentare</w:t>
      </w:r>
    </w:p>
    <w:p w14:paraId="729ACAC9">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Țesătura trebuie să fie corespunzătoare din punct de vedere calitativ și să permită realizarea unor cămăși/ii care respectă stilul tradițional românesc și elementele caracteristice portului popular din zona de Nord a Basarabiei.</w:t>
      </w:r>
    </w:p>
    <w:p w14:paraId="5CD12FD9">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Materialul trebuie să permită aplicarea elementelor decorative specifice, inclusiv broderii, motive tradiționale și alte ornamente prevăzute în modelul solicitat, fără deteriorarea țesăturii.</w:t>
      </w:r>
    </w:p>
    <w:p w14:paraId="7D63A6B8">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Nu se acceptă materiale care prezintă defecte vizibile sau care, prin caracteristicile lor, afectează aspectul, rezistența, confortul ori utilizarea produsului finit.</w:t>
      </w:r>
    </w:p>
    <w:p w14:paraId="7F986BFD">
      <w:pPr>
        <w:pStyle w:val="7"/>
        <w:keepNext w:val="0"/>
        <w:keepLines w:val="0"/>
        <w:widowControl/>
        <w:suppressLineNumbers w:val="0"/>
        <w:jc w:val="both"/>
        <w:rPr>
          <w:rFonts w:hint="default" w:ascii="Times New Roman" w:hAnsi="Times New Roman" w:cs="Times New Roman"/>
          <w:sz w:val="24"/>
          <w:szCs w:val="24"/>
        </w:rPr>
      </w:pPr>
      <w:r>
        <w:rPr>
          <w:rStyle w:val="8"/>
          <w:rFonts w:hint="default" w:ascii="Times New Roman" w:hAnsi="Times New Roman" w:cs="Times New Roman"/>
          <w:sz w:val="24"/>
          <w:szCs w:val="24"/>
        </w:rPr>
        <w:t>Mostre</w:t>
      </w:r>
    </w:p>
    <w:p w14:paraId="64147058">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Mostrele se solicită la depunerea ofertelor.</w:t>
      </w:r>
    </w:p>
    <w:p w14:paraId="3BEDA41C">
      <w:pPr>
        <w:pStyle w:val="2"/>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Cerințe generale pentru toate costumele</w:t>
      </w:r>
    </w:p>
    <w:p w14:paraId="3D200006">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Toate produsele ofertate trebuie să îndeplinească cumulativ următoarele cerințe:</w:t>
      </w:r>
    </w:p>
    <w:p w14:paraId="1CC0A5C4">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Să fie noi și neutilizate. </w:t>
      </w:r>
    </w:p>
    <w:p w14:paraId="2DAE67CE">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Să fie realizate în stil tradițional românesc și să respecte elementele caracteristice portului popular din zona de Nord a Basarabiei. </w:t>
      </w:r>
    </w:p>
    <w:p w14:paraId="4A1FAB1F">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Materialele utilizate trebuie să fie de calitate corespunzătoare, rezistente la utilizare repetată în spectacole, festivaluri, concursuri și alte activități culturale. </w:t>
      </w:r>
    </w:p>
    <w:p w14:paraId="371DBEF8">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Croiala trebuie să permită libertatea de mișcare necesară activităților artistice și dansurilor populare. </w:t>
      </w:r>
    </w:p>
    <w:p w14:paraId="44E65056">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Cusăturile trebuie să fie uniforme, rezistente și executate corespunzător, fără defecte vizibile. </w:t>
      </w:r>
    </w:p>
    <w:p w14:paraId="26D5BFF7">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Elementele decorative trebuie să fie bine fixate și executate corespunzător. </w:t>
      </w:r>
    </w:p>
    <w:p w14:paraId="4E4BC81E">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Produsele nu trebuie să prezinte pete, rupturi, defecte de croială, deteriorări, fire desprinse sau alte neconformități care afectează aspectul, calitatea sau utilizarea. </w:t>
      </w:r>
    </w:p>
    <w:p w14:paraId="379C0FBC">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Componentele fiecărui costum trebuie să fie armonizate din punct de vedere al modelului, materialului, culorii și aspectului general. </w:t>
      </w:r>
    </w:p>
    <w:p w14:paraId="2628D077">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Dimensiunile produselor vor fi stabilite conform măsurătorilor beneficiarilor. Măsurătorile individuale vor fi efectuate de furnizor, în coordonare cu autoritatea contractantă, sau vor fi transmise furnizorului de către autoritatea contractantă înainte de începerea confecționării. </w:t>
      </w:r>
    </w:p>
    <w:p w14:paraId="7EC182B8">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Furnizorul va asigura ajustarea produselor conform măsurătorilor comunicate de autoritatea contractantă. </w:t>
      </w:r>
    </w:p>
    <w:p w14:paraId="3B25AD86">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Produsele trebuie să fie livrate într-o stare corespunzătoare utilizării imediate. </w:t>
      </w:r>
    </w:p>
    <w:p w14:paraId="623F0A25">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Furnizorul va asigura ambalarea, transportarea și livrarea produselor până la sediul Primăriei satului Domulgeni. </w:t>
      </w:r>
    </w:p>
    <w:p w14:paraId="611336DE">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În cazul constatării unor produse neconforme, furnizorul va avea obligația de a le înlocui pe cheltuiala proprie, în condițiile stabilite în contract. </w:t>
      </w:r>
    </w:p>
    <w:p w14:paraId="029063C8">
      <w:pPr>
        <w:keepNext w:val="0"/>
        <w:keepLines w:val="0"/>
        <w:widowControl/>
        <w:numPr>
          <w:ilvl w:val="0"/>
          <w:numId w:val="2"/>
        </w:numPr>
        <w:suppressLineNumbers w:val="0"/>
        <w:spacing w:before="0" w:beforeAutospacing="1" w:after="0" w:afterAutospacing="1"/>
        <w:ind w:left="720" w:hanging="360"/>
        <w:jc w:val="both"/>
        <w:rPr>
          <w:rFonts w:hint="default" w:ascii="Times New Roman" w:hAnsi="Times New Roman" w:cs="Times New Roman"/>
          <w:sz w:val="24"/>
          <w:szCs w:val="24"/>
        </w:rPr>
      </w:pPr>
      <w:r>
        <w:rPr>
          <w:rStyle w:val="8"/>
          <w:rFonts w:hint="default" w:ascii="Times New Roman" w:hAnsi="Times New Roman" w:eastAsia="SimSun" w:cs="Times New Roman"/>
          <w:sz w:val="24"/>
          <w:szCs w:val="24"/>
        </w:rPr>
        <w:t>Termenul de livrare:</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ro-RO"/>
        </w:rPr>
        <w:t>45</w:t>
      </w:r>
      <w:r>
        <w:rPr>
          <w:rFonts w:hint="default" w:ascii="Times New Roman" w:hAnsi="Times New Roman" w:eastAsia="SimSun" w:cs="Times New Roman"/>
          <w:sz w:val="24"/>
          <w:szCs w:val="24"/>
        </w:rPr>
        <w:t xml:space="preserve"> de zile calendaristice de la data încheierii contractului.</w:t>
      </w:r>
    </w:p>
    <w:p w14:paraId="5DDB2DA3">
      <w:pPr>
        <w:pStyle w:val="2"/>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Materiale și reglementări tehnice</w:t>
      </w:r>
    </w:p>
    <w:p w14:paraId="345B278C">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Materialele textile utilizate la confecționarea costumelor trebuie să fie adecvate destinației produselor, rezistente la utilizare repetată, confortabile și să permită întreținerea corespunzătoare a acestora.</w:t>
      </w:r>
    </w:p>
    <w:p w14:paraId="58F53194">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Ofertantul va indica în oferta tehnică tipul, compoziția și caracteristicile principale ale materialelor utilizate pentru fiecare categorie de produs.</w:t>
      </w:r>
    </w:p>
    <w:p w14:paraId="0309651E">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Materialele și produsele finite trebuie să respecte cerințele obligatorii prevăzute de legislația Republicii Moldova aplicabilă produselor textile și bunurilor de consum.</w:t>
      </w:r>
    </w:p>
    <w:p w14:paraId="3BD1C543">
      <w:pPr>
        <w:pStyle w:val="2"/>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Prețul</w:t>
      </w:r>
    </w:p>
    <w:p w14:paraId="09A005AB">
      <w:pPr>
        <w:pStyle w:val="7"/>
        <w:keepNext w:val="0"/>
        <w:keepLines w:val="0"/>
        <w:widowControl/>
        <w:suppressLineNumbers w:val="0"/>
        <w:jc w:val="both"/>
        <w:rPr>
          <w:rFonts w:hint="default" w:ascii="Times New Roman" w:hAnsi="Times New Roman" w:eastAsia="SimSun" w:cs="Times New Roman"/>
          <w:sz w:val="24"/>
          <w:szCs w:val="24"/>
        </w:rPr>
      </w:pPr>
      <w:r>
        <w:rPr>
          <w:rFonts w:hint="default" w:ascii="Times New Roman" w:hAnsi="Times New Roman" w:cs="Times New Roman"/>
          <w:sz w:val="24"/>
          <w:szCs w:val="24"/>
        </w:rPr>
        <w:t>Oferta financiară va fi prezentată distinct pentru fiecare dintre cele 16 piese/componente prevăzute în prezentul caiet de sarcini.</w:t>
      </w:r>
      <w:r>
        <w:rPr>
          <w:rFonts w:hint="default" w:cs="Times New Roman"/>
          <w:sz w:val="24"/>
          <w:szCs w:val="24"/>
          <w:lang w:val="ro-RO"/>
        </w:rPr>
        <w:t xml:space="preserve"> </w:t>
      </w:r>
      <w:r>
        <w:rPr>
          <w:rFonts w:hint="default" w:ascii="Times New Roman" w:hAnsi="Times New Roman" w:eastAsia="SimSun" w:cs="Times New Roman"/>
          <w:sz w:val="24"/>
          <w:szCs w:val="24"/>
        </w:rPr>
        <w:t>Nu se acceptă oferte parțiale pentru una sau mai multe poziții.</w:t>
      </w:r>
    </w:p>
    <w:p w14:paraId="33CB7DCC">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Pentru fiecare poziție, ofertantul va indica:</w:t>
      </w:r>
    </w:p>
    <w:p w14:paraId="0C102F81">
      <w:pPr>
        <w:keepNext w:val="0"/>
        <w:keepLines w:val="0"/>
        <w:widowControl/>
        <w:numPr>
          <w:ilvl w:val="0"/>
          <w:numId w:val="3"/>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denumirea bunului; </w:t>
      </w:r>
    </w:p>
    <w:p w14:paraId="61575F75">
      <w:pPr>
        <w:keepNext w:val="0"/>
        <w:keepLines w:val="0"/>
        <w:widowControl/>
        <w:numPr>
          <w:ilvl w:val="0"/>
          <w:numId w:val="3"/>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unitatea de măsură; </w:t>
      </w:r>
    </w:p>
    <w:p w14:paraId="61178BB9">
      <w:pPr>
        <w:keepNext w:val="0"/>
        <w:keepLines w:val="0"/>
        <w:widowControl/>
        <w:numPr>
          <w:ilvl w:val="0"/>
          <w:numId w:val="3"/>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cantitatea; </w:t>
      </w:r>
    </w:p>
    <w:p w14:paraId="47384EA7">
      <w:pPr>
        <w:keepNext w:val="0"/>
        <w:keepLines w:val="0"/>
        <w:widowControl/>
        <w:numPr>
          <w:ilvl w:val="0"/>
          <w:numId w:val="3"/>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prețul unitar; </w:t>
      </w:r>
    </w:p>
    <w:p w14:paraId="41540E3B">
      <w:pPr>
        <w:keepNext w:val="0"/>
        <w:keepLines w:val="0"/>
        <w:widowControl/>
        <w:numPr>
          <w:ilvl w:val="0"/>
          <w:numId w:val="3"/>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valoarea totală aferentă poziției. </w:t>
      </w:r>
    </w:p>
    <w:p w14:paraId="19EB6826">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Prețul unitar va reprezenta prețul pentru o unitate de produs și va include toate cheltuielile aferente confecționării și livrării produsului, inclusiv costul materialelor, manopera, finisarea, ornamentarea, ajustarea conform măsurătorilor beneficiarilor, ambalarea, încărcarea, transportarea și livrarea la sediul Primăriei satului Domulgeni, precum și taxele și impozitele aplicabile, după caz.</w:t>
      </w:r>
    </w:p>
    <w:p w14:paraId="439FD772">
      <w:pPr>
        <w:pStyle w:val="7"/>
        <w:keepNext w:val="0"/>
        <w:keepLines w:val="0"/>
        <w:widowControl/>
        <w:suppressLineNumbers w:val="0"/>
        <w:jc w:val="both"/>
        <w:rPr>
          <w:rFonts w:hint="default" w:ascii="Times New Roman" w:hAnsi="Times New Roman" w:cs="Times New Roman"/>
          <w:sz w:val="24"/>
          <w:szCs w:val="24"/>
        </w:rPr>
      </w:pPr>
      <w:r>
        <w:rPr>
          <w:rStyle w:val="8"/>
          <w:rFonts w:hint="default" w:ascii="Times New Roman" w:hAnsi="Times New Roman" w:cs="Times New Roman"/>
          <w:sz w:val="24"/>
          <w:szCs w:val="24"/>
        </w:rPr>
        <w:t>Ofertantul este obligat să prezinte oferta pentru toate cele 16 poziții prevăzute în prezentul caiet de sarcini. Nu se acceptă oferte parțiale pentru anumite poziții.</w:t>
      </w:r>
    </w:p>
    <w:p w14:paraId="59F372EB">
      <w:pPr>
        <w:pStyle w:val="7"/>
        <w:keepNext w:val="0"/>
        <w:keepLines w:val="0"/>
        <w:widowControl/>
        <w:suppressLineNumbers w:val="0"/>
        <w:jc w:val="both"/>
        <w:rPr>
          <w:rStyle w:val="8"/>
          <w:rFonts w:hint="default" w:ascii="Times New Roman" w:hAnsi="Times New Roman" w:cs="Times New Roman"/>
          <w:sz w:val="24"/>
          <w:szCs w:val="24"/>
        </w:rPr>
      </w:pPr>
      <w:r>
        <w:rPr>
          <w:rStyle w:val="8"/>
          <w:rFonts w:hint="default" w:ascii="Times New Roman" w:hAnsi="Times New Roman" w:cs="Times New Roman"/>
          <w:sz w:val="24"/>
          <w:szCs w:val="24"/>
        </w:rPr>
        <w:t>Valoarea totală a ofertei va constitui suma valorilor totale aferente tuturor celor 16 poziții.</w:t>
      </w:r>
    </w:p>
    <w:p w14:paraId="708E6281">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Evaluarea financiară se va efectua în baza valorii totale a ofertei, cu condiția respectării integrale a cerințelor tehnice, cantitative și calitative prevăzute în caietul de sarcini și a cerințelor de calificare stabilite în documentația de atribuire.</w:t>
      </w:r>
    </w:p>
    <w:p w14:paraId="1408BD9A">
      <w:pPr>
        <w:pStyle w:val="2"/>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Documente obligatorii la depunerea ofertei</w:t>
      </w:r>
    </w:p>
    <w:p w14:paraId="44EC7C12">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Operatorul economic va prezenta prin intermediul SIA RSAP (MTender), în termenul stabilit în anunțul de participare:</w:t>
      </w:r>
    </w:p>
    <w:p w14:paraId="4FCBA255">
      <w:pPr>
        <w:keepNext w:val="0"/>
        <w:keepLines w:val="0"/>
        <w:widowControl/>
        <w:numPr>
          <w:ilvl w:val="0"/>
          <w:numId w:val="4"/>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Cererea de participare; </w:t>
      </w:r>
    </w:p>
    <w:p w14:paraId="16838EB5">
      <w:pPr>
        <w:keepNext w:val="0"/>
        <w:keepLines w:val="0"/>
        <w:widowControl/>
        <w:numPr>
          <w:ilvl w:val="0"/>
          <w:numId w:val="4"/>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DUAE, completat și semnat electronic; </w:t>
      </w:r>
    </w:p>
    <w:p w14:paraId="255795AD">
      <w:pPr>
        <w:keepNext w:val="0"/>
        <w:keepLines w:val="0"/>
        <w:widowControl/>
        <w:numPr>
          <w:ilvl w:val="0"/>
          <w:numId w:val="4"/>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Specificația tehnică; </w:t>
      </w:r>
    </w:p>
    <w:p w14:paraId="2316CDB3">
      <w:pPr>
        <w:keepNext w:val="0"/>
        <w:keepLines w:val="0"/>
        <w:widowControl/>
        <w:numPr>
          <w:ilvl w:val="0"/>
          <w:numId w:val="4"/>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Specificația de preț/oferta financiară; </w:t>
      </w:r>
    </w:p>
    <w:p w14:paraId="2CA35A52">
      <w:pPr>
        <w:keepNext w:val="0"/>
        <w:keepLines w:val="0"/>
        <w:widowControl/>
        <w:numPr>
          <w:ilvl w:val="0"/>
          <w:numId w:val="4"/>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Declarațiile și formularele solicitate prin documentația standard și anunțul de participare; </w:t>
      </w:r>
    </w:p>
    <w:p w14:paraId="05553D1A">
      <w:pPr>
        <w:keepNext w:val="0"/>
        <w:keepLines w:val="0"/>
        <w:widowControl/>
        <w:numPr>
          <w:ilvl w:val="0"/>
          <w:numId w:val="4"/>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Garanția pentru ofertă – nu se solicită. </w:t>
      </w:r>
    </w:p>
    <w:p w14:paraId="493BEDC4">
      <w:pPr>
        <w:keepNext w:val="0"/>
        <w:keepLines w:val="0"/>
        <w:widowControl/>
        <w:numPr>
          <w:ilvl w:val="0"/>
          <w:numId w:val="4"/>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SimSun" w:cs="Times New Roman"/>
          <w:sz w:val="24"/>
          <w:szCs w:val="24"/>
        </w:rPr>
        <w:t>Declarația privind valabilitatea ofertei – pentru o perioadă de 60 de zile, conform Anexei nr. 8 la documentația standard.</w:t>
      </w:r>
    </w:p>
    <w:p w14:paraId="09A42DE1">
      <w:pPr>
        <w:keepNext w:val="0"/>
        <w:keepLines w:val="0"/>
        <w:widowControl/>
        <w:numPr>
          <w:ilvl w:val="0"/>
          <w:numId w:val="4"/>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eastAsia="SimSun" w:cs="Times New Roman"/>
          <w:sz w:val="24"/>
          <w:szCs w:val="24"/>
        </w:rPr>
        <w:t>Garanția de bună execuție a contractului – nu se solicită.</w:t>
      </w:r>
    </w:p>
    <w:p w14:paraId="57898601">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Oferta tehnică trebuie să permită identificarea clară a caracteristicilor produselor ofertate și verificarea conformității acestora cu cerințele caietului de sarcini.</w:t>
      </w:r>
    </w:p>
    <w:p w14:paraId="2C920E10">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Toate documentele depuse prin SIA RSAP vor fi semnate electronic conform legislației în vigoare și cerințelor platformei.</w:t>
      </w:r>
    </w:p>
    <w:p w14:paraId="1B082076">
      <w:pPr>
        <w:pStyle w:val="2"/>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Evaluarea conformității</w:t>
      </w:r>
    </w:p>
    <w:p w14:paraId="4B2E99F5">
      <w:pPr>
        <w:pStyle w:val="7"/>
        <w:keepNext w:val="0"/>
        <w:keepLines w:val="0"/>
        <w:widowControl/>
        <w:suppressLineNumbers w:val="0"/>
        <w:jc w:val="both"/>
        <w:rPr>
          <w:rFonts w:hint="default" w:ascii="Times New Roman" w:hAnsi="Times New Roman" w:cs="Times New Roman"/>
          <w:sz w:val="24"/>
          <w:szCs w:val="24"/>
        </w:rPr>
      </w:pPr>
      <w:r>
        <w:rPr>
          <w:rFonts w:hint="default" w:ascii="Times New Roman" w:hAnsi="Times New Roman" w:cs="Times New Roman"/>
          <w:sz w:val="24"/>
          <w:szCs w:val="24"/>
        </w:rPr>
        <w:t>În cadrul evaluării ofertei tehnice, autoritatea contractantă va verifica cel puțin:</w:t>
      </w:r>
    </w:p>
    <w:p w14:paraId="64EFB407">
      <w:pPr>
        <w:keepNext w:val="0"/>
        <w:keepLines w:val="0"/>
        <w:widowControl/>
        <w:numPr>
          <w:ilvl w:val="0"/>
          <w:numId w:val="5"/>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denumirea și cantitatea produselor; </w:t>
      </w:r>
    </w:p>
    <w:p w14:paraId="3E3B01F3">
      <w:pPr>
        <w:keepNext w:val="0"/>
        <w:keepLines w:val="0"/>
        <w:widowControl/>
        <w:numPr>
          <w:ilvl w:val="0"/>
          <w:numId w:val="5"/>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tipul și compoziția materialelor; </w:t>
      </w:r>
    </w:p>
    <w:p w14:paraId="6EAF9CB4">
      <w:pPr>
        <w:keepNext w:val="0"/>
        <w:keepLines w:val="0"/>
        <w:widowControl/>
        <w:numPr>
          <w:ilvl w:val="0"/>
          <w:numId w:val="5"/>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caracteristicile tehnice declarate; </w:t>
      </w:r>
    </w:p>
    <w:p w14:paraId="65ED39D8">
      <w:pPr>
        <w:keepNext w:val="0"/>
        <w:keepLines w:val="0"/>
        <w:widowControl/>
        <w:numPr>
          <w:ilvl w:val="0"/>
          <w:numId w:val="5"/>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respectarea cerințelor privind stilul tradițional și elementele specifice portului popular din zona de Nord a Basarabiei; </w:t>
      </w:r>
    </w:p>
    <w:p w14:paraId="12C5A427">
      <w:pPr>
        <w:keepNext w:val="0"/>
        <w:keepLines w:val="0"/>
        <w:widowControl/>
        <w:numPr>
          <w:ilvl w:val="0"/>
          <w:numId w:val="5"/>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calitatea și caracteristicile materialelor; </w:t>
      </w:r>
    </w:p>
    <w:p w14:paraId="6F4ACE1B">
      <w:pPr>
        <w:keepNext w:val="0"/>
        <w:keepLines w:val="0"/>
        <w:widowControl/>
        <w:numPr>
          <w:ilvl w:val="0"/>
          <w:numId w:val="5"/>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posibilitatea confecționării produselor conform măsurătorilor beneficiarilor; </w:t>
      </w:r>
    </w:p>
    <w:p w14:paraId="461E1056">
      <w:pPr>
        <w:keepNext w:val="0"/>
        <w:keepLines w:val="0"/>
        <w:widowControl/>
        <w:numPr>
          <w:ilvl w:val="0"/>
          <w:numId w:val="5"/>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termenul de livrare; </w:t>
      </w:r>
    </w:p>
    <w:p w14:paraId="197022BA">
      <w:pPr>
        <w:keepNext w:val="0"/>
        <w:keepLines w:val="0"/>
        <w:widowControl/>
        <w:numPr>
          <w:ilvl w:val="0"/>
          <w:numId w:val="5"/>
        </w:numPr>
        <w:suppressLineNumbers w:val="0"/>
        <w:spacing w:before="0" w:beforeAutospacing="1" w:after="0" w:afterAutospacing="1"/>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conformitatea celorlalte cerințe prevăzute în caietul de sarcini.</w:t>
      </w:r>
    </w:p>
    <w:p w14:paraId="3F77BBC4">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jc w:val="both"/>
        <w:textAlignment w:val="auto"/>
        <w:rPr>
          <w:rFonts w:hint="default" w:ascii="Times New Roman" w:hAnsi="Times New Roman" w:eastAsia="SimSun" w:cs="Times New Roman"/>
          <w:sz w:val="24"/>
          <w:szCs w:val="24"/>
        </w:rPr>
      </w:pPr>
      <w:r>
        <w:rPr>
          <w:rFonts w:hint="default" w:ascii="Times New Roman" w:hAnsi="Times New Roman" w:eastAsia="SimSun" w:cs="Times New Roman"/>
          <w:sz w:val="24"/>
          <w:szCs w:val="24"/>
        </w:rPr>
        <w:t>În cadrul evaluării ofertei financiare se va verifica corectitudinea prețurilor unitare, a cantităților, a valorilor pe poziții și a valorii totale ofertate.</w:t>
      </w:r>
    </w:p>
    <w:p w14:paraId="77596B44">
      <w:pPr>
        <w:jc w:val="both"/>
        <w:rPr>
          <w:rFonts w:hint="default" w:ascii="Times New Roman" w:hAnsi="Times New Roman" w:cs="Times New Roman"/>
          <w:bCs/>
          <w:i/>
        </w:rPr>
      </w:pPr>
      <w:r>
        <w:rPr>
          <w:rFonts w:hint="default" w:ascii="Times New Roman" w:hAnsi="Times New Roman" w:eastAsia="SimSun" w:cs="Times New Roman"/>
          <w:b/>
          <w:bCs/>
          <w:sz w:val="24"/>
          <w:szCs w:val="24"/>
        </w:rPr>
        <w:t>Criteriul de atribuire:</w:t>
      </w:r>
      <w:r>
        <w:rPr>
          <w:rFonts w:hint="default" w:ascii="Times New Roman" w:hAnsi="Times New Roman" w:eastAsia="SimSun" w:cs="Times New Roman"/>
          <w:sz w:val="24"/>
          <w:szCs w:val="24"/>
        </w:rPr>
        <w:t xml:space="preserve"> cel mai mic preț, cu condiția respectării integrale a cerințelor tehnice, cantitative și calitative prevăzute în Caietul de sarcini și a cerințelor de calificare stabilite în documentația de atribuire.</w:t>
      </w:r>
    </w:p>
    <w:p w14:paraId="03726C22">
      <w:pPr>
        <w:jc w:val="both"/>
        <w:rPr>
          <w:rFonts w:hint="default" w:ascii="Times New Roman" w:hAnsi="Times New Roman" w:cs="Times New Roman"/>
          <w:b/>
          <w:bCs w:val="0"/>
          <w:sz w:val="24"/>
          <w:szCs w:val="24"/>
        </w:rPr>
      </w:pPr>
      <w:bookmarkStart w:id="4" w:name="_GoBack"/>
      <w:bookmarkEnd w:id="4"/>
    </w:p>
    <w:p w14:paraId="5547D67C">
      <w:pPr>
        <w:jc w:val="both"/>
        <w:rPr>
          <w:rFonts w:hint="default" w:ascii="Times New Roman" w:hAnsi="Times New Roman" w:eastAsia="SimSun" w:cs="Times New Roman"/>
          <w:b/>
          <w:bCs/>
          <w:sz w:val="24"/>
          <w:szCs w:val="24"/>
          <w:lang w:val="ro-RO"/>
        </w:rPr>
      </w:pPr>
    </w:p>
    <w:p w14:paraId="0005BC34">
      <w:pPr>
        <w:jc w:val="both"/>
        <w:rPr>
          <w:rFonts w:hint="default" w:ascii="Times New Roman" w:hAnsi="Times New Roman" w:eastAsia="SimSun" w:cs="Times New Roman"/>
          <w:b/>
          <w:bCs/>
          <w:sz w:val="24"/>
          <w:szCs w:val="24"/>
          <w:lang w:val="ro-RO"/>
        </w:rPr>
      </w:pPr>
    </w:p>
    <w:p w14:paraId="65EE4EC1">
      <w:pPr>
        <w:jc w:val="both"/>
        <w:rPr>
          <w:rFonts w:hint="default" w:ascii="Times New Roman" w:hAnsi="Times New Roman" w:eastAsia="SimSun" w:cs="Times New Roman"/>
          <w:b/>
          <w:bCs/>
          <w:sz w:val="24"/>
          <w:szCs w:val="24"/>
          <w:lang w:val="ro-RO"/>
        </w:rPr>
      </w:pPr>
    </w:p>
    <w:p w14:paraId="41DE7676">
      <w:pPr>
        <w:jc w:val="both"/>
        <w:rPr>
          <w:rFonts w:hint="default" w:ascii="Times New Roman" w:hAnsi="Times New Roman" w:eastAsia="SimSun" w:cs="Times New Roman"/>
          <w:b/>
          <w:bCs/>
          <w:sz w:val="24"/>
          <w:szCs w:val="24"/>
          <w:lang w:val="ro-RO"/>
        </w:rPr>
      </w:pPr>
    </w:p>
    <w:p w14:paraId="365CE296">
      <w:pPr>
        <w:jc w:val="both"/>
        <w:rPr>
          <w:rFonts w:hint="default" w:ascii="Times New Roman" w:hAnsi="Times New Roman" w:eastAsia="SimSun" w:cs="Times New Roman"/>
          <w:b/>
          <w:bCs/>
          <w:sz w:val="24"/>
          <w:szCs w:val="24"/>
          <w:lang w:val="ro-RO"/>
        </w:rPr>
      </w:pPr>
    </w:p>
    <w:p w14:paraId="63D993E9">
      <w:pPr>
        <w:jc w:val="both"/>
        <w:rPr>
          <w:rFonts w:hint="default" w:ascii="Times New Roman" w:hAnsi="Times New Roman" w:eastAsia="SimSun" w:cs="Times New Roman"/>
          <w:b/>
          <w:bCs/>
          <w:sz w:val="24"/>
          <w:szCs w:val="24"/>
          <w:lang w:val="ro-RO"/>
        </w:rPr>
      </w:pPr>
    </w:p>
    <w:p w14:paraId="7B66053C">
      <w:pPr>
        <w:jc w:val="both"/>
        <w:rPr>
          <w:rFonts w:hint="default" w:ascii="Times New Roman" w:hAnsi="Times New Roman" w:eastAsia="SimSun" w:cs="Times New Roman"/>
          <w:b/>
          <w:bCs/>
          <w:sz w:val="24"/>
          <w:szCs w:val="24"/>
          <w:lang w:val="ro-RO"/>
        </w:rPr>
      </w:pPr>
    </w:p>
    <w:p w14:paraId="0CFAAC68">
      <w:pPr>
        <w:jc w:val="both"/>
        <w:rPr>
          <w:rFonts w:hint="default" w:ascii="Times New Roman" w:hAnsi="Times New Roman" w:eastAsia="SimSun" w:cs="Times New Roman"/>
          <w:b/>
          <w:bCs/>
          <w:sz w:val="24"/>
          <w:szCs w:val="24"/>
          <w:lang w:val="ro-RO"/>
        </w:rPr>
      </w:pPr>
    </w:p>
    <w:p w14:paraId="0F859F43">
      <w:pPr>
        <w:jc w:val="both"/>
        <w:rPr>
          <w:rFonts w:hint="default" w:ascii="Times New Roman" w:hAnsi="Times New Roman" w:eastAsia="SimSun" w:cs="Times New Roman"/>
          <w:b/>
          <w:bCs/>
          <w:sz w:val="24"/>
          <w:szCs w:val="24"/>
          <w:lang w:val="ro-RO"/>
        </w:rPr>
      </w:pPr>
    </w:p>
    <w:p w14:paraId="5D3A63F3">
      <w:pPr>
        <w:jc w:val="both"/>
        <w:rPr>
          <w:rFonts w:hint="default" w:ascii="Times New Roman" w:hAnsi="Times New Roman" w:eastAsia="SimSun" w:cs="Times New Roman"/>
          <w:b/>
          <w:bCs/>
          <w:sz w:val="24"/>
          <w:szCs w:val="24"/>
          <w:lang w:val="ro-RO"/>
        </w:rPr>
      </w:pPr>
    </w:p>
    <w:p w14:paraId="7007303F">
      <w:pPr>
        <w:jc w:val="both"/>
        <w:rPr>
          <w:rFonts w:hint="default" w:ascii="Times New Roman" w:hAnsi="Times New Roman" w:eastAsia="SimSun" w:cs="Times New Roman"/>
          <w:b/>
          <w:bCs/>
          <w:sz w:val="24"/>
          <w:szCs w:val="24"/>
          <w:lang w:val="ro-RO"/>
        </w:rPr>
      </w:pPr>
    </w:p>
    <w:p w14:paraId="4858B39D">
      <w:pPr>
        <w:jc w:val="both"/>
        <w:rPr>
          <w:rFonts w:hint="default" w:ascii="Times New Roman" w:hAnsi="Times New Roman" w:eastAsia="SimSun" w:cs="Times New Roman"/>
          <w:b/>
          <w:bCs/>
          <w:sz w:val="24"/>
          <w:szCs w:val="24"/>
          <w:lang w:val="ro-RO"/>
        </w:rPr>
      </w:pPr>
    </w:p>
    <w:p w14:paraId="49357C1E">
      <w:pPr>
        <w:jc w:val="both"/>
        <w:rPr>
          <w:rFonts w:hint="default" w:ascii="Times New Roman" w:hAnsi="Times New Roman" w:eastAsia="SimSun" w:cs="Times New Roman"/>
          <w:b/>
          <w:bCs/>
          <w:sz w:val="24"/>
          <w:szCs w:val="24"/>
          <w:lang w:val="ro-RO"/>
        </w:rPr>
      </w:pPr>
    </w:p>
    <w:p w14:paraId="655F4032">
      <w:pPr>
        <w:jc w:val="both"/>
        <w:rPr>
          <w:rFonts w:hint="default" w:ascii="Times New Roman" w:hAnsi="Times New Roman" w:eastAsia="SimSun" w:cs="Times New Roman"/>
          <w:b/>
          <w:bCs/>
          <w:sz w:val="24"/>
          <w:szCs w:val="24"/>
          <w:lang w:val="ro-RO"/>
        </w:rPr>
      </w:pPr>
    </w:p>
    <w:p w14:paraId="78CFD0A2">
      <w:pPr>
        <w:jc w:val="both"/>
        <w:rPr>
          <w:rFonts w:hint="default" w:ascii="Times New Roman" w:hAnsi="Times New Roman" w:eastAsia="SimSun" w:cs="Times New Roman"/>
          <w:b/>
          <w:bCs/>
          <w:sz w:val="24"/>
          <w:szCs w:val="24"/>
          <w:lang w:val="ro-RO"/>
        </w:rPr>
      </w:pPr>
    </w:p>
    <w:p w14:paraId="28C1B37F">
      <w:pPr>
        <w:jc w:val="both"/>
        <w:rPr>
          <w:rFonts w:hint="default" w:ascii="Times New Roman" w:hAnsi="Times New Roman" w:eastAsia="SimSun" w:cs="Times New Roman"/>
          <w:b/>
          <w:bCs/>
          <w:sz w:val="24"/>
          <w:szCs w:val="24"/>
          <w:lang w:val="ro-RO"/>
        </w:rPr>
      </w:pPr>
    </w:p>
    <w:p w14:paraId="73B37B3F">
      <w:pPr>
        <w:jc w:val="both"/>
        <w:rPr>
          <w:rFonts w:hint="default" w:ascii="Times New Roman" w:hAnsi="Times New Roman" w:eastAsia="SimSun" w:cs="Times New Roman"/>
          <w:b/>
          <w:bCs/>
          <w:sz w:val="24"/>
          <w:szCs w:val="24"/>
          <w:lang w:val="ro-RO"/>
        </w:rPr>
      </w:pPr>
    </w:p>
    <w:p w14:paraId="3A7AB2D3">
      <w:pPr>
        <w:jc w:val="both"/>
        <w:rPr>
          <w:rFonts w:hint="default" w:ascii="Times New Roman" w:hAnsi="Times New Roman" w:eastAsia="SimSun" w:cs="Times New Roman"/>
          <w:b/>
          <w:bCs/>
          <w:sz w:val="24"/>
          <w:szCs w:val="24"/>
          <w:lang w:val="ro-RO"/>
        </w:rPr>
      </w:pPr>
    </w:p>
    <w:p w14:paraId="1D869CCC">
      <w:pPr>
        <w:jc w:val="both"/>
        <w:rPr>
          <w:rFonts w:hint="default" w:ascii="Times New Roman" w:hAnsi="Times New Roman" w:eastAsia="SimSun" w:cs="Times New Roman"/>
          <w:b/>
          <w:bCs/>
          <w:sz w:val="24"/>
          <w:szCs w:val="24"/>
          <w:lang w:val="ro-RO"/>
        </w:rPr>
      </w:pPr>
    </w:p>
    <w:p w14:paraId="76FFD8AF">
      <w:pPr>
        <w:jc w:val="both"/>
        <w:rPr>
          <w:rFonts w:hint="default" w:ascii="Times New Roman" w:hAnsi="Times New Roman" w:eastAsia="SimSun" w:cs="Times New Roman"/>
          <w:b/>
          <w:bCs/>
          <w:sz w:val="24"/>
          <w:szCs w:val="24"/>
          <w:lang w:val="ro-RO"/>
        </w:rPr>
      </w:pPr>
    </w:p>
    <w:p w14:paraId="1AC9AA08">
      <w:pPr>
        <w:jc w:val="both"/>
        <w:rPr>
          <w:rFonts w:hint="default" w:ascii="Times New Roman" w:hAnsi="Times New Roman" w:eastAsia="SimSun" w:cs="Times New Roman"/>
          <w:b/>
          <w:bCs/>
          <w:sz w:val="24"/>
          <w:szCs w:val="24"/>
          <w:lang w:val="ro-RO"/>
        </w:rPr>
      </w:pPr>
    </w:p>
    <w:p w14:paraId="11459AEC">
      <w:pPr>
        <w:jc w:val="both"/>
        <w:rPr>
          <w:rFonts w:hint="default" w:ascii="Times New Roman" w:hAnsi="Times New Roman" w:eastAsia="SimSun" w:cs="Times New Roman"/>
          <w:b/>
          <w:bCs/>
          <w:sz w:val="24"/>
          <w:szCs w:val="24"/>
          <w:lang w:val="ro-RO"/>
        </w:rPr>
      </w:pPr>
    </w:p>
    <w:p w14:paraId="07C75A1E">
      <w:pPr>
        <w:jc w:val="both"/>
        <w:rPr>
          <w:rFonts w:hint="default" w:ascii="Times New Roman" w:hAnsi="Times New Roman" w:eastAsia="SimSun" w:cs="Times New Roman"/>
          <w:b/>
          <w:bCs/>
          <w:sz w:val="24"/>
          <w:szCs w:val="24"/>
          <w:lang w:val="ro-RO"/>
        </w:rPr>
      </w:pPr>
    </w:p>
    <w:p w14:paraId="068A01B4">
      <w:pPr>
        <w:jc w:val="both"/>
        <w:rPr>
          <w:rFonts w:hint="default" w:ascii="Times New Roman" w:hAnsi="Times New Roman" w:eastAsia="SimSun" w:cs="Times New Roman"/>
          <w:b/>
          <w:bCs/>
          <w:sz w:val="24"/>
          <w:szCs w:val="24"/>
          <w:lang w:val="ro-RO"/>
        </w:rPr>
      </w:pPr>
    </w:p>
    <w:p w14:paraId="2AFDAD51">
      <w:pPr>
        <w:jc w:val="both"/>
        <w:rPr>
          <w:rFonts w:hint="default" w:ascii="Times New Roman" w:hAnsi="Times New Roman" w:eastAsia="SimSun" w:cs="Times New Roman"/>
          <w:b/>
          <w:bCs/>
          <w:sz w:val="24"/>
          <w:szCs w:val="24"/>
          <w:lang w:val="ro-RO"/>
        </w:rPr>
      </w:pPr>
    </w:p>
    <w:p w14:paraId="39AFAC03">
      <w:pPr>
        <w:jc w:val="both"/>
        <w:rPr>
          <w:rFonts w:hint="default" w:ascii="Times New Roman" w:hAnsi="Times New Roman" w:eastAsia="SimSun" w:cs="Times New Roman"/>
          <w:b/>
          <w:bCs/>
          <w:sz w:val="24"/>
          <w:szCs w:val="24"/>
          <w:lang w:val="ro-RO"/>
        </w:rPr>
      </w:pPr>
    </w:p>
    <w:p w14:paraId="1E189ADE">
      <w:pPr>
        <w:jc w:val="both"/>
        <w:rPr>
          <w:rFonts w:hint="default" w:ascii="Times New Roman" w:hAnsi="Times New Roman" w:eastAsia="SimSun" w:cs="Times New Roman"/>
          <w:b/>
          <w:bCs/>
          <w:sz w:val="24"/>
          <w:szCs w:val="24"/>
          <w:lang w:val="ro-RO"/>
        </w:rPr>
      </w:pPr>
    </w:p>
    <w:p w14:paraId="20CF415B">
      <w:pPr>
        <w:jc w:val="both"/>
        <w:rPr>
          <w:rFonts w:hint="default" w:ascii="Times New Roman" w:hAnsi="Times New Roman" w:eastAsia="SimSun" w:cs="Times New Roman"/>
          <w:b/>
          <w:bCs/>
          <w:sz w:val="24"/>
          <w:szCs w:val="24"/>
          <w:lang w:val="ro-RO"/>
        </w:rPr>
      </w:pPr>
    </w:p>
    <w:p w14:paraId="694DD4E7">
      <w:pPr>
        <w:jc w:val="both"/>
        <w:rPr>
          <w:rFonts w:hint="default" w:ascii="Times New Roman" w:hAnsi="Times New Roman" w:eastAsia="SimSun" w:cs="Times New Roman"/>
          <w:b/>
          <w:bCs/>
          <w:sz w:val="24"/>
          <w:szCs w:val="24"/>
          <w:lang w:val="ro-RO"/>
        </w:rPr>
      </w:pPr>
    </w:p>
    <w:p w14:paraId="0F0D01FF">
      <w:pPr>
        <w:jc w:val="both"/>
        <w:rPr>
          <w:rFonts w:hint="default" w:ascii="Times New Roman" w:hAnsi="Times New Roman" w:eastAsia="SimSun" w:cs="Times New Roman"/>
          <w:b/>
          <w:bCs/>
          <w:sz w:val="24"/>
          <w:szCs w:val="24"/>
          <w:lang w:val="ro-RO"/>
        </w:rPr>
      </w:pPr>
    </w:p>
    <w:p w14:paraId="2271492F">
      <w:pPr>
        <w:jc w:val="both"/>
        <w:rPr>
          <w:rFonts w:hint="default" w:ascii="Times New Roman" w:hAnsi="Times New Roman" w:eastAsia="SimSun" w:cs="Times New Roman"/>
          <w:b/>
          <w:bCs/>
          <w:sz w:val="24"/>
          <w:szCs w:val="24"/>
          <w:lang w:val="ro-RO"/>
        </w:rPr>
      </w:pPr>
    </w:p>
    <w:p w14:paraId="0C3FB5E8">
      <w:pPr>
        <w:jc w:val="both"/>
        <w:rPr>
          <w:rFonts w:hint="default" w:ascii="Times New Roman" w:hAnsi="Times New Roman" w:eastAsia="SimSun" w:cs="Times New Roman"/>
          <w:b/>
          <w:bCs/>
          <w:sz w:val="24"/>
          <w:szCs w:val="24"/>
          <w:lang w:val="ro-RO"/>
        </w:rPr>
      </w:pPr>
    </w:p>
    <w:p w14:paraId="1EEB11ED">
      <w:pPr>
        <w:jc w:val="both"/>
        <w:rPr>
          <w:rFonts w:hint="default" w:ascii="Times New Roman" w:hAnsi="Times New Roman" w:eastAsia="SimSun" w:cs="Times New Roman"/>
          <w:b/>
          <w:bCs/>
          <w:sz w:val="24"/>
          <w:szCs w:val="24"/>
          <w:lang w:val="ro-RO"/>
        </w:rPr>
      </w:pPr>
    </w:p>
    <w:p w14:paraId="50F7C7AC">
      <w:pPr>
        <w:jc w:val="both"/>
        <w:rPr>
          <w:rFonts w:hint="default" w:ascii="Times New Roman" w:hAnsi="Times New Roman" w:eastAsia="SimSun" w:cs="Times New Roman"/>
          <w:b/>
          <w:bCs/>
          <w:sz w:val="24"/>
          <w:szCs w:val="24"/>
          <w:lang w:val="ro-RO"/>
        </w:rPr>
      </w:pPr>
    </w:p>
    <w:p w14:paraId="68757277">
      <w:pPr>
        <w:jc w:val="both"/>
        <w:rPr>
          <w:rFonts w:hint="default" w:ascii="Times New Roman" w:hAnsi="Times New Roman" w:eastAsia="SimSun" w:cs="Times New Roman"/>
          <w:b/>
          <w:bCs/>
          <w:sz w:val="24"/>
          <w:szCs w:val="24"/>
          <w:lang w:val="ro-RO"/>
        </w:rPr>
      </w:pPr>
    </w:p>
    <w:p w14:paraId="561096D5">
      <w:pPr>
        <w:jc w:val="both"/>
        <w:rPr>
          <w:rFonts w:hint="default" w:ascii="Times New Roman" w:hAnsi="Times New Roman" w:eastAsia="SimSun" w:cs="Times New Roman"/>
          <w:b/>
          <w:bCs/>
          <w:sz w:val="24"/>
          <w:szCs w:val="24"/>
          <w:lang w:val="ro-RO"/>
        </w:rPr>
      </w:pPr>
    </w:p>
    <w:p w14:paraId="0EEF8361">
      <w:pPr>
        <w:jc w:val="both"/>
        <w:rPr>
          <w:rFonts w:hint="default" w:ascii="Times New Roman" w:hAnsi="Times New Roman" w:eastAsia="SimSun" w:cs="Times New Roman"/>
          <w:b/>
          <w:bCs/>
          <w:sz w:val="24"/>
          <w:szCs w:val="24"/>
          <w:lang w:val="ro-RO"/>
        </w:rPr>
      </w:pPr>
    </w:p>
    <w:p w14:paraId="34BAF31C">
      <w:pPr>
        <w:jc w:val="both"/>
        <w:rPr>
          <w:rFonts w:hint="default" w:ascii="Times New Roman" w:hAnsi="Times New Roman" w:eastAsia="SimSun" w:cs="Times New Roman"/>
          <w:b/>
          <w:bCs/>
          <w:sz w:val="24"/>
          <w:szCs w:val="24"/>
          <w:lang w:val="ro-RO"/>
        </w:rPr>
      </w:pPr>
    </w:p>
    <w:p w14:paraId="67875F49">
      <w:pPr>
        <w:jc w:val="both"/>
        <w:rPr>
          <w:rFonts w:hint="default" w:ascii="Times New Roman" w:hAnsi="Times New Roman" w:eastAsia="SimSun" w:cs="Times New Roman"/>
          <w:b/>
          <w:bCs/>
          <w:sz w:val="24"/>
          <w:szCs w:val="24"/>
          <w:lang w:val="ro-RO"/>
        </w:rPr>
      </w:pPr>
    </w:p>
    <w:p w14:paraId="309E2B84">
      <w:pPr>
        <w:jc w:val="both"/>
        <w:rPr>
          <w:rFonts w:hint="default" w:ascii="Times New Roman" w:hAnsi="Times New Roman" w:eastAsia="SimSun" w:cs="Times New Roman"/>
          <w:b/>
          <w:bCs/>
          <w:sz w:val="24"/>
          <w:szCs w:val="24"/>
          <w:lang w:val="ro-RO"/>
        </w:rPr>
      </w:pPr>
    </w:p>
    <w:p w14:paraId="6CD928B5">
      <w:pPr>
        <w:jc w:val="both"/>
        <w:rPr>
          <w:rFonts w:hint="default" w:ascii="Times New Roman" w:hAnsi="Times New Roman" w:eastAsia="SimSun" w:cs="Times New Roman"/>
          <w:b/>
          <w:bCs/>
          <w:sz w:val="24"/>
          <w:szCs w:val="24"/>
          <w:lang w:val="ro-RO"/>
        </w:rPr>
      </w:pPr>
    </w:p>
    <w:p w14:paraId="315B26C9">
      <w:pPr>
        <w:jc w:val="both"/>
        <w:rPr>
          <w:rFonts w:hint="default" w:ascii="Times New Roman" w:hAnsi="Times New Roman" w:eastAsia="SimSun" w:cs="Times New Roman"/>
          <w:b/>
          <w:bCs/>
          <w:sz w:val="24"/>
          <w:szCs w:val="24"/>
          <w:lang w:val="ro-RO"/>
        </w:rPr>
      </w:pPr>
    </w:p>
    <w:p w14:paraId="5611C17D">
      <w:pPr>
        <w:jc w:val="center"/>
        <w:rPr>
          <w:rFonts w:hint="default" w:ascii="Times New Roman" w:hAnsi="Times New Roman" w:cs="Times New Roman"/>
          <w:b/>
          <w:bCs/>
          <w:sz w:val="24"/>
          <w:szCs w:val="24"/>
        </w:rPr>
      </w:pPr>
      <w:r>
        <w:rPr>
          <w:rFonts w:hint="default" w:ascii="Times New Roman" w:hAnsi="Times New Roman" w:eastAsia="SimSun" w:cs="Times New Roman"/>
          <w:b/>
          <w:bCs/>
          <w:sz w:val="24"/>
          <w:szCs w:val="24"/>
          <w:lang w:val="ro-RO"/>
        </w:rPr>
        <w:t>S</w:t>
      </w:r>
      <w:r>
        <w:rPr>
          <w:rFonts w:hint="default" w:ascii="Times New Roman" w:hAnsi="Times New Roman" w:eastAsia="SimSun" w:cs="Times New Roman"/>
          <w:b/>
          <w:bCs/>
          <w:sz w:val="24"/>
          <w:szCs w:val="24"/>
        </w:rPr>
        <w:t>chița este obligatorie și reprezintă modelul de execuție</w:t>
      </w:r>
    </w:p>
    <w:p w14:paraId="06D28765">
      <w:pPr>
        <w:pStyle w:val="7"/>
        <w:keepNext w:val="0"/>
        <w:keepLines w:val="0"/>
        <w:widowControl/>
        <w:suppressLineNumbers w:val="0"/>
        <w:rPr>
          <w:rFonts w:hint="default"/>
          <w:lang w:val="ro-RO"/>
        </w:rPr>
      </w:pPr>
      <w:r>
        <w:rPr>
          <w:rFonts w:hint="default" w:ascii="Times New Roman" w:hAnsi="Times New Roman" w:cs="Times New Roman"/>
          <w:b/>
          <w:bCs/>
        </w:rPr>
        <w:drawing>
          <wp:inline distT="0" distB="0" distL="114300" distR="114300">
            <wp:extent cx="2703195" cy="3604895"/>
            <wp:effectExtent l="0" t="0" r="1905" b="1460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5"/>
                    <a:stretch>
                      <a:fillRect/>
                    </a:stretch>
                  </pic:blipFill>
                  <pic:spPr>
                    <a:xfrm>
                      <a:off x="0" y="0"/>
                      <a:ext cx="2703195" cy="3604895"/>
                    </a:xfrm>
                    <a:prstGeom prst="rect">
                      <a:avLst/>
                    </a:prstGeom>
                    <a:noFill/>
                    <a:ln w="9525">
                      <a:noFill/>
                    </a:ln>
                  </pic:spPr>
                </pic:pic>
              </a:graphicData>
            </a:graphic>
          </wp:inline>
        </w:drawing>
      </w:r>
      <w:r>
        <w:rPr>
          <w:rFonts w:hint="default"/>
          <w:lang w:val="ro-RO"/>
        </w:rPr>
        <w:drawing>
          <wp:inline distT="0" distB="0" distL="114300" distR="114300">
            <wp:extent cx="2995295" cy="2107565"/>
            <wp:effectExtent l="0" t="0" r="14605" b="6985"/>
            <wp:docPr id="2" name="Picture 2" descr="20260814_10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20260814_103847"/>
                    <pic:cNvPicPr>
                      <a:picLocks noChangeAspect="1"/>
                    </pic:cNvPicPr>
                  </pic:nvPicPr>
                  <pic:blipFill>
                    <a:blip r:embed="rId6"/>
                    <a:stretch>
                      <a:fillRect/>
                    </a:stretch>
                  </pic:blipFill>
                  <pic:spPr>
                    <a:xfrm>
                      <a:off x="0" y="0"/>
                      <a:ext cx="2995295" cy="2107565"/>
                    </a:xfrm>
                    <a:prstGeom prst="rect">
                      <a:avLst/>
                    </a:prstGeom>
                  </pic:spPr>
                </pic:pic>
              </a:graphicData>
            </a:graphic>
          </wp:inline>
        </w:drawing>
      </w:r>
      <w:r>
        <w:rPr>
          <w:rFonts w:hint="default"/>
          <w:lang w:val="ro-RO"/>
        </w:rPr>
        <w:drawing>
          <wp:inline distT="0" distB="0" distL="114300" distR="114300">
            <wp:extent cx="3135630" cy="2983865"/>
            <wp:effectExtent l="0" t="0" r="7620" b="6985"/>
            <wp:docPr id="3" name="Picture 3" descr="20260814_10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20260814_103711"/>
                    <pic:cNvPicPr>
                      <a:picLocks noChangeAspect="1"/>
                    </pic:cNvPicPr>
                  </pic:nvPicPr>
                  <pic:blipFill>
                    <a:blip r:embed="rId7"/>
                    <a:stretch>
                      <a:fillRect/>
                    </a:stretch>
                  </pic:blipFill>
                  <pic:spPr>
                    <a:xfrm>
                      <a:off x="0" y="0"/>
                      <a:ext cx="3135630" cy="2983865"/>
                    </a:xfrm>
                    <a:prstGeom prst="rect">
                      <a:avLst/>
                    </a:prstGeom>
                  </pic:spPr>
                </pic:pic>
              </a:graphicData>
            </a:graphic>
          </wp:inline>
        </w:drawing>
      </w:r>
    </w:p>
    <w:p w14:paraId="4B238A00">
      <w:pPr>
        <w:jc w:val="both"/>
        <w:rPr>
          <w:rFonts w:hint="default" w:ascii="Times New Roman" w:hAnsi="Times New Roman" w:cs="Times New Roman"/>
          <w:sz w:val="24"/>
          <w:szCs w:val="24"/>
        </w:rPr>
      </w:pPr>
    </w:p>
    <w:sectPr>
      <w:footerReference r:id="rId3" w:type="default"/>
      <w:pgSz w:w="11906" w:h="16838"/>
      <w:pgMar w:top="1440" w:right="110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6"/>
          <w:jc w:val="right"/>
        </w:pPr>
        <w:r>
          <w:fldChar w:fldCharType="begin"/>
        </w:r>
        <w:r>
          <w:instrText xml:space="preserve"> PAGE   \* MERGEFORMAT </w:instrText>
        </w:r>
        <w:r>
          <w:fldChar w:fldCharType="separate"/>
        </w:r>
        <w:r>
          <w:t>21</w:t>
        </w:r>
        <w:r>
          <w:fldChar w:fldCharType="end"/>
        </w:r>
      </w:p>
    </w:sdtContent>
  </w:sdt>
  <w:p w14:paraId="394448D7">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97B522"/>
    <w:multiLevelType w:val="multilevel"/>
    <w:tmpl w:val="8597B52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1">
    <w:nsid w:val="BDACEF70"/>
    <w:multiLevelType w:val="multilevel"/>
    <w:tmpl w:val="BDACEF70"/>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2">
    <w:nsid w:val="534AE439"/>
    <w:multiLevelType w:val="singleLevel"/>
    <w:tmpl w:val="534AE439"/>
    <w:lvl w:ilvl="0" w:tentative="0">
      <w:start w:val="2"/>
      <w:numFmt w:val="decimal"/>
      <w:suff w:val="space"/>
      <w:lvlText w:val="%1."/>
      <w:lvlJc w:val="left"/>
    </w:lvl>
  </w:abstractNum>
  <w:abstractNum w:abstractNumId="3">
    <w:nsid w:val="578E7565"/>
    <w:multiLevelType w:val="multilevel"/>
    <w:tmpl w:val="578E7565"/>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00"/>
        </w:tabs>
        <w:ind w:left="2880" w:hanging="360"/>
      </w:pPr>
      <w:rPr>
        <w:sz w:val="24"/>
        <w:szCs w:val="24"/>
      </w:rPr>
    </w:lvl>
    <w:lvl w:ilvl="4" w:tentative="0">
      <w:start w:val="1"/>
      <w:numFmt w:val="decimal"/>
      <w:lvlText w:val="%5."/>
      <w:lvlJc w:val="left"/>
      <w:pPr>
        <w:tabs>
          <w:tab w:val="left" w:pos="3220"/>
        </w:tabs>
        <w:ind w:left="3600" w:hanging="360"/>
      </w:pPr>
      <w:rPr>
        <w:sz w:val="24"/>
        <w:szCs w:val="24"/>
      </w:rPr>
    </w:lvl>
    <w:lvl w:ilvl="5" w:tentative="0">
      <w:start w:val="1"/>
      <w:numFmt w:val="decimal"/>
      <w:lvlText w:val="%6."/>
      <w:lvlJc w:val="left"/>
      <w:pPr>
        <w:tabs>
          <w:tab w:val="left" w:pos="3940"/>
        </w:tabs>
        <w:ind w:left="4320" w:hanging="360"/>
      </w:pPr>
      <w:rPr>
        <w:sz w:val="24"/>
        <w:szCs w:val="24"/>
      </w:rPr>
    </w:lvl>
    <w:lvl w:ilvl="6" w:tentative="0">
      <w:start w:val="1"/>
      <w:numFmt w:val="decimal"/>
      <w:lvlText w:val="%7."/>
      <w:lvlJc w:val="left"/>
      <w:pPr>
        <w:tabs>
          <w:tab w:val="left" w:pos="4660"/>
        </w:tabs>
        <w:ind w:left="5040" w:hanging="360"/>
      </w:pPr>
      <w:rPr>
        <w:sz w:val="24"/>
        <w:szCs w:val="24"/>
      </w:rPr>
    </w:lvl>
    <w:lvl w:ilvl="7" w:tentative="0">
      <w:start w:val="1"/>
      <w:numFmt w:val="decimal"/>
      <w:lvlText w:val="%8."/>
      <w:lvlJc w:val="left"/>
      <w:pPr>
        <w:tabs>
          <w:tab w:val="left" w:pos="5380"/>
        </w:tabs>
        <w:ind w:left="5760" w:hanging="360"/>
      </w:pPr>
      <w:rPr>
        <w:sz w:val="24"/>
        <w:szCs w:val="24"/>
      </w:rPr>
    </w:lvl>
    <w:lvl w:ilvl="8" w:tentative="0">
      <w:start w:val="1"/>
      <w:numFmt w:val="decimal"/>
      <w:lvlText w:val="%9."/>
      <w:lvlJc w:val="left"/>
      <w:pPr>
        <w:tabs>
          <w:tab w:val="left" w:pos="6100"/>
        </w:tabs>
        <w:ind w:left="6480" w:hanging="360"/>
      </w:pPr>
      <w:rPr>
        <w:sz w:val="24"/>
        <w:szCs w:val="24"/>
      </w:rPr>
    </w:lvl>
  </w:abstractNum>
  <w:abstractNum w:abstractNumId="4">
    <w:nsid w:val="73C71E68"/>
    <w:multiLevelType w:val="multilevel"/>
    <w:tmpl w:val="73C71E6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C2305B"/>
    <w:rsid w:val="01A949E9"/>
    <w:rsid w:val="059F467A"/>
    <w:rsid w:val="06907F41"/>
    <w:rsid w:val="09E32732"/>
    <w:rsid w:val="14953EEF"/>
    <w:rsid w:val="1F4D06CB"/>
    <w:rsid w:val="27C2305B"/>
    <w:rsid w:val="29451F87"/>
    <w:rsid w:val="31677D4A"/>
    <w:rsid w:val="378D3161"/>
    <w:rsid w:val="38827EBD"/>
    <w:rsid w:val="46B64E24"/>
    <w:rsid w:val="61855DDB"/>
    <w:rsid w:val="6ACD07BF"/>
    <w:rsid w:val="70EE77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3">
    <w:name w:val="heading 4"/>
    <w:basedOn w:val="1"/>
    <w:next w:val="1"/>
    <w:unhideWhenUsed/>
    <w:qFormat/>
    <w:uiPriority w:val="0"/>
    <w:pPr>
      <w:keepNext/>
      <w:keepLines/>
      <w:spacing w:before="280" w:after="290" w:line="376" w:lineRule="auto"/>
      <w:outlineLvl w:val="3"/>
    </w:pPr>
    <w:rPr>
      <w:b/>
      <w:bCs/>
      <w:sz w:val="28"/>
      <w:szCs w:val="28"/>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6">
    <w:name w:val="footer"/>
    <w:basedOn w:val="1"/>
    <w:qFormat/>
    <w:uiPriority w:val="99"/>
    <w:pPr>
      <w:tabs>
        <w:tab w:val="center" w:pos="4536"/>
        <w:tab w:val="right" w:pos="9072"/>
      </w:tabs>
    </w:p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8">
    <w:name w:val="Strong"/>
    <w:basedOn w:val="4"/>
    <w:qFormat/>
    <w:uiPriority w:val="0"/>
    <w:rPr>
      <w:b/>
      <w:bCs/>
    </w:rPr>
  </w:style>
  <w:style w:type="table" w:styleId="9">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20</TotalTime>
  <ScaleCrop>false</ScaleCrop>
  <LinksUpToDate>false</LinksUpToDate>
  <CharactersWithSpaces>0</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2026-08-13T08:55:00Z</dcterms:created>
  <dc:creator>Inga Darii</dc:creator>
  <cp:lastModifiedBy>Inga Darii</cp:lastModifiedBy>
  <dcterms:modified xsi:type="dcterms:W3CDTF">2026-08-14T12:46:47Z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BEDA602D63564BA991C157E735B7B710_11</vt:lpwstr>
  </property>
</Properties>
</file>